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7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7340"/>
                    </a:xfrm>
                    <a:prstGeom prst="rect">
                      <a:avLst/>
                    </a:prstGeom>
                    <a:noFill/>
                  </pic:spPr>
                </pic:pic>
              </a:graphicData>
            </a:graphic>
          </wp:anchor>
        </w:drawing>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298"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quarterly period ended March 31, 2023</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71" w:lineRule="exact"/>
        <w:rPr>
          <w:sz w:val="24"/>
          <w:szCs w:val="24"/>
          <w:color w:val="auto"/>
        </w:rPr>
      </w:pPr>
    </w:p>
    <w:p>
      <w:pPr>
        <w:ind w:left="1600" w:hanging="531"/>
        <w:spacing w:after="0"/>
        <w:tabs>
          <w:tab w:leader="none" w:pos="160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61"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3" w:right="1440" w:bottom="1440" w:gutter="0" w:footer="0" w:header="0"/>
        </w:sectPr>
      </w:pPr>
    </w:p>
    <w:p>
      <w:pPr>
        <w:spacing w:after="0" w:line="251"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8" w:lineRule="exact"/>
        <w:rPr>
          <w:sz w:val="24"/>
          <w:szCs w:val="24"/>
          <w:color w:val="auto"/>
        </w:rPr>
      </w:pPr>
    </w:p>
    <w:p>
      <w:pPr>
        <w:sectPr>
          <w:pgSz w:w="11900" w:h="16838" w:orient="portrait"/>
          <w:cols w:equalWidth="0" w:num="2">
            <w:col w:w="6020" w:space="720"/>
            <w:col w:w="2279"/>
          </w:cols>
          <w:pgMar w:left="1440" w:top="793"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91" w:lineRule="exact"/>
        <w:rPr>
          <w:sz w:val="24"/>
          <w:szCs w:val="24"/>
          <w:color w:val="auto"/>
        </w:rPr>
      </w:pPr>
    </w:p>
    <w:p>
      <w:pPr>
        <w:sectPr>
          <w:pgSz w:w="11900" w:h="16838" w:orient="portrait"/>
          <w:cols w:equalWidth="0" w:num="2">
            <w:col w:w="5860" w:space="720"/>
            <w:col w:w="2439"/>
          </w:cols>
          <w:pgMar w:left="1440" w:top="793"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2301 N.W. 87th Avenue , Doral, FL 33172</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2"/>
          <w:szCs w:val="12"/>
          <w:i w:val="1"/>
          <w:iCs w:val="1"/>
          <w:color w:val="auto"/>
        </w:rPr>
        <w:t>(Address of principal executive offices) (zip code)</w:t>
      </w:r>
    </w:p>
    <w:p>
      <w:pPr>
        <w:sectPr>
          <w:pgSz w:w="11900" w:h="16838" w:orient="portrait"/>
          <w:cols w:equalWidth="0" w:num="1">
            <w:col w:w="9019"/>
          </w:cols>
          <w:pgMar w:left="1440" w:top="793" w:right="1440" w:bottom="1440" w:gutter="0" w:footer="0" w:header="0"/>
          <w:type w:val="continuous"/>
        </w:sectPr>
      </w:pP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(305) 715-5200</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6"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2"/>
                <w:szCs w:val="12"/>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1"/>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98"/>
        </w:trPr>
        <w:tc>
          <w:tcPr>
            <w:tcW w:w="3060" w:type="dxa"/>
            <w:vAlign w:val="bottom"/>
            <w:gridSpan w:val="3"/>
          </w:tcPr>
          <w:p>
            <w:pPr>
              <w:jc w:val="center"/>
              <w:ind w:right="24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54" w:lineRule="exact"/>
        <w:rPr>
          <w:sz w:val="24"/>
          <w:szCs w:val="24"/>
          <w:color w:val="auto"/>
        </w:rPr>
      </w:pPr>
    </w:p>
    <w:p>
      <w:pPr>
        <w:jc w:val="both"/>
        <w:ind w:left="660" w:right="639"/>
        <w:spacing w:after="0" w:line="154"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8" w:lineRule="exact"/>
        <w:rPr>
          <w:sz w:val="24"/>
          <w:szCs w:val="24"/>
          <w:color w:val="auto"/>
        </w:rPr>
      </w:pPr>
    </w:p>
    <w:p>
      <w:pPr>
        <w:jc w:val="both"/>
        <w:ind w:left="660" w:right="679"/>
        <w:spacing w:after="0" w:line="15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9" w:lineRule="exact"/>
        <w:rPr>
          <w:sz w:val="24"/>
          <w:szCs w:val="24"/>
          <w:color w:val="auto"/>
        </w:rPr>
      </w:pPr>
    </w:p>
    <w:p>
      <w:pPr>
        <w:jc w:val="both"/>
        <w:ind w:left="660" w:right="659"/>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8" w:lineRule="exact"/>
        <w:rPr>
          <w:sz w:val="24"/>
          <w:szCs w:val="24"/>
          <w:color w:val="auto"/>
        </w:rPr>
      </w:pPr>
    </w:p>
    <w:p>
      <w:pPr>
        <w:ind w:left="660"/>
        <w:spacing w:after="0" w:line="150" w:lineRule="exact"/>
        <w:tabs>
          <w:tab w:leader="none" w:pos="21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6" w:lineRule="exact"/>
        <w:rPr>
          <w:sz w:val="24"/>
          <w:szCs w:val="24"/>
          <w:color w:val="auto"/>
        </w:rPr>
      </w:pPr>
    </w:p>
    <w:p>
      <w:pPr>
        <w:jc w:val="both"/>
        <w:ind w:left="660" w:right="659"/>
        <w:spacing w:after="0" w:line="15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4"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8"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May 1, 2023, the registrant had 19,622,380 shares of Class A common stock outstanding.</w:t>
      </w:r>
    </w:p>
    <w:p>
      <w:pPr>
        <w:sectPr>
          <w:pgSz w:w="11900" w:h="16838" w:orient="portrait"/>
          <w:cols w:equalWidth="0" w:num="1">
            <w:col w:w="9019"/>
          </w:cols>
          <w:pgMar w:left="1440" w:top="793" w:right="1440" w:bottom="1440" w:gutter="0" w:footer="0" w:header="0"/>
          <w:type w:val="continuous"/>
        </w:sectPr>
      </w:pPr>
    </w:p>
    <w:bookmarkStart w:id="1" w:name="page2"/>
    <w:bookmarkEnd w:id="1"/>
    <w:p>
      <w:pPr>
        <w:jc w:val="center"/>
        <w:ind w:right="-2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FORM 10-Q</w:t>
      </w:r>
    </w:p>
    <w:p>
      <w:pPr>
        <w:spacing w:after="0" w:line="17"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March 31, 2023</w:t>
      </w:r>
    </w:p>
    <w:p>
      <w:pPr>
        <w:spacing w:after="0" w:line="152"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b w:val="1"/>
                <w:bCs w:val="1"/>
                <w:color w:val="0000FF"/>
                <w:w w:val="84"/>
              </w:rPr>
              <w:t>PART I</w:t>
            </w:r>
          </w:p>
        </w:tc>
        <w:tc>
          <w:tcPr>
            <w:tcW w:w="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0000FF"/>
              </w:rPr>
              <w:t>3</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80" w:type="dxa"/>
            <w:vAlign w:val="bottom"/>
            <w:gridSpan w:val="2"/>
          </w:tcPr>
          <w:p>
            <w:pPr>
              <w:spacing w:after="0"/>
              <w:rPr>
                <w:sz w:val="24"/>
                <w:szCs w:val="24"/>
                <w:color w:val="auto"/>
              </w:rPr>
            </w:pPr>
          </w:p>
        </w:tc>
        <w:tc>
          <w:tcPr>
            <w:tcW w:w="6700" w:type="dxa"/>
            <w:vAlign w:val="bottom"/>
            <w:gridSpan w:val="31"/>
          </w:tcPr>
          <w:p>
            <w:pPr>
              <w:ind w:left="160"/>
              <w:spacing w:after="0"/>
              <w:rPr>
                <w:sz w:val="20"/>
                <w:szCs w:val="20"/>
                <w:color w:val="auto"/>
              </w:rPr>
            </w:pPr>
            <w:r>
              <w:rPr>
                <w:rFonts w:ascii="Arial" w:cs="Arial" w:eastAsia="Arial" w:hAnsi="Arial"/>
                <w:sz w:val="13"/>
                <w:szCs w:val="13"/>
                <w:color w:val="0000FF"/>
              </w:rPr>
              <w:t>Financial Statements</w:t>
            </w:r>
          </w:p>
        </w:tc>
        <w:tc>
          <w:tcPr>
            <w:tcW w:w="500" w:type="dxa"/>
            <w:vAlign w:val="bottom"/>
            <w:gridSpan w:val="3"/>
          </w:tcPr>
          <w:p>
            <w:pPr>
              <w:jc w:val="right"/>
              <w:spacing w:after="0"/>
              <w:rPr>
                <w:sz w:val="20"/>
                <w:szCs w:val="20"/>
                <w:color w:val="auto"/>
              </w:rPr>
            </w:pPr>
            <w:r>
              <w:rPr>
                <w:rFonts w:ascii="Arial" w:cs="Arial" w:eastAsia="Arial" w:hAnsi="Arial"/>
                <w:sz w:val="13"/>
                <w:szCs w:val="13"/>
                <w:color w:val="0000FF"/>
              </w:rPr>
              <w:t>3</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gridSpan w:val="4"/>
          </w:tcPr>
          <w:p>
            <w:pPr>
              <w:spacing w:after="0" w:line="119" w:lineRule="exact"/>
              <w:rPr>
                <w:sz w:val="20"/>
                <w:szCs w:val="20"/>
                <w:color w:val="auto"/>
              </w:rPr>
            </w:pPr>
            <w:r>
              <w:rPr>
                <w:rFonts w:ascii="Arial" w:cs="Arial" w:eastAsia="Arial" w:hAnsi="Arial"/>
                <w:sz w:val="13"/>
                <w:szCs w:val="13"/>
                <w:color w:val="0000FF"/>
              </w:rPr>
              <w:t>Consolidated</w:t>
            </w:r>
          </w:p>
        </w:tc>
        <w:tc>
          <w:tcPr>
            <w:tcW w:w="5340" w:type="dxa"/>
            <w:vAlign w:val="bottom"/>
            <w:gridSpan w:val="25"/>
          </w:tcPr>
          <w:p>
            <w:pPr>
              <w:spacing w:after="0" w:line="119" w:lineRule="exact"/>
              <w:rPr>
                <w:sz w:val="20"/>
                <w:szCs w:val="20"/>
                <w:color w:val="auto"/>
              </w:rPr>
            </w:pPr>
            <w:r>
              <w:rPr>
                <w:rFonts w:ascii="Arial" w:cs="Arial" w:eastAsia="Arial" w:hAnsi="Arial"/>
                <w:sz w:val="13"/>
                <w:szCs w:val="13"/>
                <w:color w:val="0000FF"/>
              </w:rPr>
              <w:t>Balance Sheets as of March 31, 2023 (Unaudited) and December 31, 2022</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0" w:type="dxa"/>
            <w:vAlign w:val="bottom"/>
            <w:gridSpan w:val="26"/>
          </w:tcPr>
          <w:p>
            <w:pPr>
              <w:spacing w:after="0" w:line="129" w:lineRule="exact"/>
              <w:rPr>
                <w:sz w:val="20"/>
                <w:szCs w:val="20"/>
                <w:color w:val="auto"/>
              </w:rPr>
            </w:pPr>
            <w:r>
              <w:rPr>
                <w:rFonts w:ascii="Arial" w:cs="Arial" w:eastAsia="Arial" w:hAnsi="Arial"/>
                <w:sz w:val="13"/>
                <w:szCs w:val="13"/>
                <w:color w:val="0000FF"/>
                <w:w w:val="97"/>
              </w:rPr>
              <w:t>Consolidated Statements of Operations for the three months ended March 31, 2023 and 2022 (Unaudited)</w:t>
            </w:r>
          </w:p>
        </w:tc>
        <w:tc>
          <w:tcPr>
            <w:tcW w:w="220" w:type="dxa"/>
            <w:vAlign w:val="bottom"/>
            <w:gridSpan w:val="3"/>
          </w:tcPr>
          <w:p>
            <w:pPr>
              <w:spacing w:after="0"/>
              <w:rPr>
                <w:sz w:val="11"/>
                <w:szCs w:val="11"/>
                <w:color w:val="auto"/>
              </w:rPr>
            </w:pPr>
          </w:p>
        </w:tc>
        <w:tc>
          <w:tcPr>
            <w:tcW w:w="50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20" w:type="dxa"/>
            <w:vAlign w:val="bottom"/>
            <w:gridSpan w:val="29"/>
          </w:tcPr>
          <w:p>
            <w:pPr>
              <w:spacing w:after="0" w:line="129" w:lineRule="exact"/>
              <w:rPr>
                <w:sz w:val="20"/>
                <w:szCs w:val="20"/>
                <w:color w:val="auto"/>
              </w:rPr>
            </w:pPr>
            <w:r>
              <w:rPr>
                <w:rFonts w:ascii="Arial" w:cs="Arial" w:eastAsia="Arial" w:hAnsi="Arial"/>
                <w:sz w:val="13"/>
                <w:szCs w:val="13"/>
                <w:color w:val="0000FF"/>
              </w:rPr>
              <w:t>Consolidated Statements of Comprehensive Income (Loss) for the three months ended March 31, 2023 and</w:t>
            </w:r>
          </w:p>
        </w:tc>
        <w:tc>
          <w:tcPr>
            <w:tcW w:w="500" w:type="dxa"/>
            <w:vAlign w:val="bottom"/>
            <w:gridSpan w:val="3"/>
            <w:vMerge w:val="restart"/>
          </w:tcPr>
          <w:p>
            <w:pPr>
              <w:jc w:val="right"/>
              <w:spacing w:after="0"/>
              <w:rPr>
                <w:sz w:val="20"/>
                <w:szCs w:val="20"/>
                <w:color w:val="auto"/>
              </w:rPr>
            </w:pPr>
            <w:r>
              <w:rPr>
                <w:rFonts w:ascii="Arial" w:cs="Arial" w:eastAsia="Arial" w:hAnsi="Arial"/>
                <w:sz w:val="13"/>
                <w:szCs w:val="13"/>
                <w:color w:val="0000FF"/>
              </w:rPr>
              <w:t>5</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Borders>
              <w:top w:val="single" w:sz="8" w:color="0000FF"/>
            </w:tcBorders>
            <w:gridSpan w:val="8"/>
          </w:tcPr>
          <w:p>
            <w:pPr>
              <w:spacing w:after="0" w:line="129" w:lineRule="exact"/>
              <w:rPr>
                <w:sz w:val="20"/>
                <w:szCs w:val="20"/>
                <w:color w:val="auto"/>
              </w:rPr>
            </w:pPr>
            <w:r>
              <w:rPr>
                <w:rFonts w:ascii="Arial" w:cs="Arial" w:eastAsia="Arial" w:hAnsi="Arial"/>
                <w:sz w:val="13"/>
                <w:szCs w:val="13"/>
                <w:color w:val="0000FF"/>
              </w:rPr>
              <w:t>2022 (Unaudited)</w:t>
            </w:r>
          </w:p>
        </w:tc>
        <w:tc>
          <w:tcPr>
            <w:tcW w:w="20" w:type="dxa"/>
            <w:vAlign w:val="bottom"/>
          </w:tcPr>
          <w:p>
            <w:pPr>
              <w:spacing w:after="0"/>
              <w:rPr>
                <w:sz w:val="11"/>
                <w:szCs w:val="11"/>
                <w:color w:val="auto"/>
              </w:rPr>
            </w:pPr>
          </w:p>
        </w:tc>
        <w:tc>
          <w:tcPr>
            <w:tcW w:w="194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gridSpan w:val="3"/>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20" w:type="dxa"/>
            <w:vAlign w:val="bottom"/>
            <w:gridSpan w:val="29"/>
          </w:tcPr>
          <w:p>
            <w:pPr>
              <w:spacing w:after="0" w:line="129" w:lineRule="exact"/>
              <w:rPr>
                <w:sz w:val="20"/>
                <w:szCs w:val="20"/>
                <w:color w:val="auto"/>
              </w:rPr>
            </w:pPr>
            <w:r>
              <w:rPr>
                <w:rFonts w:ascii="Arial" w:cs="Arial" w:eastAsia="Arial" w:hAnsi="Arial"/>
                <w:sz w:val="13"/>
                <w:szCs w:val="13"/>
                <w:color w:val="0000FF"/>
                <w:w w:val="98"/>
              </w:rPr>
              <w:t>Consolidated Statements of Changes in Stockholders’ Equity for the three months ended March 31, 2023 and</w:t>
            </w:r>
          </w:p>
        </w:tc>
        <w:tc>
          <w:tcPr>
            <w:tcW w:w="500" w:type="dxa"/>
            <w:vAlign w:val="bottom"/>
            <w:gridSpan w:val="3"/>
            <w:vMerge w:val="restart"/>
          </w:tcPr>
          <w:p>
            <w:pPr>
              <w:jc w:val="right"/>
              <w:spacing w:after="0"/>
              <w:rPr>
                <w:sz w:val="20"/>
                <w:szCs w:val="20"/>
                <w:color w:val="auto"/>
              </w:rPr>
            </w:pPr>
            <w:r>
              <w:rPr>
                <w:rFonts w:ascii="Arial" w:cs="Arial" w:eastAsia="Arial" w:hAnsi="Arial"/>
                <w:sz w:val="13"/>
                <w:szCs w:val="13"/>
                <w:color w:val="0000FF"/>
              </w:rPr>
              <w:t>6</w:t>
            </w: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0" w:type="dxa"/>
            <w:vAlign w:val="bottom"/>
            <w:tcBorders>
              <w:top w:val="single" w:sz="8" w:color="0000FF"/>
            </w:tcBorders>
            <w:gridSpan w:val="18"/>
          </w:tcPr>
          <w:p>
            <w:pPr>
              <w:spacing w:after="0" w:line="119" w:lineRule="exact"/>
              <w:rPr>
                <w:sz w:val="20"/>
                <w:szCs w:val="20"/>
                <w:color w:val="auto"/>
              </w:rPr>
            </w:pPr>
            <w:r>
              <w:rPr>
                <w:rFonts w:ascii="Arial" w:cs="Arial" w:eastAsia="Arial" w:hAnsi="Arial"/>
                <w:sz w:val="13"/>
                <w:szCs w:val="13"/>
                <w:color w:val="0000FF"/>
              </w:rPr>
              <w:t>2022 (Unaudited)</w:t>
            </w:r>
          </w:p>
        </w:tc>
        <w:tc>
          <w:tcPr>
            <w:tcW w:w="20" w:type="dxa"/>
            <w:vAlign w:val="bottom"/>
          </w:tcPr>
          <w:p>
            <w:pPr>
              <w:spacing w:after="0"/>
              <w:rPr>
                <w:sz w:val="10"/>
                <w:szCs w:val="10"/>
                <w:color w:val="auto"/>
              </w:rPr>
            </w:pPr>
          </w:p>
        </w:tc>
        <w:tc>
          <w:tcPr>
            <w:tcW w:w="500" w:type="dxa"/>
            <w:vAlign w:val="bottom"/>
            <w:tcBorders>
              <w:top w:val="single" w:sz="8" w:color="0000FF"/>
            </w:tcBorders>
            <w:gridSpan w:val="3"/>
          </w:tcPr>
          <w:p>
            <w:pPr>
              <w:spacing w:after="0"/>
              <w:rPr>
                <w:sz w:val="10"/>
                <w:szCs w:val="10"/>
                <w:color w:val="auto"/>
              </w:rPr>
            </w:pPr>
          </w:p>
        </w:tc>
        <w:tc>
          <w:tcPr>
            <w:tcW w:w="1320" w:type="dxa"/>
            <w:vAlign w:val="bottom"/>
            <w:tcBorders>
              <w:top w:val="single" w:sz="8" w:color="0000FF"/>
            </w:tcBorders>
            <w:gridSpan w:val="5"/>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20" w:type="dxa"/>
            <w:vAlign w:val="bottom"/>
            <w:gridSpan w:val="29"/>
          </w:tcPr>
          <w:p>
            <w:pPr>
              <w:spacing w:after="0" w:line="129" w:lineRule="exact"/>
              <w:rPr>
                <w:sz w:val="20"/>
                <w:szCs w:val="20"/>
                <w:color w:val="auto"/>
              </w:rPr>
            </w:pPr>
            <w:r>
              <w:rPr>
                <w:rFonts w:ascii="Arial" w:cs="Arial" w:eastAsia="Arial" w:hAnsi="Arial"/>
                <w:sz w:val="13"/>
                <w:szCs w:val="13"/>
                <w:color w:val="0000FF"/>
              </w:rPr>
              <w:t>Consolidated Statements of Cash Flows for the three months ended March 31, 2023 and 2022 (Unaudited)</w:t>
            </w:r>
          </w:p>
        </w:tc>
        <w:tc>
          <w:tcPr>
            <w:tcW w:w="50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2.</w:t>
            </w:r>
          </w:p>
        </w:tc>
        <w:tc>
          <w:tcPr>
            <w:tcW w:w="80" w:type="dxa"/>
            <w:vAlign w:val="bottom"/>
            <w:gridSpan w:val="2"/>
            <w:vMerge w:val="restart"/>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40" w:type="dxa"/>
            <w:vAlign w:val="bottom"/>
            <w:gridSpan w:val="27"/>
          </w:tcPr>
          <w:p>
            <w:pPr>
              <w:spacing w:after="0" w:line="129" w:lineRule="exact"/>
              <w:rPr>
                <w:sz w:val="20"/>
                <w:szCs w:val="20"/>
                <w:color w:val="auto"/>
              </w:rPr>
            </w:pPr>
            <w:r>
              <w:rPr>
                <w:rFonts w:ascii="Arial" w:cs="Arial" w:eastAsia="Arial" w:hAnsi="Arial"/>
                <w:sz w:val="13"/>
                <w:szCs w:val="13"/>
                <w:color w:val="0000FF"/>
              </w:rPr>
              <w:t>Notes to the Consolidated Financial Statements (Unaudited)</w:t>
            </w:r>
          </w:p>
        </w:tc>
        <w:tc>
          <w:tcPr>
            <w:tcW w:w="180" w:type="dxa"/>
            <w:vAlign w:val="bottom"/>
            <w:gridSpan w:val="2"/>
          </w:tcPr>
          <w:p>
            <w:pPr>
              <w:spacing w:after="0"/>
              <w:rPr>
                <w:sz w:val="11"/>
                <w:szCs w:val="11"/>
                <w:color w:val="auto"/>
              </w:rPr>
            </w:pPr>
          </w:p>
        </w:tc>
        <w:tc>
          <w:tcPr>
            <w:tcW w:w="50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8</w:t>
            </w: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Borders>
              <w:bottom w:val="single" w:sz="8" w:color="0000FF"/>
            </w:tcBorders>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tcBorders>
              <w:bottom w:val="single" w:sz="8" w:color="0000FF"/>
            </w:tcBorders>
            <w:gridSpan w:val="23"/>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500" w:type="dxa"/>
            <w:vAlign w:val="bottom"/>
            <w:gridSpan w:val="7"/>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31</w:t>
            </w:r>
          </w:p>
        </w:tc>
        <w:tc>
          <w:tcPr>
            <w:tcW w:w="0" w:type="dxa"/>
            <w:vAlign w:val="bottom"/>
          </w:tcPr>
          <w:p>
            <w:pPr>
              <w:spacing w:after="0"/>
              <w:rPr>
                <w:sz w:val="1"/>
                <w:szCs w:val="1"/>
                <w:color w:val="auto"/>
              </w:rPr>
            </w:pPr>
          </w:p>
        </w:tc>
      </w:tr>
      <w:tr>
        <w:trPr>
          <w:trHeight w:val="129"/>
        </w:trPr>
        <w:tc>
          <w:tcPr>
            <w:tcW w:w="480" w:type="dxa"/>
            <w:vAlign w:val="bottom"/>
            <w:gridSpan w:val="3"/>
          </w:tcPr>
          <w:p>
            <w:pPr>
              <w:spacing w:after="0" w:line="129" w:lineRule="exact"/>
              <w:rPr>
                <w:sz w:val="20"/>
                <w:szCs w:val="20"/>
                <w:color w:val="auto"/>
              </w:rPr>
            </w:pPr>
            <w:r>
              <w:rPr>
                <w:rFonts w:ascii="Arial" w:cs="Arial" w:eastAsia="Arial" w:hAnsi="Arial"/>
                <w:sz w:val="13"/>
                <w:szCs w:val="13"/>
                <w:color w:val="0000FF"/>
              </w:rPr>
              <w:t>Item 3.</w:t>
            </w:r>
          </w:p>
        </w:tc>
        <w:tc>
          <w:tcPr>
            <w:tcW w:w="6700" w:type="dxa"/>
            <w:vAlign w:val="bottom"/>
            <w:gridSpan w:val="31"/>
          </w:tcPr>
          <w:p>
            <w:pPr>
              <w:ind w:left="160"/>
              <w:spacing w:after="0" w:line="129" w:lineRule="exact"/>
              <w:rPr>
                <w:sz w:val="20"/>
                <w:szCs w:val="20"/>
                <w:color w:val="auto"/>
              </w:rPr>
            </w:pPr>
            <w:r>
              <w:rPr>
                <w:rFonts w:ascii="Arial" w:cs="Arial" w:eastAsia="Arial" w:hAnsi="Arial"/>
                <w:sz w:val="13"/>
                <w:szCs w:val="13"/>
                <w:color w:val="0000FF"/>
              </w:rPr>
              <w:t>Quantitative and Qualitative Disclosures About Market Risk</w:t>
            </w:r>
          </w:p>
        </w:tc>
        <w:tc>
          <w:tcPr>
            <w:tcW w:w="50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50</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Borders>
              <w:top w:val="single" w:sz="8" w:color="0000FF"/>
              <w:bottom w:val="single" w:sz="8" w:color="0000FF"/>
            </w:tcBorders>
            <w:gridSpan w:val="8"/>
          </w:tcPr>
          <w:p>
            <w:pPr>
              <w:spacing w:after="0" w:line="119" w:lineRule="exact"/>
              <w:rPr>
                <w:sz w:val="20"/>
                <w:szCs w:val="20"/>
                <w:color w:val="auto"/>
              </w:rPr>
            </w:pPr>
            <w:r>
              <w:rPr>
                <w:rFonts w:ascii="Arial" w:cs="Arial" w:eastAsia="Arial" w:hAnsi="Arial"/>
                <w:sz w:val="13"/>
                <w:szCs w:val="13"/>
                <w:color w:val="0000FF"/>
                <w:w w:val="97"/>
              </w:rPr>
              <w:t>Controls and Procedures</w:t>
            </w:r>
          </w:p>
        </w:tc>
        <w:tc>
          <w:tcPr>
            <w:tcW w:w="1920" w:type="dxa"/>
            <w:vAlign w:val="bottom"/>
            <w:tcBorders>
              <w:top w:val="single" w:sz="8" w:color="0000FF"/>
            </w:tcBorders>
            <w:gridSpan w:val="4"/>
          </w:tcPr>
          <w:p>
            <w:pPr>
              <w:spacing w:after="0"/>
              <w:rPr>
                <w:sz w:val="10"/>
                <w:szCs w:val="10"/>
                <w:color w:val="auto"/>
              </w:rPr>
            </w:pPr>
          </w:p>
        </w:tc>
        <w:tc>
          <w:tcPr>
            <w:tcW w:w="120" w:type="dxa"/>
            <w:vAlign w:val="bottom"/>
          </w:tcPr>
          <w:p>
            <w:pPr>
              <w:spacing w:after="0"/>
              <w:rPr>
                <w:sz w:val="10"/>
                <w:szCs w:val="10"/>
                <w:color w:val="auto"/>
              </w:rPr>
            </w:pPr>
          </w:p>
        </w:tc>
        <w:tc>
          <w:tcPr>
            <w:tcW w:w="3080" w:type="dxa"/>
            <w:vAlign w:val="bottom"/>
            <w:gridSpan w:val="17"/>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0000FF"/>
              <w:bottom w:val="single" w:sz="8" w:color="0000FF"/>
            </w:tcBorders>
            <w:gridSpan w:val="2"/>
          </w:tcPr>
          <w:p>
            <w:pPr>
              <w:jc w:val="right"/>
              <w:spacing w:after="0" w:line="119" w:lineRule="exact"/>
              <w:rPr>
                <w:sz w:val="20"/>
                <w:szCs w:val="20"/>
                <w:color w:val="auto"/>
              </w:rPr>
            </w:pPr>
            <w:r>
              <w:rPr>
                <w:rFonts w:ascii="Arial" w:cs="Arial" w:eastAsia="Arial" w:hAnsi="Arial"/>
                <w:sz w:val="13"/>
                <w:szCs w:val="13"/>
                <w:color w:val="0000FF"/>
                <w:w w:val="82"/>
              </w:rPr>
              <w:t>50</w:t>
            </w:r>
          </w:p>
        </w:tc>
        <w:tc>
          <w:tcPr>
            <w:tcW w:w="0" w:type="dxa"/>
            <w:vAlign w:val="bottom"/>
          </w:tcPr>
          <w:p>
            <w:pPr>
              <w:spacing w:after="0"/>
              <w:rPr>
                <w:sz w:val="1"/>
                <w:szCs w:val="1"/>
                <w:color w:val="auto"/>
              </w:rPr>
            </w:pPr>
          </w:p>
        </w:tc>
      </w:tr>
      <w:tr>
        <w:trPr>
          <w:trHeight w:val="279"/>
        </w:trPr>
        <w:tc>
          <w:tcPr>
            <w:tcW w:w="480" w:type="dxa"/>
            <w:vAlign w:val="bottom"/>
            <w:gridSpan w:val="3"/>
          </w:tcPr>
          <w:p>
            <w:pPr>
              <w:spacing w:after="0"/>
              <w:rPr>
                <w:sz w:val="20"/>
                <w:szCs w:val="20"/>
                <w:color w:val="auto"/>
              </w:rPr>
            </w:pPr>
            <w:r>
              <w:rPr>
                <w:rFonts w:ascii="Arial" w:cs="Arial" w:eastAsia="Arial" w:hAnsi="Arial"/>
                <w:sz w:val="13"/>
                <w:szCs w:val="13"/>
                <w:b w:val="1"/>
                <w:bCs w:val="1"/>
                <w:color w:val="0000FF"/>
                <w:w w:val="99"/>
              </w:rPr>
              <w:t>PART II</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0000FF"/>
              </w:rPr>
              <w:t>51</w:t>
            </w:r>
          </w:p>
        </w:tc>
        <w:tc>
          <w:tcPr>
            <w:tcW w:w="0" w:type="dxa"/>
            <w:vAlign w:val="bottom"/>
          </w:tcPr>
          <w:p>
            <w:pPr>
              <w:spacing w:after="0"/>
              <w:rPr>
                <w:sz w:val="1"/>
                <w:szCs w:val="1"/>
                <w:color w:val="auto"/>
              </w:rPr>
            </w:pPr>
          </w:p>
        </w:tc>
      </w:tr>
      <w:tr>
        <w:trPr>
          <w:trHeight w:val="279"/>
        </w:trPr>
        <w:tc>
          <w:tcPr>
            <w:tcW w:w="40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90"/>
              </w:rPr>
              <w:t>Item 1.</w:t>
            </w: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13"/>
                <w:szCs w:val="13"/>
                <w:color w:val="0000FF"/>
              </w:rPr>
              <w:t>Legal Proceedings</w:t>
            </w:r>
          </w:p>
        </w:tc>
        <w:tc>
          <w:tcPr>
            <w:tcW w:w="360" w:type="dxa"/>
            <w:vAlign w:val="bottom"/>
          </w:tcPr>
          <w:p>
            <w:pPr>
              <w:spacing w:after="0"/>
              <w:rPr>
                <w:sz w:val="24"/>
                <w:szCs w:val="24"/>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51</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vMerge w:val="restart"/>
          </w:tcPr>
          <w:p>
            <w:pPr>
              <w:spacing w:after="0" w:line="20" w:lineRule="exact"/>
              <w:rPr>
                <w:sz w:val="1"/>
                <w:szCs w:val="1"/>
                <w:color w:val="auto"/>
              </w:rPr>
            </w:pPr>
          </w:p>
        </w:tc>
        <w:tc>
          <w:tcPr>
            <w:tcW w:w="440" w:type="dxa"/>
            <w:vAlign w:val="bottom"/>
            <w:gridSpan w:val="4"/>
            <w:vMerge w:val="restart"/>
          </w:tcPr>
          <w:p>
            <w:pPr>
              <w:spacing w:after="0" w:line="20" w:lineRule="exact"/>
              <w:rPr>
                <w:sz w:val="1"/>
                <w:szCs w:val="1"/>
                <w:color w:val="auto"/>
              </w:rPr>
            </w:pPr>
          </w:p>
        </w:tc>
        <w:tc>
          <w:tcPr>
            <w:tcW w:w="1640" w:type="dxa"/>
            <w:vAlign w:val="bottom"/>
            <w:gridSpan w:val="2"/>
            <w:vMerge w:val="restart"/>
          </w:tcPr>
          <w:p>
            <w:pPr>
              <w:spacing w:after="0" w:line="20" w:lineRule="exact"/>
              <w:rPr>
                <w:sz w:val="1"/>
                <w:szCs w:val="1"/>
                <w:color w:val="auto"/>
              </w:rPr>
            </w:pPr>
          </w:p>
        </w:tc>
        <w:tc>
          <w:tcPr>
            <w:tcW w:w="3080" w:type="dxa"/>
            <w:vAlign w:val="bottom"/>
            <w:gridSpan w:val="17"/>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80" w:type="dxa"/>
            <w:vAlign w:val="bottom"/>
            <w:tcBorders>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94"/>
              </w:rPr>
              <w:t>Item 1A.</w:t>
            </w:r>
          </w:p>
        </w:tc>
        <w:tc>
          <w:tcPr>
            <w:tcW w:w="160" w:type="dxa"/>
            <w:vAlign w:val="bottom"/>
            <w:vMerge w:val="continue"/>
          </w:tcPr>
          <w:p>
            <w:pPr>
              <w:spacing w:after="0"/>
              <w:rPr>
                <w:sz w:val="10"/>
                <w:szCs w:val="10"/>
                <w:color w:val="auto"/>
              </w:rPr>
            </w:pPr>
          </w:p>
        </w:tc>
        <w:tc>
          <w:tcPr>
            <w:tcW w:w="72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96"/>
              </w:rPr>
              <w:t>Risk Factors</w:t>
            </w:r>
          </w:p>
        </w:tc>
        <w:tc>
          <w:tcPr>
            <w:tcW w:w="340" w:type="dxa"/>
            <w:vAlign w:val="bottom"/>
            <w:gridSpan w:val="2"/>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440" w:type="dxa"/>
            <w:vAlign w:val="bottom"/>
            <w:gridSpan w:val="4"/>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3080" w:type="dxa"/>
            <w:vAlign w:val="bottom"/>
            <w:gridSpan w:val="17"/>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4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3"/>
                <w:szCs w:val="13"/>
                <w:color w:val="0000FF"/>
                <w:w w:val="82"/>
              </w:rPr>
              <w:t>51</w:t>
            </w:r>
          </w:p>
        </w:tc>
        <w:tc>
          <w:tcPr>
            <w:tcW w:w="0" w:type="dxa"/>
            <w:vAlign w:val="bottom"/>
          </w:tcPr>
          <w:p>
            <w:pPr>
              <w:spacing w:after="0"/>
              <w:rPr>
                <w:sz w:val="1"/>
                <w:szCs w:val="1"/>
                <w:color w:val="auto"/>
              </w:rPr>
            </w:pP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3460" w:type="dxa"/>
            <w:vAlign w:val="bottom"/>
            <w:tcBorders>
              <w:bottom w:val="single" w:sz="8" w:color="0000FF"/>
            </w:tcBorders>
            <w:gridSpan w:val="13"/>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3080" w:type="dxa"/>
            <w:vAlign w:val="bottom"/>
            <w:gridSpan w:val="17"/>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line="140" w:lineRule="exact"/>
              <w:rPr>
                <w:sz w:val="20"/>
                <w:szCs w:val="20"/>
                <w:color w:val="auto"/>
              </w:rPr>
            </w:pPr>
            <w:r>
              <w:rPr>
                <w:rFonts w:ascii="Arial" w:cs="Arial" w:eastAsia="Arial" w:hAnsi="Arial"/>
                <w:sz w:val="13"/>
                <w:szCs w:val="13"/>
                <w:color w:val="0000FF"/>
                <w:w w:val="82"/>
              </w:rPr>
              <w:t>52</w:t>
            </w: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Borders>
              <w:bottom w:val="single" w:sz="8" w:color="0000FF"/>
            </w:tcBorders>
            <w:gridSpan w:val="11"/>
          </w:tcPr>
          <w:p>
            <w:pPr>
              <w:spacing w:after="0" w:line="129" w:lineRule="exact"/>
              <w:rPr>
                <w:sz w:val="20"/>
                <w:szCs w:val="20"/>
                <w:color w:val="auto"/>
              </w:rPr>
            </w:pPr>
            <w:r>
              <w:rPr>
                <w:rFonts w:ascii="Arial" w:cs="Arial" w:eastAsia="Arial" w:hAnsi="Arial"/>
                <w:sz w:val="13"/>
                <w:szCs w:val="13"/>
                <w:color w:val="0000FF"/>
                <w:w w:val="97"/>
              </w:rPr>
              <w:t>Defaults Upon Senior Securities</w:t>
            </w:r>
          </w:p>
        </w:tc>
        <w:tc>
          <w:tcPr>
            <w:tcW w:w="4720" w:type="dxa"/>
            <w:vAlign w:val="bottom"/>
            <w:gridSpan w:val="19"/>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52</w:t>
            </w: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5160" w:type="dxa"/>
            <w:vAlign w:val="bottom"/>
            <w:gridSpan w:val="23"/>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52</w:t>
            </w: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5.</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bottom w:val="single" w:sz="8" w:color="0000FF"/>
            </w:tcBorders>
            <w:gridSpan w:val="4"/>
          </w:tcPr>
          <w:p>
            <w:pPr>
              <w:spacing w:after="0" w:line="129" w:lineRule="exact"/>
              <w:rPr>
                <w:sz w:val="20"/>
                <w:szCs w:val="20"/>
                <w:color w:val="auto"/>
              </w:rPr>
            </w:pPr>
            <w:r>
              <w:rPr>
                <w:rFonts w:ascii="Arial" w:cs="Arial" w:eastAsia="Arial" w:hAnsi="Arial"/>
                <w:sz w:val="13"/>
                <w:szCs w:val="13"/>
                <w:color w:val="0000FF"/>
              </w:rPr>
              <w:t>Other Information</w:t>
            </w:r>
          </w:p>
        </w:tc>
        <w:tc>
          <w:tcPr>
            <w:tcW w:w="5480" w:type="dxa"/>
            <w:vAlign w:val="bottom"/>
            <w:gridSpan w:val="26"/>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52</w:t>
            </w: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800" w:type="dxa"/>
            <w:vAlign w:val="bottom"/>
            <w:gridSpan w:val="27"/>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53</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3"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1.</w:t>
        <w:tab/>
        <w:t>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Consolidated Balance Sheets - Unaudited</w:t>
      </w:r>
    </w:p>
    <w:p>
      <w:pPr>
        <w:ind w:left="3220"/>
        <w:spacing w:after="0"/>
        <w:rPr>
          <w:sz w:val="20"/>
          <w:szCs w:val="20"/>
          <w:color w:val="auto"/>
        </w:rPr>
      </w:pPr>
      <w:r>
        <w:rPr>
          <w:rFonts w:ascii="Arial" w:cs="Arial" w:eastAsia="Arial" w:hAnsi="Arial"/>
          <w:sz w:val="14"/>
          <w:szCs w:val="14"/>
          <w:color w:val="auto"/>
        </w:rPr>
        <w:t>(Dollars in thousands, except share data)</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43"/>
              <w:spacing w:after="0"/>
              <w:rPr>
                <w:sz w:val="20"/>
                <w:szCs w:val="20"/>
                <w:color w:val="auto"/>
              </w:rPr>
            </w:pPr>
            <w:r>
              <w:rPr>
                <w:rFonts w:ascii="Arial" w:cs="Arial" w:eastAsia="Arial" w:hAnsi="Arial"/>
                <w:sz w:val="11"/>
                <w:szCs w:val="11"/>
                <w:b w:val="1"/>
                <w:bCs w:val="1"/>
                <w:color w:val="auto"/>
              </w:rPr>
              <w:t>March 31, 2023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December 31, 2022</w:t>
            </w: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20" w:type="dxa"/>
            <w:vAlign w:val="bottom"/>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5,586</w:t>
            </w: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6,605</w:t>
            </w:r>
          </w:p>
        </w:tc>
        <w:tc>
          <w:tcPr>
            <w:tcW w:w="20" w:type="dxa"/>
            <w:vAlign w:val="bottom"/>
          </w:tcPr>
          <w:p>
            <w:pPr>
              <w:spacing w:after="0"/>
              <w:rPr>
                <w:sz w:val="13"/>
                <w:szCs w:val="13"/>
                <w:color w:val="auto"/>
              </w:rPr>
            </w:pPr>
          </w:p>
        </w:tc>
      </w:tr>
      <w:tr>
        <w:trPr>
          <w:trHeight w:val="14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57,665</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47,563</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63,251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54,168</w:t>
            </w:r>
          </w:p>
        </w:tc>
        <w:tc>
          <w:tcPr>
            <w:tcW w:w="20" w:type="dxa"/>
            <w:vAlign w:val="bottom"/>
          </w:tcPr>
          <w:p>
            <w:pPr>
              <w:spacing w:after="0"/>
              <w:rPr>
                <w:sz w:val="13"/>
                <w:szCs w:val="13"/>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for credit losses of $0 (fair value $169,167 and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$169,088, respectively)</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186,428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188,699</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229,409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230,140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6,143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$18,887 and $17,487, respectively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1,561,507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1,489,851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5,135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5,263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43,048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39,567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42,360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13,652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7,465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7,749</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2,163,821</w:t>
            </w:r>
          </w:p>
        </w:tc>
        <w:tc>
          <w:tcPr>
            <w:tcW w:w="6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 deposits</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633,606</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629,776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900,478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915,853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50,573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66,675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245,805</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216,977</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1,830,462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1,829,281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120,000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46,000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13,652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3"/>
                <w:szCs w:val="13"/>
                <w:color w:val="auto"/>
              </w:rPr>
            </w:pPr>
          </w:p>
        </w:tc>
      </w:tr>
      <w:tr>
        <w:trPr>
          <w:trHeight w:val="169"/>
        </w:trPr>
        <w:tc>
          <w:tcPr>
            <w:tcW w:w="5240" w:type="dxa"/>
            <w:vAlign w:val="bottom"/>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15,849</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13,730</w:t>
            </w:r>
          </w:p>
        </w:tc>
        <w:tc>
          <w:tcPr>
            <w:tcW w:w="20" w:type="dxa"/>
            <w:vAlign w:val="bottom"/>
          </w:tcPr>
          <w:p>
            <w:pPr>
              <w:spacing w:after="0"/>
              <w:rPr>
                <w:sz w:val="14"/>
                <w:szCs w:val="14"/>
                <w:color w:val="auto"/>
              </w:rPr>
            </w:pPr>
          </w:p>
        </w:tc>
      </w:tr>
      <w:tr>
        <w:trPr>
          <w:trHeight w:val="13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1,979,963</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1,903,406</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F2F2F2"/>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F2F2F2"/>
              </w:rPr>
              <w:t>.</w:t>
            </w: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2"/>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March 31, 2023 and December 31, 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March 31, 2023 and December 31, 2022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2"/>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March 31, 2023 and December 31, 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373"/>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A Voting; $ 1.00 par value; 45,000,000 shares authorized; 19,622,380 issued and</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March 31, 2023, 20,000,753 issued and outstanding as of December 31, 2022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19,622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20" w:type="dxa"/>
            <w:vAlign w:val="bottom"/>
            <w:shd w:val="clear" w:color="auto" w:fill="CCEEFF"/>
          </w:tcPr>
          <w:p>
            <w:pPr>
              <w:spacing w:after="0"/>
              <w:rPr>
                <w:sz w:val="11"/>
                <w:szCs w:val="1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2"/>
        </w:trPr>
        <w:tc>
          <w:tcPr>
            <w:tcW w:w="5240" w:type="dxa"/>
            <w:vAlign w:val="bottom"/>
          </w:tcPr>
          <w:p>
            <w:pPr>
              <w:spacing w:after="0"/>
              <w:rPr>
                <w:sz w:val="20"/>
                <w:szCs w:val="20"/>
                <w:color w:val="auto"/>
              </w:rPr>
            </w:pPr>
            <w:r>
              <w:rPr>
                <w:rFonts w:ascii="Arial" w:cs="Arial" w:eastAsia="Arial" w:hAnsi="Arial"/>
                <w:sz w:val="11"/>
                <w:szCs w:val="11"/>
                <w:color w:val="auto"/>
              </w:rPr>
              <w:t>outstanding as of March 31, 2023 and December 31, 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305,921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(99,620)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(104,104)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(42,065)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(44,751)</w:t>
            </w:r>
          </w:p>
        </w:tc>
      </w:tr>
      <w:tr>
        <w:trPr>
          <w:trHeight w:val="15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183,858</w:t>
            </w:r>
          </w:p>
        </w:tc>
        <w:tc>
          <w:tcPr>
            <w:tcW w:w="4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182,428</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2,163,821</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00"/>
        </w:trPr>
        <w:tc>
          <w:tcPr>
            <w:tcW w:w="5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left="2020"/>
        <w:spacing w:after="0"/>
        <w:tabs>
          <w:tab w:leader="none" w:pos="2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Operations -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7"/>
          </w:tcPr>
          <w:p>
            <w:pPr>
              <w:ind w:left="80"/>
              <w:spacing w:after="0"/>
              <w:rPr>
                <w:sz w:val="20"/>
                <w:szCs w:val="20"/>
                <w:color w:val="auto"/>
              </w:rPr>
            </w:pPr>
            <w:r>
              <w:rPr>
                <w:rFonts w:ascii="Arial" w:cs="Arial" w:eastAsia="Arial" w:hAnsi="Arial"/>
                <w:sz w:val="11"/>
                <w:szCs w:val="11"/>
                <w:b w:val="1"/>
                <w:bCs w:val="1"/>
                <w:color w:val="auto"/>
              </w:rPr>
              <w:t>Three Months Ended March 31,</w:t>
            </w:r>
          </w:p>
        </w:tc>
      </w:tr>
      <w:tr>
        <w:trPr>
          <w:trHeight w:val="151"/>
        </w:trPr>
        <w:tc>
          <w:tcPr>
            <w:tcW w:w="512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51"/>
        </w:trPr>
        <w:tc>
          <w:tcPr>
            <w:tcW w:w="5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19,711</w:t>
            </w: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12,982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51"/>
        </w:trPr>
        <w:tc>
          <w:tcPr>
            <w:tcW w:w="51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22,379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15,342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1"/>
        </w:trPr>
        <w:tc>
          <w:tcPr>
            <w:tcW w:w="512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4,785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51"/>
        </w:trPr>
        <w:tc>
          <w:tcPr>
            <w:tcW w:w="51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6,382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1"/>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15,997</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14,379</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5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1"/>
        </w:trPr>
        <w:tc>
          <w:tcPr>
            <w:tcW w:w="5120" w:type="dxa"/>
            <w:vAlign w:val="bottom"/>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15,796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14,379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5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900</w:t>
            </w: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gain on sale of securities available for sale,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347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334</w:t>
            </w: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529</w:t>
            </w:r>
          </w:p>
        </w:tc>
        <w:tc>
          <w:tcPr>
            <w:tcW w:w="40" w:type="dxa"/>
            <w:vAlign w:val="bottom"/>
          </w:tcPr>
          <w:p>
            <w:pPr>
              <w:spacing w:after="0"/>
              <w:rPr>
                <w:sz w:val="14"/>
                <w:szCs w:val="14"/>
                <w:color w:val="auto"/>
              </w:rPr>
            </w:pPr>
          </w:p>
        </w:tc>
      </w:tr>
      <w:tr>
        <w:trPr>
          <w:trHeight w:val="151"/>
        </w:trPr>
        <w:tc>
          <w:tcPr>
            <w:tcW w:w="51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2,070</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1,945</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1"/>
        </w:trPr>
        <w:tc>
          <w:tcPr>
            <w:tcW w:w="512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1,299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1,270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358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1,350</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51"/>
        </w:trPr>
        <w:tc>
          <w:tcPr>
            <w:tcW w:w="51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10,176</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9,612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1"/>
        </w:trPr>
        <w:tc>
          <w:tcPr>
            <w:tcW w:w="5120" w:type="dxa"/>
            <w:vAlign w:val="bottom"/>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7,690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1,881</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1"/>
        </w:trPr>
        <w:tc>
          <w:tcPr>
            <w:tcW w:w="5120" w:type="dxa"/>
            <w:vAlign w:val="bottom"/>
          </w:tcPr>
          <w:p>
            <w:pPr>
              <w:ind w:left="30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5,809</w:t>
            </w: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11"/>
        </w:trPr>
        <w:tc>
          <w:tcPr>
            <w:tcW w:w="512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71"/>
        </w:trPr>
        <w:tc>
          <w:tcPr>
            <w:tcW w:w="512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0.29</w:t>
            </w: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5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56"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1620"/>
        <w:spacing w:after="0"/>
        <w:tabs>
          <w:tab w:leader="none" w:pos="2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Comprehensive Income (Loss)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5"/>
          </w:tcPr>
          <w:p>
            <w:pPr>
              <w:jc w:val="right"/>
              <w:ind w:right="120"/>
              <w:spacing w:after="0"/>
              <w:rPr>
                <w:sz w:val="20"/>
                <w:szCs w:val="20"/>
                <w:color w:val="auto"/>
              </w:rPr>
            </w:pPr>
            <w:r>
              <w:rPr>
                <w:rFonts w:ascii="Arial" w:cs="Arial" w:eastAsia="Arial" w:hAnsi="Arial"/>
                <w:sz w:val="11"/>
                <w:szCs w:val="11"/>
                <w:b w:val="1"/>
                <w:bCs w:val="1"/>
                <w:color w:val="auto"/>
              </w:rPr>
              <w:t>Three Months Ended March 31,</w:t>
            </w:r>
          </w:p>
        </w:tc>
      </w:tr>
      <w:tr>
        <w:trPr>
          <w:trHeight w:val="129"/>
        </w:trPr>
        <w:tc>
          <w:tcPr>
            <w:tcW w:w="58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2023</w:t>
            </w:r>
          </w:p>
        </w:tc>
        <w:tc>
          <w:tcPr>
            <w:tcW w:w="3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1"/>
                <w:szCs w:val="1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82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600" w:type="dxa"/>
            <w:vAlign w:val="bottom"/>
            <w:gridSpan w:val="2"/>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5,809</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1"/>
                <w:szCs w:val="1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58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Unrealized gain (loss) on investment securities</w:t>
            </w: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3,637</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(22,775)</w:t>
            </w:r>
          </w:p>
        </w:tc>
      </w:tr>
      <w:tr>
        <w:trPr>
          <w:trHeight w:val="309"/>
        </w:trPr>
        <w:tc>
          <w:tcPr>
            <w:tcW w:w="5820" w:type="dxa"/>
            <w:vAlign w:val="bottom"/>
          </w:tcPr>
          <w:p>
            <w:pPr>
              <w:ind w:left="100"/>
              <w:spacing w:after="0"/>
              <w:rPr>
                <w:sz w:val="20"/>
                <w:szCs w:val="20"/>
                <w:color w:val="auto"/>
              </w:rPr>
            </w:pPr>
            <w:r>
              <w:rPr>
                <w:rFonts w:ascii="Arial" w:cs="Arial" w:eastAsia="Arial" w:hAnsi="Arial"/>
                <w:sz w:val="11"/>
                <w:szCs w:val="11"/>
                <w:color w:val="auto"/>
              </w:rPr>
              <w:t>Amortization of net unrealized (loss) gain on securities transferred from available-for-sale to held-to-maturity</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(60)</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w:t>
            </w:r>
          </w:p>
        </w:tc>
        <w:tc>
          <w:tcPr>
            <w:tcW w:w="20" w:type="dxa"/>
            <w:vAlign w:val="bottom"/>
          </w:tcPr>
          <w:p>
            <w:pPr>
              <w:spacing w:after="0"/>
              <w:rPr>
                <w:sz w:val="24"/>
                <w:szCs w:val="24"/>
                <w:color w:val="auto"/>
              </w:rPr>
            </w:pPr>
          </w:p>
        </w:tc>
      </w:tr>
      <w:tr>
        <w:trPr>
          <w:trHeight w:val="160"/>
        </w:trPr>
        <w:tc>
          <w:tcPr>
            <w:tcW w:w="58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loss (gain) included in net income</w:t>
            </w: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w:t>
            </w:r>
          </w:p>
        </w:tc>
      </w:tr>
      <w:tr>
        <w:trPr>
          <w:trHeight w:val="169"/>
        </w:trPr>
        <w:tc>
          <w:tcPr>
            <w:tcW w:w="5820" w:type="dxa"/>
            <w:vAlign w:val="bottom"/>
          </w:tcPr>
          <w:p>
            <w:pPr>
              <w:ind w:left="100"/>
              <w:spacing w:after="0"/>
              <w:rPr>
                <w:sz w:val="20"/>
                <w:szCs w:val="20"/>
                <w:color w:val="auto"/>
              </w:rPr>
            </w:pPr>
            <w:r>
              <w:rPr>
                <w:rFonts w:ascii="Arial" w:cs="Arial" w:eastAsia="Arial" w:hAnsi="Arial"/>
                <w:sz w:val="11"/>
                <w:szCs w:val="11"/>
                <w:color w:val="auto"/>
              </w:rPr>
              <w:t>Tax effect</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(912)</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5,789</w:t>
            </w:r>
          </w:p>
        </w:tc>
        <w:tc>
          <w:tcPr>
            <w:tcW w:w="20" w:type="dxa"/>
            <w:vAlign w:val="bottom"/>
          </w:tcPr>
          <w:p>
            <w:pPr>
              <w:spacing w:after="0"/>
              <w:rPr>
                <w:sz w:val="14"/>
                <w:szCs w:val="14"/>
                <w:color w:val="auto"/>
              </w:rPr>
            </w:pPr>
          </w:p>
        </w:tc>
      </w:tr>
      <w:tr>
        <w:trPr>
          <w:trHeight w:val="131"/>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other comprehensive income (loss), net of tax</w:t>
            </w:r>
          </w:p>
        </w:tc>
        <w:tc>
          <w:tcPr>
            <w:tcW w:w="20" w:type="dxa"/>
            <w:vAlign w:val="bottom"/>
            <w:tcBorders>
              <w:top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2,686</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(16,942)</w:t>
            </w:r>
          </w:p>
        </w:tc>
      </w:tr>
      <w:tr>
        <w:trPr>
          <w:trHeight w:val="20"/>
        </w:trPr>
        <w:tc>
          <w:tcPr>
            <w:tcW w:w="58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5820" w:type="dxa"/>
            <w:vAlign w:val="bottom"/>
          </w:tcPr>
          <w:p>
            <w:pPr>
              <w:spacing w:after="0"/>
              <w:rPr>
                <w:sz w:val="20"/>
                <w:szCs w:val="20"/>
                <w:color w:val="auto"/>
              </w:rPr>
            </w:pPr>
            <w:r>
              <w:rPr>
                <w:rFonts w:ascii="Arial" w:cs="Arial" w:eastAsia="Arial" w:hAnsi="Arial"/>
                <w:sz w:val="11"/>
                <w:szCs w:val="11"/>
                <w:color w:val="auto"/>
              </w:rPr>
              <w:t>Total comprehensive income (loss)</w:t>
            </w:r>
          </w:p>
        </w:tc>
        <w:tc>
          <w:tcPr>
            <w:tcW w:w="600" w:type="dxa"/>
            <w:vAlign w:val="bottom"/>
            <w:tcBorders>
              <w:bottom w:val="single" w:sz="8" w:color="auto"/>
            </w:tcBorders>
            <w:gridSpan w:val="2"/>
          </w:tcPr>
          <w:p>
            <w:pPr>
              <w:jc w:val="right"/>
              <w:ind w:right="463"/>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4"/>
              </w:rPr>
              <w:t>8,495</w:t>
            </w: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(12,088)</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20"/>
        <w:spacing w:after="0"/>
        <w:tabs>
          <w:tab w:leader="none" w:pos="26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t>Table of Contents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Changes in Stockholders’ Equity - Unaudited</w:t>
      </w: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96"/>
              </w:rPr>
              <w:t>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6"/>
              </w:rPr>
              <w:t>Additional Paid-in</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6"/>
              </w:rPr>
              <w:t>Accumulated Other</w:t>
            </w:r>
          </w:p>
        </w:tc>
        <w:tc>
          <w:tcPr>
            <w:tcW w:w="10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6"/>
              </w:rPr>
              <w:t>Total Stockholders'</w:t>
            </w: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20"/>
              <w:spacing w:after="0"/>
              <w:rPr>
                <w:sz w:val="20"/>
                <w:szCs w:val="20"/>
                <w:color w:val="auto"/>
              </w:rPr>
            </w:pPr>
            <w:r>
              <w:rPr>
                <w:rFonts w:ascii="Arial" w:cs="Arial" w:eastAsia="Arial" w:hAnsi="Arial"/>
                <w:sz w:val="11"/>
                <w:szCs w:val="11"/>
                <w:b w:val="1"/>
                <w:bCs w:val="1"/>
                <w:color w:val="auto"/>
              </w:rPr>
              <w:t>Capital on Common</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6"/>
              </w:rPr>
              <w:t>Comprehensive</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207"/>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Stock</w:t>
            </w: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w w:val="98"/>
              </w:rPr>
              <w:t>Accumulated Deficit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Loss</w:t>
            </w:r>
          </w:p>
        </w:tc>
        <w:tc>
          <w:tcPr>
            <w:tcW w:w="120" w:type="dxa"/>
            <w:vAlign w:val="bottom"/>
          </w:tcPr>
          <w:p>
            <w:pPr>
              <w:spacing w:after="0"/>
              <w:rPr>
                <w:sz w:val="11"/>
                <w:szCs w:val="11"/>
                <w:color w:val="auto"/>
              </w:rPr>
            </w:pPr>
          </w:p>
        </w:tc>
        <w:tc>
          <w:tcPr>
            <w:tcW w:w="900" w:type="dxa"/>
            <w:vAlign w:val="bottom"/>
          </w:tcPr>
          <w:p>
            <w:pPr>
              <w:jc w:val="right"/>
              <w:ind w:right="30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3900" w:type="dxa"/>
            <w:vAlign w:val="bottom"/>
            <w:tcBorders>
              <w:top w:val="single" w:sz="8" w:color="CCEEFF"/>
            </w:tcBorders>
            <w:gridSpan w:val="2"/>
            <w:shd w:val="clear" w:color="auto" w:fill="CCEEFF"/>
          </w:tcPr>
          <w:p>
            <w:pPr>
              <w:spacing w:after="0" w:line="119" w:lineRule="exact"/>
              <w:rPr>
                <w:sz w:val="20"/>
                <w:szCs w:val="20"/>
                <w:color w:val="auto"/>
              </w:rPr>
            </w:pPr>
            <w:r>
              <w:rPr>
                <w:rFonts w:ascii="Arial" w:cs="Arial" w:eastAsia="Arial" w:hAnsi="Arial"/>
                <w:sz w:val="11"/>
                <w:szCs w:val="11"/>
                <w:color w:val="auto"/>
              </w:rPr>
              <w:t>Balance at December 31, 2022</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20,000,753</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center"/>
              <w:ind w:right="7"/>
              <w:spacing w:after="0" w:line="119" w:lineRule="exact"/>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20,001</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311,282</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(104,104)</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(44,751)</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39"/>
        </w:trPr>
        <w:tc>
          <w:tcPr>
            <w:tcW w:w="3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Cumulative effect of adoption of accounting principle related to ASC 326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(1,325)</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(1,325)</w:t>
            </w:r>
          </w:p>
        </w:tc>
        <w:tc>
          <w:tcPr>
            <w:tcW w:w="0" w:type="dxa"/>
            <w:vAlign w:val="bottom"/>
          </w:tcPr>
          <w:p>
            <w:pPr>
              <w:spacing w:after="0"/>
              <w:rPr>
                <w:sz w:val="1"/>
                <w:szCs w:val="1"/>
                <w:color w:val="auto"/>
              </w:rPr>
            </w:pPr>
          </w:p>
        </w:tc>
      </w:tr>
      <w:tr>
        <w:trPr>
          <w:trHeight w:val="129"/>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Adjusted beginning balance after cumulative effect adjustment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(105,429)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(44,751)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181,103</w:t>
            </w:r>
          </w:p>
        </w:tc>
        <w:tc>
          <w:tcPr>
            <w:tcW w:w="0" w:type="dxa"/>
            <w:vAlign w:val="bottom"/>
          </w:tcPr>
          <w:p>
            <w:pPr>
              <w:spacing w:after="0"/>
              <w:rPr>
                <w:sz w:val="1"/>
                <w:szCs w:val="1"/>
                <w:color w:val="auto"/>
              </w:rPr>
            </w:pPr>
          </w:p>
        </w:tc>
      </w:tr>
      <w:tr>
        <w:trPr>
          <w:trHeight w:val="139"/>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5,809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5,809</w:t>
            </w:r>
          </w:p>
        </w:tc>
        <w:tc>
          <w:tcPr>
            <w:tcW w:w="0" w:type="dxa"/>
            <w:vAlign w:val="bottom"/>
          </w:tcPr>
          <w:p>
            <w:pPr>
              <w:spacing w:after="0"/>
              <w:rPr>
                <w:sz w:val="1"/>
                <w:szCs w:val="1"/>
                <w:color w:val="auto"/>
              </w:rPr>
            </w:pPr>
          </w:p>
        </w:tc>
      </w:tr>
      <w:tr>
        <w:trPr>
          <w:trHeight w:val="128"/>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2,686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2,686</w:t>
            </w:r>
          </w:p>
        </w:tc>
        <w:tc>
          <w:tcPr>
            <w:tcW w:w="0" w:type="dxa"/>
            <w:vAlign w:val="bottom"/>
          </w:tcPr>
          <w:p>
            <w:pPr>
              <w:spacing w:after="0"/>
              <w:rPr>
                <w:sz w:val="1"/>
                <w:szCs w:val="1"/>
                <w:color w:val="auto"/>
              </w:rPr>
            </w:pPr>
          </w:p>
        </w:tc>
      </w:tr>
      <w:tr>
        <w:trPr>
          <w:trHeight w:val="149"/>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Repurchase of Class A common stock</w:t>
            </w:r>
          </w:p>
        </w:tc>
        <w:tc>
          <w:tcPr>
            <w:tcW w:w="900" w:type="dxa"/>
            <w:vAlign w:val="bottom"/>
          </w:tcPr>
          <w:p>
            <w:pPr>
              <w:jc w:val="right"/>
              <w:spacing w:after="0"/>
              <w:rPr>
                <w:sz w:val="20"/>
                <w:szCs w:val="20"/>
                <w:color w:val="auto"/>
              </w:rPr>
            </w:pPr>
            <w:r>
              <w:rPr>
                <w:rFonts w:ascii="Arial" w:cs="Arial" w:eastAsia="Arial" w:hAnsi="Arial"/>
                <w:sz w:val="11"/>
                <w:szCs w:val="11"/>
                <w:color w:val="auto"/>
              </w:rPr>
              <w:t>(500,000)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(500)</w:t>
            </w: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(5,367)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(5,867)</w:t>
            </w:r>
          </w:p>
        </w:tc>
        <w:tc>
          <w:tcPr>
            <w:tcW w:w="0" w:type="dxa"/>
            <w:vAlign w:val="bottom"/>
          </w:tcPr>
          <w:p>
            <w:pPr>
              <w:spacing w:after="0"/>
              <w:rPr>
                <w:sz w:val="1"/>
                <w:szCs w:val="1"/>
                <w:color w:val="auto"/>
              </w:rPr>
            </w:pPr>
          </w:p>
        </w:tc>
      </w:tr>
      <w:tr>
        <w:trPr>
          <w:trHeight w:val="128"/>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121,627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(121)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Stock 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127</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19"/>
        </w:trPr>
        <w:tc>
          <w:tcPr>
            <w:tcW w:w="390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Balance at March 31, 2023</w:t>
            </w:r>
          </w:p>
        </w:tc>
        <w:tc>
          <w:tcPr>
            <w:tcW w:w="9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19,622,380</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center"/>
              <w:ind w:right="7"/>
              <w:spacing w:after="0" w:line="119" w:lineRule="exact"/>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19,622</w:t>
            </w:r>
          </w:p>
        </w:tc>
        <w:tc>
          <w:tcPr>
            <w:tcW w:w="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305,921</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(99,620)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(42,065)</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183,858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8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94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at January 1, 2022</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(124,245)</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28"/>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4,854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4,854</w:t>
            </w:r>
          </w:p>
        </w:tc>
        <w:tc>
          <w:tcPr>
            <w:tcW w:w="0" w:type="dxa"/>
            <w:vAlign w:val="bottom"/>
          </w:tcPr>
          <w:p>
            <w:pPr>
              <w:spacing w:after="0"/>
              <w:rPr>
                <w:sz w:val="1"/>
                <w:szCs w:val="1"/>
                <w:color w:val="auto"/>
              </w:rPr>
            </w:pPr>
          </w:p>
        </w:tc>
      </w:tr>
      <w:tr>
        <w:trPr>
          <w:trHeight w:val="139"/>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(16,942)</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(16,942)</w:t>
            </w:r>
          </w:p>
        </w:tc>
        <w:tc>
          <w:tcPr>
            <w:tcW w:w="0" w:type="dxa"/>
            <w:vAlign w:val="bottom"/>
          </w:tcPr>
          <w:p>
            <w:pPr>
              <w:spacing w:after="0"/>
              <w:rPr>
                <w:sz w:val="1"/>
                <w:szCs w:val="1"/>
                <w:color w:val="auto"/>
              </w:rPr>
            </w:pPr>
          </w:p>
        </w:tc>
      </w:tr>
      <w:tr>
        <w:trPr>
          <w:trHeight w:val="139"/>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1"/>
                <w:szCs w:val="11"/>
                <w:color w:val="auto"/>
              </w:rPr>
              <w:t>9,000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39"/>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119"/>
        </w:trPr>
        <w:tc>
          <w:tcPr>
            <w:tcW w:w="3900" w:type="dxa"/>
            <w:vAlign w:val="bottom"/>
            <w:gridSpan w:val="2"/>
          </w:tcPr>
          <w:p>
            <w:pPr>
              <w:spacing w:after="0" w:line="119" w:lineRule="exact"/>
              <w:rPr>
                <w:sz w:val="20"/>
                <w:szCs w:val="20"/>
                <w:color w:val="auto"/>
              </w:rPr>
            </w:pPr>
            <w:r>
              <w:rPr>
                <w:rFonts w:ascii="Arial" w:cs="Arial" w:eastAsia="Arial" w:hAnsi="Arial"/>
                <w:sz w:val="11"/>
                <w:szCs w:val="11"/>
                <w:color w:val="auto"/>
              </w:rPr>
              <w:t>Balance at March 31, 2022</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20,000,753</w:t>
            </w:r>
          </w:p>
        </w:tc>
        <w:tc>
          <w:tcPr>
            <w:tcW w:w="60" w:type="dxa"/>
            <w:vAlign w:val="bottom"/>
          </w:tcPr>
          <w:p>
            <w:pPr>
              <w:spacing w:after="0"/>
              <w:rPr>
                <w:sz w:val="10"/>
                <w:szCs w:val="10"/>
                <w:color w:val="auto"/>
              </w:rPr>
            </w:pPr>
          </w:p>
        </w:tc>
        <w:tc>
          <w:tcPr>
            <w:tcW w:w="120" w:type="dxa"/>
            <w:vAlign w:val="bottom"/>
            <w:tcBorders>
              <w:bottom w:val="single" w:sz="8" w:color="auto"/>
            </w:tcBorders>
          </w:tcPr>
          <w:p>
            <w:pPr>
              <w:jc w:val="center"/>
              <w:ind w:right="7"/>
              <w:spacing w:after="0" w:line="119" w:lineRule="exact"/>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20,001</w:t>
            </w: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color w:val="auto"/>
              </w:rPr>
              <w:t>310,887</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(119,391)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color w:val="auto"/>
              </w:rPr>
              <w:t>(19,458)</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192,039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3440"/>
        <w:spacing w:after="0"/>
        <w:tabs>
          <w:tab w:leader="none" w:pos="2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10240"/>
          </w:cols>
          <w:pgMar w:left="900" w:top="481" w:right="75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Cash Flows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30"/>
        </w:trPr>
        <w:tc>
          <w:tcPr>
            <w:tcW w:w="5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6"/>
          </w:tcPr>
          <w:p>
            <w:pPr>
              <w:jc w:val="right"/>
              <w:ind w:right="367"/>
              <w:spacing w:after="0"/>
              <w:rPr>
                <w:sz w:val="20"/>
                <w:szCs w:val="20"/>
                <w:color w:val="auto"/>
              </w:rPr>
            </w:pPr>
            <w:r>
              <w:rPr>
                <w:rFonts w:ascii="Arial" w:cs="Arial" w:eastAsia="Arial" w:hAnsi="Arial"/>
                <w:sz w:val="11"/>
                <w:szCs w:val="11"/>
                <w:b w:val="1"/>
                <w:bCs w:val="1"/>
                <w:color w:val="auto"/>
              </w:rPr>
              <w:t>Three Months Ended March 31,</w:t>
            </w:r>
          </w:p>
        </w:tc>
        <w:tc>
          <w:tcPr>
            <w:tcW w:w="20" w:type="dxa"/>
            <w:vAlign w:val="bottom"/>
          </w:tcPr>
          <w:p>
            <w:pPr>
              <w:spacing w:after="0"/>
              <w:rPr>
                <w:sz w:val="11"/>
                <w:szCs w:val="11"/>
                <w:color w:val="auto"/>
              </w:rPr>
            </w:pPr>
          </w:p>
        </w:tc>
      </w:tr>
      <w:tr>
        <w:trPr>
          <w:trHeight w:val="129"/>
        </w:trPr>
        <w:tc>
          <w:tcPr>
            <w:tcW w:w="52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CCEEFF"/>
            </w:tcBorders>
          </w:tcPr>
          <w:p>
            <w:pPr>
              <w:spacing w:after="0"/>
              <w:rPr>
                <w:sz w:val="11"/>
                <w:szCs w:val="11"/>
                <w:color w:val="auto"/>
              </w:rPr>
            </w:pPr>
          </w:p>
        </w:tc>
      </w:tr>
      <w:tr>
        <w:trPr>
          <w:trHeight w:val="129"/>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10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9"/>
        </w:trPr>
        <w:tc>
          <w:tcPr>
            <w:tcW w:w="52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5,809</w:t>
            </w:r>
          </w:p>
        </w:tc>
        <w:tc>
          <w:tcPr>
            <w:tcW w:w="17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9"/>
        </w:trPr>
        <w:tc>
          <w:tcPr>
            <w:tcW w:w="5240" w:type="dxa"/>
            <w:vAlign w:val="bottom"/>
          </w:tcPr>
          <w:p>
            <w:pPr>
              <w:ind w:left="220"/>
              <w:spacing w:after="0"/>
              <w:rPr>
                <w:sz w:val="20"/>
                <w:szCs w:val="20"/>
                <w:color w:val="auto"/>
              </w:rPr>
            </w:pPr>
            <w:r>
              <w:rPr>
                <w:rFonts w:ascii="Arial" w:cs="Arial" w:eastAsia="Arial" w:hAnsi="Arial"/>
                <w:sz w:val="11"/>
                <w:szCs w:val="11"/>
                <w:color w:val="auto"/>
              </w:rPr>
              <w:t>Provision for credit losses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Depreciation and amortization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188</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220"/>
              <w:spacing w:after="0"/>
              <w:rPr>
                <w:sz w:val="20"/>
                <w:szCs w:val="20"/>
                <w:color w:val="auto"/>
              </w:rPr>
            </w:pPr>
            <w:r>
              <w:rPr>
                <w:rFonts w:ascii="Arial" w:cs="Arial" w:eastAsia="Arial" w:hAnsi="Arial"/>
                <w:sz w:val="11"/>
                <w:szCs w:val="11"/>
                <w:color w:val="auto"/>
              </w:rPr>
              <w:t>(Accretion) Amortization of premiums on securities,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169</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Accretion of deferred loan fees,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220"/>
              <w:spacing w:after="0"/>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128</w:t>
            </w:r>
          </w:p>
        </w:tc>
        <w:tc>
          <w:tcPr>
            <w:tcW w:w="20" w:type="dxa"/>
            <w:vAlign w:val="bottom"/>
          </w:tcPr>
          <w:p>
            <w:pPr>
              <w:spacing w:after="0"/>
              <w:rPr>
                <w:sz w:val="12"/>
                <w:szCs w:val="12"/>
                <w:color w:val="auto"/>
              </w:rPr>
            </w:pPr>
          </w:p>
        </w:tc>
      </w:tr>
      <w:tr>
        <w:trPr>
          <w:trHeight w:val="139"/>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Loss (gain) on sale of available for sale securities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220"/>
              <w:spacing w:after="0"/>
              <w:rPr>
                <w:sz w:val="20"/>
                <w:szCs w:val="20"/>
                <w:color w:val="auto"/>
              </w:rPr>
            </w:pPr>
            <w:r>
              <w:rPr>
                <w:rFonts w:ascii="Arial" w:cs="Arial" w:eastAsia="Arial" w:hAnsi="Arial"/>
                <w:sz w:val="11"/>
                <w:szCs w:val="11"/>
                <w:color w:val="auto"/>
              </w:rPr>
              <w:t>Gain on sale of loans held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(334)</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Increase in cash surrender value of bank owned life insurance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220"/>
              <w:spacing w:after="0"/>
              <w:rPr>
                <w:sz w:val="20"/>
                <w:szCs w:val="20"/>
                <w:color w:val="auto"/>
              </w:rPr>
            </w:pPr>
            <w:r>
              <w:rPr>
                <w:rFonts w:ascii="Arial" w:cs="Arial" w:eastAsia="Arial" w:hAnsi="Arial"/>
                <w:sz w:val="11"/>
                <w:szCs w:val="11"/>
                <w:color w:val="auto"/>
              </w:rPr>
              <w:t>Decrease in deferred tax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1,881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1,858</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change in operating assets and 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9"/>
        </w:trPr>
        <w:tc>
          <w:tcPr>
            <w:tcW w:w="5240" w:type="dxa"/>
            <w:vAlign w:val="bottom"/>
          </w:tcPr>
          <w:p>
            <w:pPr>
              <w:ind w:left="220"/>
              <w:spacing w:after="0"/>
              <w:rPr>
                <w:sz w:val="20"/>
                <w:szCs w:val="20"/>
                <w:color w:val="auto"/>
              </w:rPr>
            </w:pPr>
            <w:r>
              <w:rPr>
                <w:rFonts w:ascii="Arial" w:cs="Arial" w:eastAsia="Arial" w:hAnsi="Arial"/>
                <w:sz w:val="11"/>
                <w:szCs w:val="11"/>
                <w:color w:val="auto"/>
              </w:rPr>
              <w:t>Accrued interest receivable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(670)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(328)</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284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(2,838)</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1,943</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7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3,000</w:t>
            </w:r>
          </w:p>
        </w:tc>
        <w:tc>
          <w:tcPr>
            <w:tcW w:w="20" w:type="dxa"/>
            <w:vAlign w:val="bottom"/>
          </w:tcPr>
          <w:p>
            <w:pPr>
              <w:spacing w:after="0"/>
              <w:rPr>
                <w:sz w:val="12"/>
                <w:szCs w:val="12"/>
                <w:color w:val="auto"/>
              </w:rPr>
            </w:pPr>
          </w:p>
        </w:tc>
      </w:tr>
      <w:tr>
        <w:trPr>
          <w:trHeight w:val="129"/>
        </w:trPr>
        <w:tc>
          <w:tcPr>
            <w:tcW w:w="52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Net cash provided by operating activities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9,001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5,603</w:t>
            </w:r>
          </w:p>
        </w:tc>
        <w:tc>
          <w:tcPr>
            <w:tcW w:w="20" w:type="dxa"/>
            <w:vAlign w:val="bottom"/>
            <w:shd w:val="clear" w:color="auto" w:fill="CCEEFF"/>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140"/>
              <w:spacing w:after="0"/>
              <w:rPr>
                <w:sz w:val="20"/>
                <w:szCs w:val="20"/>
                <w:color w:val="auto"/>
              </w:rPr>
            </w:pPr>
            <w:r>
              <w:rPr>
                <w:rFonts w:ascii="Arial" w:cs="Arial" w:eastAsia="Arial" w:hAnsi="Arial"/>
                <w:sz w:val="11"/>
                <w:szCs w:val="11"/>
                <w:color w:val="auto"/>
              </w:rPr>
              <w:t>Purchase of investment securities held to maturity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(2,432)</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maturities and pay-downs of investment securities held to maturity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2,406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2,626</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140"/>
              <w:spacing w:after="0"/>
              <w:rPr>
                <w:sz w:val="20"/>
                <w:szCs w:val="20"/>
                <w:color w:val="auto"/>
              </w:rPr>
            </w:pPr>
            <w:r>
              <w:rPr>
                <w:rFonts w:ascii="Arial" w:cs="Arial" w:eastAsia="Arial" w:hAnsi="Arial"/>
                <w:sz w:val="11"/>
                <w:szCs w:val="11"/>
                <w:color w:val="auto"/>
              </w:rPr>
              <w:t>Purchase of investment securities available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(7,667)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(42,794)</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maturities and pay-downs of investment securities available for 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3,261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14,788</w:t>
            </w:r>
          </w:p>
        </w:tc>
        <w:tc>
          <w:tcPr>
            <w:tcW w:w="20" w:type="dxa"/>
            <w:vAlign w:val="bottom"/>
            <w:shd w:val="clear" w:color="auto" w:fill="CCEEFF"/>
          </w:tcPr>
          <w:p>
            <w:pPr>
              <w:spacing w:after="0"/>
              <w:rPr>
                <w:sz w:val="12"/>
                <w:szCs w:val="12"/>
                <w:color w:val="auto"/>
              </w:rPr>
            </w:pPr>
          </w:p>
        </w:tc>
      </w:tr>
      <w:tr>
        <w:trPr>
          <w:trHeight w:val="139"/>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sales of investment securities available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8,617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14,558</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increase in loans held for investment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(77,413)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140"/>
              <w:spacing w:after="0"/>
              <w:rPr>
                <w:sz w:val="20"/>
                <w:szCs w:val="20"/>
                <w:color w:val="auto"/>
              </w:rPr>
            </w:pPr>
            <w:r>
              <w:rPr>
                <w:rFonts w:ascii="Arial" w:cs="Arial" w:eastAsia="Arial" w:hAnsi="Arial"/>
                <w:sz w:val="11"/>
                <w:szCs w:val="11"/>
                <w:color w:val="auto"/>
              </w:rPr>
              <w:t>Purchase of loans held for investment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(70,175)</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Additions to premises and equipment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the sale of loans held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4,847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3,643</w:t>
            </w:r>
          </w:p>
        </w:tc>
        <w:tc>
          <w:tcPr>
            <w:tcW w:w="20" w:type="dxa"/>
            <w:vAlign w:val="bottom"/>
          </w:tcPr>
          <w:p>
            <w:pPr>
              <w:spacing w:after="0"/>
              <w:rPr>
                <w:sz w:val="12"/>
                <w:szCs w:val="12"/>
                <w:color w:val="auto"/>
              </w:rPr>
            </w:pPr>
          </w:p>
        </w:tc>
      </w:tr>
      <w:tr>
        <w:trPr>
          <w:trHeight w:val="13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the redemption of Federal Home Loan Bank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3,570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Purchase of Federal Home Loan Bank stock</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(6,831)</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7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w:t>
            </w:r>
          </w:p>
        </w:tc>
        <w:tc>
          <w:tcPr>
            <w:tcW w:w="20" w:type="dxa"/>
            <w:vAlign w:val="bottom"/>
          </w:tcPr>
          <w:p>
            <w:pPr>
              <w:spacing w:after="0"/>
              <w:rPr>
                <w:sz w:val="12"/>
                <w:szCs w:val="12"/>
                <w:color w:val="auto"/>
              </w:rPr>
            </w:pPr>
          </w:p>
        </w:tc>
      </w:tr>
      <w:tr>
        <w:trPr>
          <w:trHeight w:val="129"/>
        </w:trPr>
        <w:tc>
          <w:tcPr>
            <w:tcW w:w="52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cash used in investment activities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(69,232)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(80,735)</w:t>
            </w:r>
          </w:p>
        </w:tc>
        <w:tc>
          <w:tcPr>
            <w:tcW w:w="20" w:type="dxa"/>
            <w:vAlign w:val="bottom"/>
            <w:shd w:val="clear" w:color="auto" w:fill="CCEEFF"/>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issuance of Class A common stock,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2"/>
                <w:szCs w:val="12"/>
                <w:color w:val="auto"/>
              </w:rPr>
            </w:pPr>
          </w:p>
        </w:tc>
      </w:tr>
      <w:tr>
        <w:trPr>
          <w:trHeight w:val="13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Repurchase of Class A common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Pr>
          <w:p>
            <w:pPr>
              <w:ind w:left="140"/>
              <w:spacing w:after="0"/>
              <w:rPr>
                <w:sz w:val="20"/>
                <w:szCs w:val="20"/>
                <w:color w:val="auto"/>
              </w:rPr>
            </w:pPr>
            <w:r>
              <w:rPr>
                <w:rFonts w:ascii="Arial" w:cs="Arial" w:eastAsia="Arial" w:hAnsi="Arial"/>
                <w:sz w:val="11"/>
                <w:szCs w:val="11"/>
                <w:color w:val="auto"/>
              </w:rPr>
              <w:t>Net increase in deposits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1,181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122,915</w:t>
            </w: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Federal Home Loan Bank advances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5"/>
              </w:rPr>
              <w:t>158,000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59"/>
        </w:trPr>
        <w:tc>
          <w:tcPr>
            <w:tcW w:w="5240" w:type="dxa"/>
            <w:vAlign w:val="bottom"/>
          </w:tcPr>
          <w:p>
            <w:pPr>
              <w:ind w:left="140"/>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(84,000)</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07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09"/>
        </w:trPr>
        <w:tc>
          <w:tcPr>
            <w:tcW w:w="5240" w:type="dxa"/>
            <w:vAlign w:val="bottom"/>
            <w:tcBorders>
              <w:top w:val="single" w:sz="8" w:color="CCEEFF"/>
            </w:tcBorders>
            <w:shd w:val="clear" w:color="auto" w:fill="CCEEFF"/>
          </w:tcPr>
          <w:p>
            <w:pPr>
              <w:ind w:left="320"/>
              <w:spacing w:after="0" w:line="110" w:lineRule="exact"/>
              <w:rPr>
                <w:sz w:val="20"/>
                <w:szCs w:val="20"/>
                <w:color w:val="auto"/>
              </w:rPr>
            </w:pPr>
            <w:r>
              <w:rPr>
                <w:rFonts w:ascii="Arial" w:cs="Arial" w:eastAsia="Arial" w:hAnsi="Arial"/>
                <w:sz w:val="11"/>
                <w:szCs w:val="11"/>
                <w:color w:val="auto"/>
              </w:rPr>
              <w:t>Net cash provided by financing activities</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7"/>
              <w:spacing w:after="0" w:line="110" w:lineRule="exact"/>
              <w:rPr>
                <w:sz w:val="20"/>
                <w:szCs w:val="20"/>
                <w:color w:val="auto"/>
              </w:rPr>
            </w:pPr>
            <w:r>
              <w:rPr>
                <w:rFonts w:ascii="Arial" w:cs="Arial" w:eastAsia="Arial" w:hAnsi="Arial"/>
                <w:sz w:val="11"/>
                <w:szCs w:val="11"/>
                <w:color w:val="auto"/>
              </w:rPr>
              <w:t>69,314</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10" w:type="dxa"/>
            <w:vAlign w:val="bottom"/>
            <w:shd w:val="clear" w:color="auto" w:fill="CCEEFF"/>
          </w:tcPr>
          <w:p>
            <w:pPr>
              <w:spacing w:after="0"/>
              <w:rPr>
                <w:sz w:val="9"/>
                <w:szCs w:val="9"/>
                <w:color w:val="auto"/>
              </w:rPr>
            </w:pPr>
          </w:p>
        </w:tc>
        <w:tc>
          <w:tcPr>
            <w:tcW w:w="1070" w:type="dxa"/>
            <w:vAlign w:val="bottom"/>
            <w:shd w:val="clear" w:color="auto" w:fill="CCEEFF"/>
          </w:tcPr>
          <w:p>
            <w:pPr>
              <w:jc w:val="right"/>
              <w:ind w:right="7"/>
              <w:spacing w:after="0" w:line="110" w:lineRule="exact"/>
              <w:rPr>
                <w:sz w:val="20"/>
                <w:szCs w:val="20"/>
                <w:color w:val="auto"/>
              </w:rPr>
            </w:pPr>
            <w:r>
              <w:rPr>
                <w:rFonts w:ascii="Arial" w:cs="Arial" w:eastAsia="Arial" w:hAnsi="Arial"/>
                <w:sz w:val="11"/>
                <w:szCs w:val="11"/>
                <w:color w:val="auto"/>
              </w:rPr>
              <w:t>123,017</w:t>
            </w:r>
          </w:p>
        </w:tc>
        <w:tc>
          <w:tcPr>
            <w:tcW w:w="20" w:type="dxa"/>
            <w:vAlign w:val="bottom"/>
            <w:shd w:val="clear" w:color="auto" w:fill="CCEEFF"/>
          </w:tcPr>
          <w:p>
            <w:pPr>
              <w:spacing w:after="0"/>
              <w:rPr>
                <w:sz w:val="9"/>
                <w:szCs w:val="9"/>
                <w:color w:val="auto"/>
              </w:rPr>
            </w:pPr>
          </w:p>
        </w:tc>
      </w:tr>
      <w:tr>
        <w:trPr>
          <w:trHeight w:val="14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increase in cash and cash equivalents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9,083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47,885</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Cash and cash equivalents at beginning of period</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54,168</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7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2"/>
                <w:szCs w:val="12"/>
                <w:color w:val="auto"/>
              </w:rPr>
            </w:pPr>
          </w:p>
        </w:tc>
      </w:tr>
      <w:tr>
        <w:trPr>
          <w:trHeight w:val="129"/>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Cash and cash equivalents at end of period</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63,251</w:t>
            </w:r>
          </w:p>
        </w:tc>
        <w:tc>
          <w:tcPr>
            <w:tcW w:w="60" w:type="dxa"/>
            <w:vAlign w:val="bottom"/>
            <w:gridSpan w:val="2"/>
            <w:shd w:val="clear" w:color="auto" w:fill="CCEEFF"/>
          </w:tcPr>
          <w:p>
            <w:pPr>
              <w:spacing w:after="0"/>
              <w:rPr>
                <w:sz w:val="11"/>
                <w:szCs w:val="11"/>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7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94,113</w:t>
            </w:r>
          </w:p>
        </w:tc>
        <w:tc>
          <w:tcPr>
            <w:tcW w:w="20" w:type="dxa"/>
            <w:vAlign w:val="bottom"/>
            <w:tcBorders>
              <w:bottom w:val="single" w:sz="8" w:color="auto"/>
            </w:tcBorders>
            <w:shd w:val="clear" w:color="auto" w:fill="CCEEFF"/>
          </w:tcPr>
          <w:p>
            <w:pPr>
              <w:spacing w:after="0"/>
              <w:rPr>
                <w:sz w:val="11"/>
                <w:szCs w:val="1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9"/>
        </w:trPr>
        <w:tc>
          <w:tcPr>
            <w:tcW w:w="5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 w:type="dxa"/>
            <w:vAlign w:val="bottom"/>
          </w:tcPr>
          <w:p>
            <w:pPr>
              <w:spacing w:after="0"/>
              <w:rPr>
                <w:sz w:val="7"/>
                <w:szCs w:val="7"/>
                <w:color w:val="auto"/>
              </w:rPr>
            </w:pPr>
          </w:p>
        </w:tc>
        <w:tc>
          <w:tcPr>
            <w:tcW w:w="107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39"/>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89"/>
        </w:trPr>
        <w:tc>
          <w:tcPr>
            <w:tcW w:w="5240" w:type="dxa"/>
            <w:vAlign w:val="bottom"/>
          </w:tcPr>
          <w:p>
            <w:pPr>
              <w:ind w:left="140"/>
              <w:spacing w:after="0"/>
              <w:rPr>
                <w:sz w:val="20"/>
                <w:szCs w:val="20"/>
                <w:color w:val="auto"/>
              </w:rPr>
            </w:pPr>
            <w:r>
              <w:rPr>
                <w:rFonts w:ascii="Arial" w:cs="Arial" w:eastAsia="Arial" w:hAnsi="Arial"/>
                <w:sz w:val="11"/>
                <w:szCs w:val="11"/>
                <w:color w:val="auto"/>
              </w:rPr>
              <w:t>Interest paid</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6"/>
                <w:szCs w:val="16"/>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6,044</w:t>
            </w:r>
          </w:p>
        </w:tc>
        <w:tc>
          <w:tcPr>
            <w:tcW w:w="17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070" w:type="dxa"/>
            <w:vAlign w:val="bottom"/>
          </w:tcPr>
          <w:p>
            <w:pPr>
              <w:jc w:val="right"/>
              <w:ind w:right="7"/>
              <w:spacing w:after="0"/>
              <w:rPr>
                <w:sz w:val="20"/>
                <w:szCs w:val="20"/>
                <w:color w:val="auto"/>
              </w:rPr>
            </w:pPr>
            <w:r>
              <w:rPr>
                <w:rFonts w:ascii="Arial" w:cs="Arial" w:eastAsia="Arial" w:hAnsi="Arial"/>
                <w:sz w:val="11"/>
                <w:szCs w:val="11"/>
                <w:color w:val="auto"/>
              </w:rPr>
              <w:t>961</w:t>
            </w:r>
          </w:p>
        </w:tc>
        <w:tc>
          <w:tcPr>
            <w:tcW w:w="20" w:type="dxa"/>
            <w:vAlign w:val="bottom"/>
          </w:tcPr>
          <w:p>
            <w:pPr>
              <w:spacing w:after="0"/>
              <w:rPr>
                <w:sz w:val="16"/>
                <w:szCs w:val="16"/>
                <w:color w:val="auto"/>
              </w:rPr>
            </w:pPr>
          </w:p>
        </w:tc>
      </w:tr>
      <w:tr>
        <w:trPr>
          <w:trHeight w:val="89"/>
        </w:trPr>
        <w:tc>
          <w:tcPr>
            <w:tcW w:w="52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10" w:type="dxa"/>
            <w:vAlign w:val="bottom"/>
            <w:tcBorders>
              <w:top w:val="single" w:sz="8" w:color="auto"/>
            </w:tcBorders>
            <w:shd w:val="clear" w:color="auto" w:fill="CCEEFF"/>
          </w:tcPr>
          <w:p>
            <w:pPr>
              <w:spacing w:after="0"/>
              <w:rPr>
                <w:sz w:val="7"/>
                <w:szCs w:val="7"/>
                <w:color w:val="auto"/>
              </w:rPr>
            </w:pPr>
          </w:p>
        </w:tc>
        <w:tc>
          <w:tcPr>
            <w:tcW w:w="107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r>
      <w:tr>
        <w:trPr>
          <w:trHeight w:val="149"/>
        </w:trPr>
        <w:tc>
          <w:tcPr>
            <w:tcW w:w="5240" w:type="dxa"/>
            <w:vAlign w:val="bottom"/>
          </w:tcPr>
          <w:p>
            <w:pPr>
              <w:ind w:left="40"/>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Transfer of loans held for investment to loans held for sale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4,500</w:t>
            </w:r>
          </w:p>
        </w:tc>
        <w:tc>
          <w:tcPr>
            <w:tcW w:w="60" w:type="dxa"/>
            <w:vAlign w:val="bottom"/>
            <w:gridSpan w:val="2"/>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7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3,309</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2020"/>
        <w:spacing w:after="0"/>
        <w:tabs>
          <w:tab w:leader="none" w:pos="26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1020" w:hanging="378"/>
        <w:spacing w:after="0"/>
        <w:tabs>
          <w:tab w:leader="none" w:pos="10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178"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32"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Title LLC began operations in 2021.</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Basis of Presentation</w:t>
      </w:r>
    </w:p>
    <w:p>
      <w:pPr>
        <w:spacing w:after="0" w:line="178" w:lineRule="exact"/>
        <w:rPr>
          <w:sz w:val="20"/>
          <w:szCs w:val="20"/>
          <w:color w:val="auto"/>
        </w:rPr>
      </w:pPr>
    </w:p>
    <w:p>
      <w:pPr>
        <w:ind w:left="620" w:right="679" w:firstLine="256"/>
        <w:spacing w:after="0" w:line="248"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consolidated financial statements and related notes appearing in the Company’s Annual Report on Form 10-K/A for the year ended December 31, 2022.</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Principles of Consolidation</w:t>
      </w:r>
    </w:p>
    <w:p>
      <w:pPr>
        <w:spacing w:after="0" w:line="178" w:lineRule="exact"/>
        <w:rPr>
          <w:sz w:val="20"/>
          <w:szCs w:val="20"/>
          <w:color w:val="auto"/>
        </w:rPr>
      </w:pPr>
    </w:p>
    <w:p>
      <w:pPr>
        <w:ind w:left="620" w:right="739" w:firstLine="256"/>
        <w:spacing w:after="0" w:line="268"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Use of Estimates</w:t>
      </w:r>
    </w:p>
    <w:p>
      <w:pPr>
        <w:spacing w:after="0" w:line="178"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estimates impacting the Company’s consolidated financial statements are the allowance for credit losses and income taxes.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Reclassifications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Reclassifications had no impact on the net income or stockholders’ equity of the Company.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Adoption of New Accounting Standards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Measurement of Credit Losses on Financial Instruments</w:t>
      </w:r>
    </w:p>
    <w:p>
      <w:pPr>
        <w:spacing w:after="0" w:line="170" w:lineRule="exact"/>
        <w:rPr>
          <w:sz w:val="20"/>
          <w:szCs w:val="20"/>
          <w:color w:val="auto"/>
        </w:rPr>
      </w:pPr>
    </w:p>
    <w:p>
      <w:pPr>
        <w:jc w:val="both"/>
        <w:ind w:left="620" w:right="679" w:firstLine="256"/>
        <w:spacing w:after="0" w:line="247" w:lineRule="auto"/>
        <w:rPr>
          <w:sz w:val="20"/>
          <w:szCs w:val="20"/>
          <w:color w:val="auto"/>
        </w:rPr>
      </w:pPr>
      <w:r>
        <w:rPr>
          <w:rFonts w:ascii="Arial" w:cs="Arial" w:eastAsia="Arial" w:hAnsi="Arial"/>
          <w:sz w:val="14"/>
          <w:szCs w:val="14"/>
          <w:color w:val="auto"/>
        </w:rPr>
        <w:t>On January 1st, 2023, the Company adopted ASU 2016-13 Financial Instruments - Credit Losses (Topic 326): Measurement of Credit Losses on Financial Instruments, as amended, which replaces the incurred 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It also applies to off-balance sheet credit exposures not accounted for as insurance (e.g., loan commitments, standby letters of credit, financial guarantees, and other similar instruments) and net investments in leases recognized by a lessor in accordance with Topic 842 on leases. In addition, ASC 326 amended the accounting for available-for-sale debt securities. One such change is to require credit losses to be presented as an allowance rather than as a write-down on available-for-sale debt securities, that management does not intend to sell or believes that it is more likely than not they will be required to sell.</w:t>
      </w:r>
    </w:p>
    <w:p>
      <w:pPr>
        <w:spacing w:after="0" w:line="146" w:lineRule="exact"/>
        <w:rPr>
          <w:sz w:val="20"/>
          <w:szCs w:val="20"/>
          <w:color w:val="auto"/>
        </w:rPr>
      </w:pPr>
    </w:p>
    <w:p>
      <w:pPr>
        <w:jc w:val="both"/>
        <w:ind w:left="620" w:right="739" w:firstLine="256"/>
        <w:spacing w:after="0" w:line="268" w:lineRule="auto"/>
        <w:rPr>
          <w:sz w:val="20"/>
          <w:szCs w:val="20"/>
          <w:color w:val="auto"/>
        </w:rPr>
      </w:pPr>
      <w:r>
        <w:rPr>
          <w:rFonts w:ascii="Arial" w:cs="Arial" w:eastAsia="Arial" w:hAnsi="Arial"/>
          <w:sz w:val="14"/>
          <w:szCs w:val="14"/>
          <w:color w:val="auto"/>
        </w:rPr>
        <w:t>Under CECL, the Company estimates the allowance for credit losses using relevant available information, from both internal and external sources, relating to past events, current conditions, and reasonable and supportable forecasts.</w:t>
      </w:r>
    </w:p>
    <w:p>
      <w:pPr>
        <w:spacing w:after="0" w:line="163" w:lineRule="exact"/>
        <w:rPr>
          <w:sz w:val="20"/>
          <w:szCs w:val="20"/>
          <w:color w:val="auto"/>
        </w:rPr>
      </w:pPr>
    </w:p>
    <w:p>
      <w:pPr>
        <w:jc w:val="center"/>
        <w:ind w:left="2000"/>
        <w:spacing w:after="0"/>
        <w:tabs>
          <w:tab w:leader="none" w:pos="26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jc w:val="both"/>
        <w:ind w:left="620" w:right="699"/>
        <w:spacing w:after="0" w:line="261" w:lineRule="auto"/>
        <w:rPr>
          <w:sz w:val="20"/>
          <w:szCs w:val="20"/>
          <w:color w:val="auto"/>
        </w:rPr>
      </w:pPr>
      <w:r>
        <w:rPr>
          <w:rFonts w:ascii="Arial" w:cs="Arial" w:eastAsia="Arial" w:hAnsi="Arial"/>
          <w:sz w:val="14"/>
          <w:szCs w:val="14"/>
          <w:color w:val="auto"/>
        </w:rPr>
        <w:t>Historical credit losses provide the basis for estimation of expected credit losses. Qualitative adjustments are applied to the 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26" w:lineRule="exact"/>
        <w:rPr>
          <w:sz w:val="20"/>
          <w:szCs w:val="20"/>
          <w:color w:val="auto"/>
        </w:rPr>
      </w:pPr>
    </w:p>
    <w:p>
      <w:pPr>
        <w:ind w:left="620" w:right="659" w:firstLine="256"/>
        <w:spacing w:after="0" w:line="247" w:lineRule="auto"/>
        <w:rPr>
          <w:sz w:val="20"/>
          <w:szCs w:val="20"/>
          <w:color w:val="auto"/>
        </w:rPr>
      </w:pPr>
      <w:r>
        <w:rPr>
          <w:rFonts w:ascii="Arial" w:cs="Arial" w:eastAsia="Arial" w:hAnsi="Arial"/>
          <w:sz w:val="14"/>
          <w:szCs w:val="14"/>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 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141"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Management elected the Remaining Life (WARM) methodology for five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that uses an attrition-based calculation that performs quarterly, cohort-based attrition measurements based on the loan portfolio.</w:t>
      </w:r>
    </w:p>
    <w:p>
      <w:pPr>
        <w:spacing w:after="0" w:line="133" w:lineRule="exact"/>
        <w:rPr>
          <w:sz w:val="20"/>
          <w:szCs w:val="20"/>
          <w:color w:val="auto"/>
        </w:rPr>
      </w:pPr>
    </w:p>
    <w:p>
      <w:pPr>
        <w:jc w:val="both"/>
        <w:ind w:left="620" w:right="719" w:firstLine="256"/>
        <w:spacing w:after="0" w:line="261" w:lineRule="auto"/>
        <w:rPr>
          <w:sz w:val="20"/>
          <w:szCs w:val="20"/>
          <w:color w:val="auto"/>
        </w:rPr>
      </w:pPr>
      <w:r>
        <w:rPr>
          <w:rFonts w:ascii="Arial" w:cs="Arial" w:eastAsia="Arial" w:hAnsi="Arial"/>
          <w:sz w:val="14"/>
          <w:szCs w:val="14"/>
          <w:color w:val="auto"/>
        </w:rPr>
        <w:t>For loans collectively evaluated, $1.3 billion of loan receivables or 84% were evaluated under Discounted Cash Flow method and $251.0 million of loan receivables or 16% were evaluated under the Remaining Life method. The remaining $7.9 million loan receivable of the total loan portfolio were individually evaluated.</w:t>
      </w:r>
    </w:p>
    <w:p>
      <w:pPr>
        <w:spacing w:after="0" w:line="136" w:lineRule="exact"/>
        <w:rPr>
          <w:sz w:val="20"/>
          <w:szCs w:val="20"/>
          <w:color w:val="auto"/>
        </w:rPr>
      </w:pPr>
    </w:p>
    <w:p>
      <w:pPr>
        <w:jc w:val="both"/>
        <w:ind w:left="620" w:right="699" w:firstLine="256"/>
        <w:spacing w:after="0" w:line="246" w:lineRule="auto"/>
        <w:rPr>
          <w:sz w:val="20"/>
          <w:szCs w:val="20"/>
          <w:color w:val="auto"/>
        </w:rPr>
      </w:pPr>
      <w:r>
        <w:rPr>
          <w:rFonts w:ascii="Arial" w:cs="Arial" w:eastAsia="Arial" w:hAnsi="Arial"/>
          <w:sz w:val="14"/>
          <w:szCs w:val="14"/>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House Price index (“HPI”) projections published by Fannie Mae’s Economic and Strategic Research Group are utilized for the forecast. Forecasts are applied the first four quarters of the credit loss estimate and revert on a straight-line basis to the lookback period's historical mean for the economic indicator over the expected life of loans.</w:t>
      </w:r>
    </w:p>
    <w:p>
      <w:pPr>
        <w:spacing w:after="0" w:line="148"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32" w:lineRule="exact"/>
        <w:rPr>
          <w:sz w:val="20"/>
          <w:szCs w:val="20"/>
          <w:color w:val="auto"/>
        </w:rPr>
      </w:pPr>
    </w:p>
    <w:p>
      <w:pPr>
        <w:jc w:val="both"/>
        <w:ind w:left="620" w:right="739" w:firstLine="256"/>
        <w:spacing w:after="0" w:line="261" w:lineRule="auto"/>
        <w:rPr>
          <w:sz w:val="20"/>
          <w:szCs w:val="20"/>
          <w:color w:val="auto"/>
        </w:rPr>
      </w:pPr>
      <w:r>
        <w:rPr>
          <w:rFonts w:ascii="Arial" w:cs="Arial" w:eastAsia="Arial" w:hAnsi="Arial"/>
          <w:sz w:val="14"/>
          <w:szCs w:val="14"/>
          <w:color w:val="auto"/>
        </w:rPr>
        <w:t>The Company estimates a reserve for unfunded commitments, which is reported separately from the allowance for credit losses within other liabilities. The reserve is based upon the same quantitative and qualitative factors applied to the collectively evaluated loan portfolio.</w:t>
      </w:r>
    </w:p>
    <w:p>
      <w:pPr>
        <w:spacing w:after="0" w:line="136"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The impact of adoption of the ASU 2016-13 was an increase to the allowance for credit losses on loans receivables of $1.1 million and an increase to the reserve for unfunded commitments of $ 259 thousand. This one-time cumulative adjustment resulted in a decrease of $1.3 million in retained earnings. See “Allowance for Credit Losses” section in Note 3 for more information on the allowance of credit losses (”ACL”).</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w:t>
      </w:r>
      <w:r>
        <w:rPr>
          <w:rFonts w:ascii="Arial" w:cs="Arial" w:eastAsia="Arial" w:hAnsi="Arial"/>
          <w:sz w:val="14"/>
          <w:szCs w:val="14"/>
          <w:u w:val="single" w:color="auto"/>
          <w:color w:val="auto"/>
        </w:rPr>
        <w:t>rouble Debt Restructuring</w:t>
      </w:r>
    </w:p>
    <w:p>
      <w:pPr>
        <w:spacing w:after="0" w:line="170" w:lineRule="exact"/>
        <w:rPr>
          <w:sz w:val="20"/>
          <w:szCs w:val="20"/>
          <w:color w:val="auto"/>
        </w:rPr>
      </w:pPr>
    </w:p>
    <w:p>
      <w:pPr>
        <w:jc w:val="both"/>
        <w:ind w:left="620" w:right="679" w:firstLine="256"/>
        <w:spacing w:after="0" w:line="250" w:lineRule="auto"/>
        <w:rPr>
          <w:sz w:val="20"/>
          <w:szCs w:val="20"/>
          <w:color w:val="auto"/>
        </w:rPr>
      </w:pPr>
      <w:r>
        <w:rPr>
          <w:rFonts w:ascii="Arial" w:cs="Arial" w:eastAsia="Arial" w:hAnsi="Arial"/>
          <w:sz w:val="14"/>
          <w:szCs w:val="14"/>
          <w:color w:val="auto"/>
        </w:rPr>
        <w:t>In March 2022, the Financial Accounting Standards Board (“FASB”) issued Accounting Standards Update (“ASU”) 2022-02, Financial Instruments-Credit Losses (Topic 326): Troubled Debt Restructurings (“TDR”) and Vintage Disclosures. The standard addresses the following: 1) eliminates the accounting guidance for TDRs, will require an entity to determine whether a modification results in a new loan or a continuation of an existing loan, 2) expands disclosures related to modifications, and 3) will require disclosure of current period gross write-offs of financing receivables within the vintage</w:t>
      </w:r>
    </w:p>
    <w:p>
      <w:pPr>
        <w:spacing w:after="0" w:line="218" w:lineRule="exact"/>
        <w:rPr>
          <w:sz w:val="20"/>
          <w:szCs w:val="20"/>
          <w:color w:val="auto"/>
        </w:rPr>
      </w:pPr>
    </w:p>
    <w:p>
      <w:pPr>
        <w:jc w:val="center"/>
        <w:ind w:left="2020"/>
        <w:spacing w:after="0"/>
        <w:tabs>
          <w:tab w:leader="none" w:pos="26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ind w:left="620" w:right="719"/>
        <w:spacing w:after="0" w:line="268" w:lineRule="auto"/>
        <w:rPr>
          <w:sz w:val="20"/>
          <w:szCs w:val="20"/>
          <w:color w:val="auto"/>
        </w:rPr>
      </w:pPr>
      <w:r>
        <w:rPr>
          <w:rFonts w:ascii="Arial" w:cs="Arial" w:eastAsia="Arial" w:hAnsi="Arial"/>
          <w:sz w:val="14"/>
          <w:szCs w:val="14"/>
          <w:color w:val="auto"/>
        </w:rPr>
        <w:t>disclosures table (see footnote 3 “Loans”). The Company adopted ASU 2022-02 effective January 1, 2023 on a prospective basis. The adoption of ASU 2022-02 did not have a material impact on the Company’s consolidated financial statements.</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Issued and Not Yet Adopted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Reference Rate Reform</w:t>
      </w:r>
    </w:p>
    <w:p>
      <w:pPr>
        <w:spacing w:after="0" w:line="159" w:lineRule="exact"/>
        <w:rPr>
          <w:sz w:val="20"/>
          <w:szCs w:val="20"/>
          <w:color w:val="auto"/>
        </w:rPr>
      </w:pPr>
    </w:p>
    <w:p>
      <w:pPr>
        <w:ind w:left="620" w:right="679" w:firstLine="256"/>
        <w:spacing w:after="0" w:line="250"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from March 12, 2020 through December 31, 2024. The Company is evaluating the impact of this ASU and has not yet determined whether LIBOR transition and this ASU will have a material effect on our business operations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1020" w:hanging="378"/>
        <w:spacing w:after="0"/>
        <w:tabs>
          <w:tab w:leader="none" w:pos="10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10" w:lineRule="exact"/>
        <w:rPr>
          <w:sz w:val="20"/>
          <w:szCs w:val="20"/>
          <w:color w:val="auto"/>
        </w:rPr>
      </w:pPr>
    </w:p>
    <w:p>
      <w:pPr>
        <w:jc w:val="both"/>
        <w:ind w:left="640" w:right="659" w:firstLine="256"/>
        <w:spacing w:after="0" w:line="247" w:lineRule="auto"/>
        <w:rPr>
          <w:sz w:val="20"/>
          <w:szCs w:val="20"/>
          <w:color w:val="auto"/>
        </w:rPr>
      </w:pPr>
      <w:r>
        <w:rPr>
          <w:rFonts w:ascii="Arial" w:cs="Arial" w:eastAsia="Arial" w:hAnsi="Arial"/>
          <w:sz w:val="14"/>
          <w:szCs w:val="14"/>
          <w:color w:val="auto"/>
        </w:rPr>
        <w:t>On January 1st, 2023, the Company adopted ASU 2016-13 Financial Instruments -Credit Losses (Topic 326): Measurement of Credit Losses on Financial Instruments, as amended, which replaces the incurred 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In addition, ASC 326 amended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47" w:lineRule="exact"/>
        <w:rPr>
          <w:sz w:val="20"/>
          <w:szCs w:val="20"/>
          <w:color w:val="auto"/>
        </w:rPr>
      </w:pPr>
    </w:p>
    <w:p>
      <w:pPr>
        <w:jc w:val="both"/>
        <w:ind w:left="640" w:right="659" w:firstLine="256"/>
        <w:spacing w:after="0" w:line="248" w:lineRule="auto"/>
        <w:rPr>
          <w:sz w:val="20"/>
          <w:szCs w:val="20"/>
          <w:color w:val="auto"/>
        </w:rPr>
      </w:pPr>
      <w:r>
        <w:rPr>
          <w:rFonts w:ascii="Arial" w:cs="Arial" w:eastAsia="Arial" w:hAnsi="Arial"/>
          <w:sz w:val="14"/>
          <w:szCs w:val="14"/>
          <w:color w:val="auto"/>
        </w:rPr>
        <w:t>CECL requires loss reserve for securities classified as Held-to-Maturity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35"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At quarter end, HTM securities included $175.4 million of U.S. Government and U.S. Agency issued bonds and mortgage-backed securities, because of the explicit and/or implicit guarantee on these bonds the Company holds no reserves on these holdings. The remaining portion of the HTM portfolio is made up of $ 11.0 million in investment grade corporate bonds. The required reserve for these holdings is determined each quarter using the model described above. The resulting amount of allowance was immaterial at March 31, 2023.</w:t>
      </w:r>
    </w:p>
    <w:p>
      <w:pPr>
        <w:spacing w:after="0" w:line="13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was no allowance for Available for Sale (“AFS”) securities that needed to be recorded as of March 31, 2023.</w:t>
      </w:r>
    </w:p>
    <w:p>
      <w:pPr>
        <w:spacing w:after="0" w:line="170"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center"/>
              <w:ind w:right="16"/>
              <w:spacing w:after="0"/>
              <w:rPr>
                <w:sz w:val="20"/>
                <w:szCs w:val="20"/>
                <w:color w:val="auto"/>
              </w:rPr>
            </w:pPr>
            <w:r>
              <w:rPr>
                <w:rFonts w:ascii="Arial" w:cs="Arial" w:eastAsia="Arial" w:hAnsi="Arial"/>
                <w:sz w:val="13"/>
                <w:szCs w:val="13"/>
                <w:b w:val="1"/>
                <w:bCs w:val="1"/>
                <w:color w:val="auto"/>
                <w:w w:val="97"/>
              </w:rPr>
              <w:t>March 31, 2023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3"/>
                <w:szCs w:val="13"/>
                <w:color w:val="auto"/>
              </w:rPr>
            </w:pPr>
          </w:p>
        </w:tc>
      </w:tr>
      <w:tr>
        <w:trPr>
          <w:trHeight w:val="140"/>
        </w:trPr>
        <w:tc>
          <w:tcPr>
            <w:tcW w:w="3080" w:type="dxa"/>
            <w:vAlign w:val="bottom"/>
            <w:gridSpan w:val="2"/>
          </w:tcPr>
          <w:p>
            <w:pPr>
              <w:spacing w:after="0" w:line="140" w:lineRule="exact"/>
              <w:rPr>
                <w:sz w:val="20"/>
                <w:szCs w:val="20"/>
                <w:color w:val="auto"/>
              </w:rPr>
            </w:pPr>
            <w:r>
              <w:rPr>
                <w:rFonts w:ascii="Arial" w:cs="Arial" w:eastAsia="Arial" w:hAnsi="Arial"/>
                <w:sz w:val="13"/>
                <w:szCs w:val="13"/>
                <w:color w:val="auto"/>
              </w:rPr>
              <w:t>U.S. Government Agency</w:t>
            </w:r>
          </w:p>
        </w:tc>
        <w:tc>
          <w:tcPr>
            <w:tcW w:w="86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10,184</w:t>
            </w:r>
          </w:p>
        </w:tc>
        <w:tc>
          <w:tcPr>
            <w:tcW w:w="60" w:type="dxa"/>
            <w:vAlign w:val="bottom"/>
          </w:tcPr>
          <w:p>
            <w:pPr>
              <w:spacing w:after="0"/>
              <w:rPr>
                <w:sz w:val="12"/>
                <w:szCs w:val="12"/>
                <w:color w:val="auto"/>
              </w:rPr>
            </w:pPr>
          </w:p>
        </w:tc>
        <w:tc>
          <w:tcPr>
            <w:tcW w:w="100" w:type="dxa"/>
            <w:vAlign w:val="bottom"/>
            <w:gridSpan w:val="3"/>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gridSpan w:val="3"/>
          </w:tcPr>
          <w:p>
            <w:pPr>
              <w:jc w:val="center"/>
              <w:ind w:right="20"/>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3"/>
                <w:szCs w:val="13"/>
                <w:color w:val="auto"/>
              </w:rPr>
              <w:t>(1,353)</w:t>
            </w:r>
          </w:p>
        </w:tc>
        <w:tc>
          <w:tcPr>
            <w:tcW w:w="20" w:type="dxa"/>
            <w:vAlign w:val="bottom"/>
          </w:tcPr>
          <w:p>
            <w:pPr>
              <w:spacing w:after="0"/>
              <w:rPr>
                <w:sz w:val="12"/>
                <w:szCs w:val="12"/>
                <w:color w:val="auto"/>
              </w:rPr>
            </w:pPr>
          </w:p>
        </w:tc>
        <w:tc>
          <w:tcPr>
            <w:tcW w:w="60" w:type="dxa"/>
            <w:vAlign w:val="bottom"/>
          </w:tcPr>
          <w:p>
            <w:pPr>
              <w:jc w:val="right"/>
              <w:spacing w:after="0" w:line="140"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8,831</w:t>
            </w:r>
          </w:p>
        </w:tc>
        <w:tc>
          <w:tcPr>
            <w:tcW w:w="60" w:type="dxa"/>
            <w:vAlign w:val="bottom"/>
          </w:tcPr>
          <w:p>
            <w:pPr>
              <w:spacing w:after="0"/>
              <w:rPr>
                <w:sz w:val="12"/>
                <w:szCs w:val="12"/>
                <w:color w:val="auto"/>
              </w:rPr>
            </w:pPr>
          </w:p>
        </w:tc>
      </w:tr>
      <w:tr>
        <w:trPr>
          <w:trHeight w:val="181"/>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110,180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(21,343)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88,837</w:t>
            </w:r>
          </w:p>
        </w:tc>
        <w:tc>
          <w:tcPr>
            <w:tcW w:w="6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72,690</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(12,124)</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60,566</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37,043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(4,449)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32,600</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25,064</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(5,754)</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19,310</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16,831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(1,352)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15,497</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4,035</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3,768</w:t>
            </w:r>
          </w:p>
        </w:tc>
        <w:tc>
          <w:tcPr>
            <w:tcW w:w="60" w:type="dxa"/>
            <w:vAlign w:val="bottom"/>
            <w:tcBorders>
              <w:left w:val="single" w:sz="8" w:color="CCEEFF"/>
            </w:tcBorders>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276,027</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(46,642)</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229,409</w:t>
            </w:r>
          </w:p>
        </w:tc>
        <w:tc>
          <w:tcPr>
            <w:tcW w:w="6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Held-to-maturity:</w:t>
            </w:r>
          </w:p>
        </w:tc>
        <w:tc>
          <w:tcPr>
            <w:tcW w:w="7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lef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44,792</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126</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(5,182)</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39,736</w:t>
            </w:r>
          </w:p>
        </w:tc>
        <w:tc>
          <w:tcPr>
            <w:tcW w:w="60" w:type="dxa"/>
            <w:vAlign w:val="bottom"/>
          </w:tcPr>
          <w:p>
            <w:pPr>
              <w:spacing w:after="0"/>
              <w:rPr>
                <w:sz w:val="14"/>
                <w:szCs w:val="14"/>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9,943</w:t>
            </w:r>
          </w:p>
        </w:tc>
        <w:tc>
          <w:tcPr>
            <w:tcW w:w="60" w:type="dxa"/>
            <w:vAlign w:val="bottom"/>
          </w:tcPr>
          <w:p>
            <w:pPr>
              <w:spacing w:after="0"/>
              <w:rPr>
                <w:sz w:val="12"/>
                <w:szCs w:val="12"/>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67,404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60,546</w:t>
            </w:r>
          </w:p>
        </w:tc>
        <w:tc>
          <w:tcPr>
            <w:tcW w:w="60" w:type="dxa"/>
            <w:vAlign w:val="bottom"/>
          </w:tcPr>
          <w:p>
            <w:pPr>
              <w:spacing w:after="0"/>
              <w:rPr>
                <w:sz w:val="16"/>
                <w:szCs w:val="16"/>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41,842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(4,237)</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38,088</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68"/>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11,399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(644)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10,755</w:t>
            </w:r>
          </w:p>
        </w:tc>
        <w:tc>
          <w:tcPr>
            <w:tcW w:w="6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11,040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10,099</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8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186,428</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770</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(18,031)</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169,167</w:t>
            </w:r>
          </w:p>
        </w:tc>
        <w:tc>
          <w:tcPr>
            <w:tcW w:w="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980"/>
        <w:spacing w:after="0"/>
        <w:tabs>
          <w:tab w:leader="none" w:pos="2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95"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December 31, 2022</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3"/>
                <w:szCs w:val="13"/>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b w:val="1"/>
                <w:bCs w:val="1"/>
                <w:color w:val="auto"/>
                <w:w w:val="90"/>
              </w:rPr>
              <w:t>Fair Value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10,177</w:t>
            </w:r>
          </w:p>
        </w:tc>
        <w:tc>
          <w:tcPr>
            <w:tcW w:w="60" w:type="dxa"/>
            <w:vAlign w:val="bottom"/>
          </w:tcPr>
          <w:p>
            <w:pPr>
              <w:spacing w:after="0"/>
              <w:rPr>
                <w:sz w:val="13"/>
                <w:szCs w:val="13"/>
                <w:color w:val="auto"/>
              </w:rPr>
            </w:pPr>
          </w:p>
        </w:tc>
        <w:tc>
          <w:tcPr>
            <w:tcW w:w="1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2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118,951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(23,410)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95,541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(12,959)</w:t>
            </w: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60,879</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32,244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(4,305)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27,954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(6,601)</w:t>
            </w: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15,964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280,295</w:t>
            </w:r>
          </w:p>
        </w:tc>
        <w:tc>
          <w:tcPr>
            <w:tcW w:w="2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w:t>
            </w:r>
          </w:p>
        </w:tc>
        <w:tc>
          <w:tcPr>
            <w:tcW w:w="16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(50,175)</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230,140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0" w:type="dxa"/>
            <w:vAlign w:val="bottom"/>
            <w:vMerge w:val="restart"/>
          </w:tcPr>
          <w:p>
            <w:pPr>
              <w:spacing w:after="0"/>
              <w:rPr>
                <w:sz w:val="10"/>
                <w:szCs w:val="10"/>
                <w:color w:val="auto"/>
              </w:rPr>
            </w:pPr>
          </w:p>
        </w:tc>
        <w:tc>
          <w:tcPr>
            <w:tcW w:w="30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 w:type="dxa"/>
            <w:vAlign w:val="bottom"/>
            <w:vMerge w:val="continue"/>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29" w:lineRule="exact"/>
              <w:rPr>
                <w:sz w:val="20"/>
                <w:szCs w:val="20"/>
                <w:color w:val="auto"/>
              </w:rPr>
            </w:pPr>
            <w:r>
              <w:rPr>
                <w:rFonts w:ascii="Arial" w:cs="Arial" w:eastAsia="Arial" w:hAnsi="Arial"/>
                <w:sz w:val="13"/>
                <w:szCs w:val="13"/>
                <w:color w:val="auto"/>
              </w:rPr>
              <w:t>U.S. Government Agency</w:t>
            </w:r>
          </w:p>
        </w:tc>
        <w:tc>
          <w:tcPr>
            <w:tcW w:w="86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44,914</w:t>
            </w:r>
          </w:p>
        </w:tc>
        <w:tc>
          <w:tcPr>
            <w:tcW w:w="220" w:type="dxa"/>
            <w:vAlign w:val="bottom"/>
            <w:gridSpan w:val="2"/>
          </w:tcPr>
          <w:p>
            <w:pPr>
              <w:jc w:val="right"/>
              <w:ind w:right="16"/>
              <w:spacing w:after="0" w:line="12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w:t>
            </w:r>
          </w:p>
        </w:tc>
        <w:tc>
          <w:tcPr>
            <w:tcW w:w="160" w:type="dxa"/>
            <w:vAlign w:val="bottom"/>
            <w:gridSpan w:val="2"/>
          </w:tcPr>
          <w:p>
            <w:pPr>
              <w:jc w:val="center"/>
              <w:spacing w:after="0" w:line="129"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(5,877)</w:t>
            </w:r>
          </w:p>
        </w:tc>
        <w:tc>
          <w:tcPr>
            <w:tcW w:w="200" w:type="dxa"/>
            <w:vAlign w:val="bottom"/>
          </w:tcPr>
          <w:p>
            <w:pPr>
              <w:jc w:val="right"/>
              <w:ind w:right="36"/>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39,062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9,841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7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68,727</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(7,830)</w:t>
            </w: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60,925</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42,685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(4,574)</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7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11,442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10,777</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11,090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188,699</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(20,036)</w:t>
            </w:r>
          </w:p>
        </w:tc>
        <w:tc>
          <w:tcPr>
            <w:tcW w:w="2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169,088</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640" w:right="659" w:firstLine="256"/>
        <w:spacing w:after="0" w:line="250" w:lineRule="auto"/>
        <w:rPr>
          <w:sz w:val="20"/>
          <w:szCs w:val="20"/>
          <w:color w:val="auto"/>
        </w:rPr>
      </w:pPr>
      <w:r>
        <w:rPr>
          <w:rFonts w:ascii="Arial" w:cs="Arial" w:eastAsia="Arial" w:hAnsi="Arial"/>
          <w:sz w:val="14"/>
          <w:szCs w:val="14"/>
          <w:color w:val="auto"/>
        </w:rPr>
        <w:t>During the year ended December 31, 2022, a total of 26 investment securities with an amortized cost basis and fair value of $74.4 million and $63.8 million, respectively, were transferred from AFS to HTM. These securities had a net unrealized loss of $ 10.6 million on the date of transfer. The net unrealized loss that was retained in accumulated other comprehensive income (“AOCI”) is being amortized over the remaining life of the securities. For the three months ended March 31, 2023, total amortization out of AOCI for net unrealized losses on securities transferred from AFS to HTM was $60 thousand. The unamortized net unrealized loss at March 31, 2023 was $9.7 million.</w:t>
      </w:r>
    </w:p>
    <w:p>
      <w:pPr>
        <w:spacing w:after="0" w:line="135" w:lineRule="exact"/>
        <w:rPr>
          <w:sz w:val="20"/>
          <w:szCs w:val="20"/>
          <w:color w:val="auto"/>
        </w:rPr>
      </w:pPr>
    </w:p>
    <w:p>
      <w:pPr>
        <w:jc w:val="both"/>
        <w:ind w:left="640" w:right="639" w:firstLine="256"/>
        <w:spacing w:after="0" w:line="261"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three months ended March 31, 2023 and 2022 (in thousands):</w:t>
      </w:r>
    </w:p>
    <w:p>
      <w:pPr>
        <w:spacing w:after="0" w:line="154"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ind w:left="120"/>
              <w:spacing w:after="0"/>
              <w:rPr>
                <w:sz w:val="20"/>
                <w:szCs w:val="20"/>
                <w:color w:val="auto"/>
              </w:rPr>
            </w:pPr>
            <w:r>
              <w:rPr>
                <w:rFonts w:ascii="Arial" w:cs="Arial" w:eastAsia="Arial" w:hAnsi="Arial"/>
                <w:sz w:val="13"/>
                <w:szCs w:val="13"/>
                <w:b w:val="1"/>
                <w:bCs w:val="1"/>
                <w:color w:val="auto"/>
              </w:rPr>
              <w:t>Three Months Ended Mach 31,</w:t>
            </w:r>
          </w:p>
        </w:tc>
        <w:tc>
          <w:tcPr>
            <w:tcW w:w="20" w:type="dxa"/>
            <w:vAlign w:val="bottom"/>
          </w:tcPr>
          <w:p>
            <w:pPr>
              <w:spacing w:after="0"/>
              <w:rPr>
                <w:sz w:val="14"/>
                <w:szCs w:val="14"/>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141"/>
        </w:trPr>
        <w:tc>
          <w:tcPr>
            <w:tcW w:w="40" w:type="dxa"/>
            <w:vAlign w:val="bottom"/>
          </w:tcPr>
          <w:p>
            <w:pPr>
              <w:spacing w:after="0"/>
              <w:rPr>
                <w:sz w:val="12"/>
                <w:szCs w:val="12"/>
                <w:color w:val="auto"/>
              </w:rPr>
            </w:pPr>
          </w:p>
        </w:tc>
        <w:tc>
          <w:tcPr>
            <w:tcW w:w="37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Proceeds from sale and call of securities</w:t>
            </w:r>
          </w:p>
        </w:tc>
        <w:tc>
          <w:tcPr>
            <w:tcW w:w="16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8,617</w:t>
            </w:r>
          </w:p>
        </w:tc>
        <w:tc>
          <w:tcPr>
            <w:tcW w:w="2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14,558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4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Gross gains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0"/>
        </w:trPr>
        <w:tc>
          <w:tcPr>
            <w:tcW w:w="374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1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r>
      <w:tr>
        <w:trPr>
          <w:trHeight w:val="152"/>
        </w:trPr>
        <w:tc>
          <w:tcPr>
            <w:tcW w:w="40" w:type="dxa"/>
            <w:vAlign w:val="bottom"/>
          </w:tcPr>
          <w:p>
            <w:pPr>
              <w:spacing w:after="0"/>
              <w:rPr>
                <w:sz w:val="13"/>
                <w:szCs w:val="13"/>
                <w:color w:val="auto"/>
              </w:rPr>
            </w:pPr>
          </w:p>
        </w:tc>
        <w:tc>
          <w:tcPr>
            <w:tcW w:w="370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Net realized (loss) gain</w:t>
            </w:r>
          </w:p>
        </w:tc>
        <w:tc>
          <w:tcPr>
            <w:tcW w:w="1640" w:type="dxa"/>
            <w:vAlign w:val="bottom"/>
            <w:tcBorders>
              <w:bottom w:val="single" w:sz="8" w:color="CCEEFF"/>
            </w:tcBorders>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(21)</w:t>
            </w:r>
          </w:p>
        </w:tc>
        <w:tc>
          <w:tcPr>
            <w:tcW w:w="280" w:type="dxa"/>
            <w:vAlign w:val="bottom"/>
            <w:tcBorders>
              <w:bottom w:val="single" w:sz="8" w:color="CCEEFF"/>
            </w:tcBorders>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21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000"/>
        <w:spacing w:after="0"/>
        <w:tabs>
          <w:tab w:leader="none" w:pos="26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3"/>
                <w:szCs w:val="13"/>
                <w:b w:val="1"/>
                <w:bCs w:val="1"/>
                <w:color w:val="auto"/>
              </w:rPr>
              <w:t>Held-to-maturity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20" w:type="dxa"/>
            <w:vAlign w:val="bottom"/>
            <w:gridSpan w:val="3"/>
          </w:tcPr>
          <w:p>
            <w:pPr>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11,460</w:t>
            </w: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11,426</w:t>
            </w:r>
          </w:p>
        </w:tc>
        <w:tc>
          <w:tcPr>
            <w:tcW w:w="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4,035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3,768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16,329</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24,064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18,478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20" w:type="dxa"/>
            <w:vAlign w:val="bottom"/>
            <w:gridSpan w:val="3"/>
            <w:vMerge w:val="restart"/>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gridSpan w:val="3"/>
            <w:vMerge w:val="continue"/>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10,184</w:t>
            </w:r>
          </w:p>
        </w:tc>
        <w:tc>
          <w:tcPr>
            <w:tcW w:w="40" w:type="dxa"/>
            <w:vAlign w:val="bottom"/>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8,831</w:t>
            </w:r>
          </w:p>
        </w:tc>
        <w:tc>
          <w:tcPr>
            <w:tcW w:w="8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44,792</w:t>
            </w:r>
          </w:p>
        </w:tc>
        <w:tc>
          <w:tcPr>
            <w:tcW w:w="40" w:type="dxa"/>
            <w:vAlign w:val="bottom"/>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780" w:type="dxa"/>
            <w:vAlign w:val="bottom"/>
          </w:tcPr>
          <w:p>
            <w:pPr>
              <w:ind w:left="280"/>
              <w:spacing w:after="0"/>
              <w:rPr>
                <w:sz w:val="20"/>
                <w:szCs w:val="20"/>
                <w:color w:val="auto"/>
              </w:rPr>
            </w:pPr>
            <w:r>
              <w:rPr>
                <w:rFonts w:ascii="Arial" w:cs="Arial" w:eastAsia="Arial" w:hAnsi="Arial"/>
                <w:sz w:val="13"/>
                <w:szCs w:val="13"/>
                <w:color w:val="auto"/>
              </w:rPr>
              <w:t>110,180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88,837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67,404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60,546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72,690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60,566</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41,842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38,088</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37,043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11,399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276,027</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229,409</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186,428</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169,167</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At March 31, 2023, there were no securities held in the portfolio from any one issuer in an amount greater than 10% of total stockholders’ equity other than the United States Government and Government Agencies. All the collateralized mortgage obligations and mortgage-backed securities are issued by United States sponsored entities at March 31, 2023 and December 31, 2022.</w:t>
      </w:r>
    </w:p>
    <w:p>
      <w:pPr>
        <w:spacing w:after="0" w:line="143"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center"/>
              <w:ind w:right="136"/>
              <w:spacing w:after="0"/>
              <w:rPr>
                <w:sz w:val="20"/>
                <w:szCs w:val="20"/>
                <w:color w:val="auto"/>
              </w:rPr>
            </w:pPr>
            <w:r>
              <w:rPr>
                <w:rFonts w:ascii="Arial" w:cs="Arial" w:eastAsia="Arial" w:hAnsi="Arial"/>
                <w:sz w:val="13"/>
                <w:szCs w:val="13"/>
                <w:b w:val="1"/>
                <w:bCs w:val="1"/>
                <w:color w:val="auto"/>
                <w:w w:val="99"/>
              </w:rPr>
              <w:t>March 31, 2023</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b w:val="1"/>
                <w:bCs w:val="1"/>
                <w:color w:val="auto"/>
              </w:rPr>
              <w:t>Less than 12 months</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center"/>
              <w:ind w:right="116"/>
              <w:spacing w:after="0"/>
              <w:rPr>
                <w:sz w:val="20"/>
                <w:szCs w:val="20"/>
                <w:color w:val="auto"/>
              </w:rPr>
            </w:pPr>
            <w:r>
              <w:rPr>
                <w:rFonts w:ascii="Arial" w:cs="Arial" w:eastAsia="Arial" w:hAnsi="Arial"/>
                <w:sz w:val="13"/>
                <w:szCs w:val="13"/>
                <w:b w:val="1"/>
                <w:bCs w:val="1"/>
                <w:color w:val="auto"/>
                <w:w w:val="97"/>
              </w:rPr>
              <w:t>12 months or more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40" w:type="dxa"/>
            <w:vAlign w:val="bottom"/>
          </w:tcPr>
          <w:p>
            <w:pPr>
              <w:spacing w:after="0"/>
              <w:rPr>
                <w:sz w:val="12"/>
                <w:szCs w:val="12"/>
                <w:color w:val="auto"/>
              </w:rPr>
            </w:pPr>
          </w:p>
        </w:tc>
        <w:tc>
          <w:tcPr>
            <w:tcW w:w="900" w:type="dxa"/>
            <w:vAlign w:val="bottom"/>
            <w:gridSpan w:val="4"/>
          </w:tcPr>
          <w:p>
            <w:pPr>
              <w:ind w:left="180"/>
              <w:spacing w:after="0" w:line="147"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2"/>
                <w:szCs w:val="12"/>
                <w:color w:val="auto"/>
              </w:rPr>
            </w:pPr>
          </w:p>
        </w:tc>
        <w:tc>
          <w:tcPr>
            <w:tcW w:w="66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9"/>
              </w:rPr>
              <w:t>Fair Value</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b w:val="1"/>
                <w:bCs w:val="1"/>
                <w:color w:val="auto"/>
              </w:rPr>
              <w:t>Unrealized</w:t>
            </w:r>
          </w:p>
        </w:tc>
        <w:tc>
          <w:tcPr>
            <w:tcW w:w="86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2"/>
                <w:szCs w:val="12"/>
                <w:color w:val="auto"/>
              </w:rPr>
            </w:pPr>
          </w:p>
        </w:tc>
        <w:tc>
          <w:tcPr>
            <w:tcW w:w="880" w:type="dxa"/>
            <w:vAlign w:val="bottom"/>
            <w:gridSpan w:val="4"/>
          </w:tcPr>
          <w:p>
            <w:pPr>
              <w:jc w:val="center"/>
              <w:ind w:left="56"/>
              <w:spacing w:after="0" w:line="147" w:lineRule="exact"/>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gridSpan w:val="2"/>
            <w:vMerge w:val="restart"/>
          </w:tcPr>
          <w:p>
            <w:pPr>
              <w:ind w:left="20"/>
              <w:spacing w:after="0"/>
              <w:rPr>
                <w:sz w:val="20"/>
                <w:szCs w:val="20"/>
                <w:color w:val="auto"/>
              </w:rPr>
            </w:pPr>
            <w:r>
              <w:rPr>
                <w:rFonts w:ascii="Arial" w:cs="Arial" w:eastAsia="Arial" w:hAnsi="Arial"/>
                <w:sz w:val="13"/>
                <w:szCs w:val="13"/>
                <w:color w:val="auto"/>
              </w:rPr>
              <w:t>U.S. Government Agency</w:t>
            </w:r>
          </w:p>
        </w:tc>
        <w:tc>
          <w:tcPr>
            <w:tcW w:w="7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56"/>
              <w:spacing w:after="0"/>
              <w:rPr>
                <w:sz w:val="20"/>
                <w:szCs w:val="20"/>
                <w:color w:val="auto"/>
              </w:rPr>
            </w:pPr>
            <w:r>
              <w:rPr>
                <w:rFonts w:ascii="Arial" w:cs="Arial" w:eastAsia="Arial" w:hAnsi="Arial"/>
                <w:sz w:val="13"/>
                <w:szCs w:val="13"/>
                <w:b w:val="1"/>
                <w:bCs w:val="1"/>
                <w:color w:val="auto"/>
                <w:w w:val="98"/>
              </w:rPr>
              <w:t>Losses</w:t>
            </w:r>
          </w:p>
        </w:tc>
        <w:tc>
          <w:tcPr>
            <w:tcW w:w="8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96"/>
              <w:spacing w:after="0"/>
              <w:rPr>
                <w:sz w:val="20"/>
                <w:szCs w:val="20"/>
                <w:color w:val="auto"/>
              </w:rPr>
            </w:pPr>
            <w:r>
              <w:rPr>
                <w:rFonts w:ascii="Arial" w:cs="Arial" w:eastAsia="Arial" w:hAnsi="Arial"/>
                <w:sz w:val="13"/>
                <w:szCs w:val="13"/>
                <w:b w:val="1"/>
                <w:bCs w:val="1"/>
                <w:color w:val="auto"/>
                <w:w w:val="98"/>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4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line="128"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4,281</w:t>
            </w:r>
          </w:p>
        </w:tc>
        <w:tc>
          <w:tcPr>
            <w:tcW w:w="60" w:type="dxa"/>
            <w:vAlign w:val="bottom"/>
          </w:tcPr>
          <w:p>
            <w:pPr>
              <w:spacing w:after="0"/>
              <w:rPr>
                <w:sz w:val="11"/>
                <w:szCs w:val="11"/>
                <w:color w:val="auto"/>
              </w:rPr>
            </w:pPr>
          </w:p>
        </w:tc>
        <w:tc>
          <w:tcPr>
            <w:tcW w:w="40" w:type="dxa"/>
            <w:vAlign w:val="bottom"/>
            <w:tcBorders>
              <w:right w:val="single" w:sz="8" w:color="CCEEFF"/>
            </w:tcBorders>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(245)</w:t>
            </w:r>
          </w:p>
        </w:tc>
        <w:tc>
          <w:tcPr>
            <w:tcW w:w="20" w:type="dxa"/>
            <w:vAlign w:val="bottom"/>
          </w:tcPr>
          <w:p>
            <w:pPr>
              <w:spacing w:after="0"/>
              <w:rPr>
                <w:sz w:val="11"/>
                <w:szCs w:val="11"/>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shd w:val="clear" w:color="auto" w:fill="CCEEFF"/>
              </w:rPr>
              <w:t>44,285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left w:val="single" w:sz="8" w:color="CCEEFF"/>
              <w:bottom w:val="single" w:sz="8" w:color="CCEEFF"/>
              <w:right w:val="single" w:sz="8" w:color="CCEEFF"/>
            </w:tcBorders>
            <w:shd w:val="clear" w:color="auto" w:fill="CCEEFF"/>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(7,474)</w:t>
            </w:r>
          </w:p>
        </w:tc>
        <w:tc>
          <w:tcPr>
            <w:tcW w:w="320" w:type="dxa"/>
            <w:vAlign w:val="bottom"/>
            <w:gridSpan w:val="2"/>
          </w:tcPr>
          <w:p>
            <w:pPr>
              <w:ind w:left="220"/>
              <w:spacing w:after="0" w:line="12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shd w:val="clear" w:color="auto" w:fill="CCEEFF"/>
              </w:rPr>
              <w:t>48,566</w:t>
            </w:r>
          </w:p>
        </w:tc>
        <w:tc>
          <w:tcPr>
            <w:tcW w:w="8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(7,719)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Arial" w:cs="Arial" w:eastAsia="Arial" w:hAnsi="Arial"/>
                <w:sz w:val="13"/>
                <w:szCs w:val="13"/>
                <w:color w:val="auto"/>
              </w:rPr>
              <w:t>U.S. Treasury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9,943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9,943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shd w:val="clear" w:color="auto" w:fill="CCEEFF"/>
              </w:rPr>
              <w:t>149,381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(32,872)</w:t>
            </w:r>
          </w:p>
        </w:tc>
        <w:tc>
          <w:tcPr>
            <w:tcW w:w="24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shd w:val="clear" w:color="auto" w:fill="CCEEFF"/>
              </w:rPr>
              <w:t>149,381</w:t>
            </w: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(32,872)</w:t>
            </w:r>
          </w:p>
        </w:tc>
        <w:tc>
          <w:tcPr>
            <w:tcW w:w="4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96,290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(18,600)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96,290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(18,600)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99"/>
              </w:rPr>
              <w:t>Mortgage-backed securities - commercial</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4,185</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36,610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(6,534)</w:t>
            </w:r>
          </w:p>
        </w:tc>
        <w:tc>
          <w:tcPr>
            <w:tcW w:w="24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40,795</w:t>
            </w: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(6,589)</w:t>
            </w:r>
          </w:p>
        </w:tc>
        <w:tc>
          <w:tcPr>
            <w:tcW w:w="4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Municipal securities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19,310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(5,754)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19,310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(5,754)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6,245</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8,369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(1,131)</w:t>
            </w:r>
          </w:p>
        </w:tc>
        <w:tc>
          <w:tcPr>
            <w:tcW w:w="24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14,614</w:t>
            </w: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(1,351)</w:t>
            </w:r>
          </w:p>
        </w:tc>
        <w:tc>
          <w:tcPr>
            <w:tcW w:w="4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Corporate bonds</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13,867</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(770)</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13,867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24,654</w:t>
            </w:r>
          </w:p>
        </w:tc>
        <w:tc>
          <w:tcPr>
            <w:tcW w:w="60" w:type="dxa"/>
            <w:vAlign w:val="bottom"/>
            <w:shd w:val="clear" w:color="auto" w:fill="CCEEFF"/>
          </w:tcPr>
          <w:p>
            <w:pPr>
              <w:spacing w:after="0"/>
              <w:rPr>
                <w:sz w:val="13"/>
                <w:szCs w:val="13"/>
                <w:color w:val="auto"/>
              </w:rPr>
            </w:pPr>
          </w:p>
        </w:tc>
        <w:tc>
          <w:tcPr>
            <w:tcW w:w="36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20" w:type="dxa"/>
            <w:vAlign w:val="bottom"/>
            <w:shd w:val="clear" w:color="auto" w:fill="CCEEFF"/>
          </w:tcPr>
          <w:p>
            <w:pPr>
              <w:spacing w:after="0"/>
              <w:rPr>
                <w:sz w:val="13"/>
                <w:szCs w:val="13"/>
                <w:color w:val="auto"/>
              </w:rPr>
            </w:pP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368,112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(73,135)</w:t>
            </w:r>
          </w:p>
        </w:tc>
        <w:tc>
          <w:tcPr>
            <w:tcW w:w="3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shd w:val="clear" w:color="auto" w:fill="CCEEFF"/>
              </w:rPr>
              <w:t>392,766</w:t>
            </w:r>
          </w:p>
        </w:tc>
        <w:tc>
          <w:tcPr>
            <w:tcW w:w="3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(73,663)</w:t>
            </w:r>
          </w:p>
        </w:tc>
        <w:tc>
          <w:tcPr>
            <w:tcW w:w="4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7"/>
          </w:tcPr>
          <w:p>
            <w:pPr>
              <w:jc w:val="center"/>
              <w:ind w:right="96"/>
              <w:spacing w:after="0"/>
              <w:rPr>
                <w:sz w:val="20"/>
                <w:szCs w:val="20"/>
                <w:color w:val="auto"/>
              </w:rPr>
            </w:pPr>
            <w:r>
              <w:rPr>
                <w:rFonts w:ascii="Arial" w:cs="Arial" w:eastAsia="Arial" w:hAnsi="Arial"/>
                <w:sz w:val="13"/>
                <w:szCs w:val="13"/>
                <w:b w:val="1"/>
                <w:bCs w:val="1"/>
                <w:color w:val="auto"/>
                <w:w w:val="99"/>
              </w:rPr>
              <w:t>December 31, 2022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Less than 12 months</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right"/>
              <w:ind w:right="156"/>
              <w:spacing w:after="0"/>
              <w:rPr>
                <w:sz w:val="20"/>
                <w:szCs w:val="20"/>
                <w:color w:val="auto"/>
              </w:rPr>
            </w:pPr>
            <w:r>
              <w:rPr>
                <w:rFonts w:ascii="Arial" w:cs="Arial" w:eastAsia="Arial" w:hAnsi="Arial"/>
                <w:sz w:val="13"/>
                <w:szCs w:val="13"/>
                <w:b w:val="1"/>
                <w:bCs w:val="1"/>
                <w:color w:val="auto"/>
              </w:rPr>
              <w:t>12 months or more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4"/>
            <w:vMerge w:val="restart"/>
          </w:tcPr>
          <w:p>
            <w:pPr>
              <w:jc w:val="right"/>
              <w:ind w:right="40"/>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2"/>
              </w:rPr>
              <w:t>Unrealized</w:t>
            </w:r>
          </w:p>
        </w:tc>
        <w:tc>
          <w:tcPr>
            <w:tcW w:w="220" w:type="dxa"/>
            <w:vAlign w:val="bottom"/>
          </w:tcPr>
          <w:p>
            <w:pPr>
              <w:spacing w:after="0"/>
              <w:rPr>
                <w:sz w:val="13"/>
                <w:szCs w:val="13"/>
                <w:color w:val="auto"/>
              </w:rPr>
            </w:pPr>
          </w:p>
        </w:tc>
        <w:tc>
          <w:tcPr>
            <w:tcW w:w="66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9"/>
              </w:rPr>
              <w:t>Fair Value</w:t>
            </w:r>
          </w:p>
        </w:tc>
        <w:tc>
          <w:tcPr>
            <w:tcW w:w="240" w:type="dxa"/>
            <w:vAlign w:val="bottom"/>
          </w:tcPr>
          <w:p>
            <w:pPr>
              <w:spacing w:after="0"/>
              <w:rPr>
                <w:sz w:val="13"/>
                <w:szCs w:val="13"/>
                <w:color w:val="auto"/>
              </w:rPr>
            </w:pP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Unrealized</w:t>
            </w:r>
          </w:p>
        </w:tc>
        <w:tc>
          <w:tcPr>
            <w:tcW w:w="240" w:type="dxa"/>
            <w:vAlign w:val="bottom"/>
          </w:tcPr>
          <w:p>
            <w:pPr>
              <w:spacing w:after="0"/>
              <w:rPr>
                <w:sz w:val="13"/>
                <w:szCs w:val="13"/>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3"/>
                <w:szCs w:val="13"/>
                <w:color w:val="auto"/>
              </w:rPr>
            </w:pPr>
          </w:p>
        </w:tc>
        <w:tc>
          <w:tcPr>
            <w:tcW w:w="880" w:type="dxa"/>
            <w:vAlign w:val="bottom"/>
            <w:gridSpan w:val="4"/>
          </w:tcPr>
          <w:p>
            <w:pPr>
              <w:jc w:val="center"/>
              <w:ind w:left="96"/>
              <w:spacing w:after="0"/>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3"/>
              </w:rPr>
              <w:t>Losses</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3"/>
                <w:szCs w:val="13"/>
                <w:b w:val="1"/>
                <w:bCs w:val="1"/>
                <w:color w:val="auto"/>
                <w:w w:val="98"/>
              </w:rPr>
              <w:t>Losses</w:t>
            </w: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3"/>
                <w:szCs w:val="13"/>
                <w:b w:val="1"/>
                <w:bCs w:val="1"/>
                <w:color w:val="auto"/>
                <w:w w:val="98"/>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4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11,407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right w:val="single" w:sz="8" w:color="CCEEFF"/>
            </w:tcBorders>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(1,093)</w:t>
            </w:r>
          </w:p>
        </w:tc>
        <w:tc>
          <w:tcPr>
            <w:tcW w:w="220" w:type="dxa"/>
            <w:vAlign w:val="bottom"/>
            <w:tcBorders>
              <w:left w:val="single" w:sz="8" w:color="CCEEFF"/>
            </w:tcBorders>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36,310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(7,616)</w:t>
            </w:r>
          </w:p>
        </w:tc>
        <w:tc>
          <w:tcPr>
            <w:tcW w:w="240" w:type="dxa"/>
            <w:vAlign w:val="bottom"/>
            <w:tcBorders>
              <w:lef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47,717</w:t>
            </w:r>
          </w:p>
        </w:tc>
        <w:tc>
          <w:tcPr>
            <w:tcW w:w="3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(8,709)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9,828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9,828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16,500</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(963)</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139,965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(34,962)</w:t>
            </w:r>
          </w:p>
        </w:tc>
        <w:tc>
          <w:tcPr>
            <w:tcW w:w="2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156,465</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(35,925)</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5,059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(564)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91,742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(19,348)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96,801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(19,912)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w w:val="99"/>
              </w:rPr>
              <w:t>Mortgage-backed securities - commercial</w:t>
            </w:r>
          </w:p>
        </w:tc>
        <w:tc>
          <w:tcPr>
            <w:tcW w:w="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10,052</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(1,173)</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26,823</w:t>
            </w:r>
          </w:p>
        </w:tc>
        <w:tc>
          <w:tcPr>
            <w:tcW w:w="20" w:type="dxa"/>
            <w:vAlign w:val="bottom"/>
            <w:shd w:val="clear" w:color="auto" w:fill="CCEEFF"/>
          </w:tcPr>
          <w:p>
            <w:pPr>
              <w:spacing w:after="0"/>
              <w:rPr>
                <w:sz w:val="14"/>
                <w:szCs w:val="14"/>
                <w:color w:val="auto"/>
              </w:rPr>
            </w:pP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2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36,875</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(6,473)</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Municipal securities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(6,601)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18,483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(6,601)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11,295</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(670)</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2,619</w:t>
            </w:r>
          </w:p>
        </w:tc>
        <w:tc>
          <w:tcPr>
            <w:tcW w:w="20" w:type="dxa"/>
            <w:vAlign w:val="bottom"/>
            <w:shd w:val="clear" w:color="auto" w:fill="CCEEFF"/>
          </w:tcPr>
          <w:p>
            <w:pPr>
              <w:spacing w:after="0"/>
              <w:rPr>
                <w:sz w:val="14"/>
                <w:szCs w:val="14"/>
                <w:color w:val="auto"/>
              </w:rPr>
            </w:pP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2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13,914</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(1,051)</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13,723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(926)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13,723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77,864</w:t>
            </w:r>
          </w:p>
        </w:tc>
        <w:tc>
          <w:tcPr>
            <w:tcW w:w="4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(5,402)</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315,942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(74,208)</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393,806</w:t>
            </w: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(79,610)</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As of March 31, 2023, the unrealized losses associated with $133.4 million of investment securities transferred from the AFS portfolio to the HTM portfolio represent unrealized losses since the date of purchase, independent of the impact associated with changes in the cost basis of the securities upon transfer between portfolios.</w:t>
      </w:r>
    </w:p>
    <w:p>
      <w:pPr>
        <w:spacing w:after="0" w:line="126"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ASC Topic 326 amended the existing other-than-temporary-impairment guidance for AFS securities, requiring credit losses to be recorded as an allowance rather than through a permanent write-down. When evaluating AFS debt securities under ASC Topic 326, the Company has evaluated whether the decline in fair value is attributed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depreciations over its holding period as it moves to maturity and the Company has the intent and ability to hold these securities to maturity if necessary. As a result of this evaluation, the Company concluded that no allowance was required.</w:t>
      </w:r>
    </w:p>
    <w:p>
      <w:pPr>
        <w:spacing w:after="0" w:line="136"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At December 31, 2022, the Company had $53.7 million of unrealized losses on mortgage backed securities and collateralized mortgage obligations of government sponsored entities having a fair value of $294.6 million that were attributable to a combination of factors, including relative changes in interest rates since the time of purchase.</w:t>
      </w:r>
    </w:p>
    <w:p>
      <w:pPr>
        <w:spacing w:after="0" w:line="136" w:lineRule="exact"/>
        <w:rPr>
          <w:sz w:val="20"/>
          <w:szCs w:val="20"/>
          <w:color w:val="auto"/>
        </w:rPr>
      </w:pPr>
    </w:p>
    <w:p>
      <w:pPr>
        <w:jc w:val="both"/>
        <w:ind w:left="640" w:right="639" w:firstLine="256"/>
        <w:spacing w:after="0" w:line="250" w:lineRule="auto"/>
        <w:rPr>
          <w:sz w:val="20"/>
          <w:szCs w:val="20"/>
          <w:color w:val="auto"/>
        </w:rPr>
      </w:pPr>
      <w:r>
        <w:rPr>
          <w:rFonts w:ascii="Arial" w:cs="Arial" w:eastAsia="Arial" w:hAnsi="Arial"/>
          <w:sz w:val="14"/>
          <w:szCs w:val="14"/>
          <w:color w:val="auto"/>
        </w:rPr>
        <w:t>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believed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43"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At December 31, 2022, the Company does not intend to sell debt securities that are in an unrealized loss position and it is not more than likely than not that the Company will be required to sell these securities before recovery of the amortized cost basis. Therefore, management does not consider any investment to be other than temporarily impaired at December 31, 2022.</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Pledged Securities</w:t>
      </w:r>
    </w:p>
    <w:p>
      <w:pPr>
        <w:spacing w:after="0" w:line="178"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As of March 31, 2023, the Company did not have any securities pledged under this agreement.</w:t>
      </w:r>
    </w:p>
    <w:p>
      <w:pPr>
        <w:spacing w:after="0" w:line="143"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The Company is a Qualified Public Depositor (“QPD”) with the State of Florida. As a QPD, the Company has the legal authority to maintain public deposits from cities, municipalities, and the State of Florida. These public deposits are secured by securities pledged to the State of Florida at a ratio of 25% of the outstanding uninsured deposits. The Company must also maintain a minimum amount of pledged securities to be in the public funds program.</w:t>
      </w:r>
    </w:p>
    <w:p>
      <w:pPr>
        <w:spacing w:after="0" w:line="132" w:lineRule="exact"/>
        <w:rPr>
          <w:sz w:val="20"/>
          <w:szCs w:val="20"/>
          <w:color w:val="auto"/>
        </w:rPr>
      </w:pPr>
    </w:p>
    <w:p>
      <w:pPr>
        <w:jc w:val="both"/>
        <w:ind w:left="640" w:right="659" w:firstLine="256"/>
        <w:spacing w:after="0" w:line="324" w:lineRule="auto"/>
        <w:rPr>
          <w:sz w:val="20"/>
          <w:szCs w:val="20"/>
          <w:color w:val="auto"/>
        </w:rPr>
      </w:pPr>
      <w:r>
        <w:rPr>
          <w:rFonts w:ascii="Arial" w:cs="Arial" w:eastAsia="Arial" w:hAnsi="Arial"/>
          <w:sz w:val="13"/>
          <w:szCs w:val="13"/>
          <w:color w:val="auto"/>
        </w:rPr>
        <w:t>As of March 31, 2023, the Company had a total of $206.3 million in deposits under the public funds program and pledged to the State of Florida for these public funds were twenty one corporate bonds with an aggregate fair value of $62.3 million.</w:t>
      </w:r>
    </w:p>
    <w:p>
      <w:pPr>
        <w:spacing w:after="0" w:line="87" w:lineRule="exact"/>
        <w:rPr>
          <w:sz w:val="20"/>
          <w:szCs w:val="20"/>
          <w:color w:val="auto"/>
        </w:rPr>
      </w:pPr>
    </w:p>
    <w:p>
      <w:pPr>
        <w:jc w:val="both"/>
        <w:ind w:left="640" w:right="679" w:firstLine="256"/>
        <w:spacing w:after="0" w:line="261" w:lineRule="auto"/>
        <w:rPr>
          <w:sz w:val="20"/>
          <w:szCs w:val="20"/>
          <w:color w:val="auto"/>
        </w:rPr>
      </w:pPr>
      <w:r>
        <w:rPr>
          <w:rFonts w:ascii="Arial" w:cs="Arial" w:eastAsia="Arial" w:hAnsi="Arial"/>
          <w:sz w:val="14"/>
          <w:szCs w:val="14"/>
          <w:color w:val="auto"/>
        </w:rPr>
        <w:t>As of December 31, 2022, the Company had a total of $204.2 million in deposits under the public funds program and pledged to the State of Florida for these public funds were eighteen corporate bonds with an aggregate fair value of $49.0 million.</w:t>
      </w:r>
    </w:p>
    <w:p>
      <w:pPr>
        <w:spacing w:after="0" w:line="13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Federal Reserve Board, on March 12, 2023, announced the creation of a new Bank Term Funding Program (BTFP). The BTFP offers loans of up to one year in length to banks, savings associations, credit unions, and other eligible depository institutions pledging U.S. Treasuries, agency debt and mortgage-backed securities, and other qualifying assets as collateral. These assets will be valued at par.</w:t>
      </w:r>
    </w:p>
    <w:p>
      <w:pPr>
        <w:spacing w:after="0" w:line="132" w:lineRule="exact"/>
        <w:rPr>
          <w:sz w:val="20"/>
          <w:szCs w:val="20"/>
          <w:color w:val="auto"/>
        </w:rPr>
      </w:pPr>
    </w:p>
    <w:p>
      <w:pPr>
        <w:jc w:val="both"/>
        <w:ind w:left="640" w:right="679" w:firstLine="256"/>
        <w:spacing w:after="0" w:line="284" w:lineRule="auto"/>
        <w:rPr>
          <w:sz w:val="20"/>
          <w:szCs w:val="20"/>
          <w:color w:val="auto"/>
        </w:rPr>
      </w:pPr>
      <w:r>
        <w:rPr>
          <w:rFonts w:ascii="Arial" w:cs="Arial" w:eastAsia="Arial" w:hAnsi="Arial"/>
          <w:sz w:val="14"/>
          <w:szCs w:val="14"/>
          <w:color w:val="auto"/>
        </w:rPr>
        <w:t>The Company had no borrowing under the BTFP program and had pledged $24.3 million in securities measured at par to the Federal Reserve Bank of Atlanta for the BTFP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1020" w:hanging="378"/>
        <w:spacing w:after="0"/>
        <w:tabs>
          <w:tab w:leader="none" w:pos="102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10" w:lineRule="exact"/>
        <w:rPr>
          <w:sz w:val="20"/>
          <w:szCs w:val="20"/>
          <w:color w:val="auto"/>
        </w:rPr>
      </w:pPr>
    </w:p>
    <w:p>
      <w:pPr>
        <w:jc w:val="both"/>
        <w:ind w:left="640" w:right="699" w:firstLine="256"/>
        <w:spacing w:after="0" w:line="250" w:lineRule="auto"/>
        <w:rPr>
          <w:sz w:val="20"/>
          <w:szCs w:val="20"/>
          <w:color w:val="auto"/>
        </w:rPr>
      </w:pPr>
      <w:r>
        <w:rPr>
          <w:rFonts w:ascii="Arial" w:cs="Arial" w:eastAsia="Arial" w:hAnsi="Arial"/>
          <w:sz w:val="14"/>
          <w:szCs w:val="14"/>
          <w:color w:val="auto"/>
        </w:rPr>
        <w:t>On January 1, 2023, the Company adopted FASB ASC Topic 326 using the modified retrospective methodology in accordance with the amendments of FASB ASU 2016-13. Through the adoption of CECL, the Company developed an allowance for credit losses (“ACL”) methodology that replaces its previous allowance for loan losses methodology. See the ACL section in this note for further information regarding the Company’s ACL. Prior periods balance for ACL are presented under legacy GAAP and may not be comparable to current period presentation.</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2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661"/>
              <w:spacing w:after="0"/>
              <w:rPr>
                <w:sz w:val="20"/>
                <w:szCs w:val="20"/>
                <w:color w:val="auto"/>
              </w:rPr>
            </w:pPr>
            <w:r>
              <w:rPr>
                <w:rFonts w:ascii="Arial" w:cs="Arial" w:eastAsia="Arial" w:hAnsi="Arial"/>
                <w:sz w:val="13"/>
                <w:szCs w:val="13"/>
                <w:b w:val="1"/>
                <w:bCs w:val="1"/>
                <w:color w:val="auto"/>
              </w:rPr>
              <w:t>March 31, 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r>
      <w:tr>
        <w:trPr>
          <w:trHeight w:val="164"/>
        </w:trPr>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184,427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74"/>
              </w:rPr>
              <w:t>%</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3"/>
                <w:szCs w:val="13"/>
                <w:color w:val="auto"/>
              </w:rPr>
            </w:pPr>
          </w:p>
        </w:tc>
      </w:tr>
      <w:tr>
        <w:trPr>
          <w:trHeight w:val="177"/>
        </w:trPr>
        <w:tc>
          <w:tcPr>
            <w:tcW w:w="278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987,757</w:t>
            </w:r>
          </w:p>
        </w:tc>
        <w:tc>
          <w:tcPr>
            <w:tcW w:w="1140" w:type="dxa"/>
            <w:vAlign w:val="bottom"/>
            <w:gridSpan w:val="5"/>
          </w:tcPr>
          <w:p>
            <w:pPr>
              <w:jc w:val="right"/>
              <w:ind w:right="21"/>
              <w:spacing w:after="0"/>
              <w:rPr>
                <w:sz w:val="20"/>
                <w:szCs w:val="20"/>
                <w:color w:val="auto"/>
              </w:rPr>
            </w:pPr>
            <w:r>
              <w:rPr>
                <w:rFonts w:ascii="Arial" w:cs="Arial" w:eastAsia="Arial" w:hAnsi="Arial"/>
                <w:sz w:val="13"/>
                <w:szCs w:val="13"/>
                <w:color w:val="auto"/>
              </w:rPr>
              <w:t>62.5 %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970,410</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64.4 %</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160,947</w:t>
            </w: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74"/>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40" w:type="dxa"/>
            <w:vAlign w:val="bottom"/>
            <w:gridSpan w:val="2"/>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5"/>
                <w:szCs w:val="15"/>
                <w:color w:val="auto"/>
              </w:rPr>
            </w:pPr>
          </w:p>
        </w:tc>
      </w:tr>
      <w:tr>
        <w:trPr>
          <w:trHeight w:val="166"/>
        </w:trPr>
        <w:tc>
          <w:tcPr>
            <w:tcW w:w="4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Foreign Banks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97,405</w:t>
            </w:r>
          </w:p>
        </w:tc>
        <w:tc>
          <w:tcPr>
            <w:tcW w:w="1140" w:type="dxa"/>
            <w:vAlign w:val="bottom"/>
            <w:gridSpan w:val="5"/>
          </w:tcPr>
          <w:p>
            <w:pPr>
              <w:jc w:val="right"/>
              <w:ind w:right="21"/>
              <w:spacing w:after="0"/>
              <w:rPr>
                <w:sz w:val="20"/>
                <w:szCs w:val="20"/>
                <w:color w:val="auto"/>
              </w:rPr>
            </w:pPr>
            <w:r>
              <w:rPr>
                <w:rFonts w:ascii="Arial" w:cs="Arial" w:eastAsia="Arial" w:hAnsi="Arial"/>
                <w:sz w:val="13"/>
                <w:szCs w:val="13"/>
                <w:color w:val="auto"/>
              </w:rPr>
              <w:t>6.1 %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93,769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149,410</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74"/>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740" w:type="dxa"/>
            <w:vAlign w:val="bottom"/>
          </w:tcPr>
          <w:p>
            <w:pPr>
              <w:ind w:left="60"/>
              <w:spacing w:after="0"/>
              <w:rPr>
                <w:sz w:val="20"/>
                <w:szCs w:val="20"/>
                <w:color w:val="auto"/>
              </w:rPr>
            </w:pPr>
            <w:r>
              <w:rPr>
                <w:rFonts w:ascii="Arial" w:cs="Arial" w:eastAsia="Arial" w:hAnsi="Arial"/>
                <w:sz w:val="13"/>
                <w:szCs w:val="13"/>
                <w:color w:val="auto"/>
              </w:rPr>
              <w:t>Total gross loans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1,579,946</w:t>
            </w:r>
          </w:p>
        </w:tc>
        <w:tc>
          <w:tcPr>
            <w:tcW w:w="1140" w:type="dxa"/>
            <w:vAlign w:val="bottom"/>
            <w:gridSpan w:val="5"/>
          </w:tcPr>
          <w:p>
            <w:pPr>
              <w:jc w:val="right"/>
              <w:ind w:right="21"/>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1,507,228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5"/>
                <w:szCs w:val="15"/>
                <w:color w:val="auto"/>
              </w:rPr>
            </w:pPr>
          </w:p>
        </w:tc>
      </w:tr>
      <w:tr>
        <w:trPr>
          <w:trHeight w:val="149"/>
        </w:trPr>
        <w:tc>
          <w:tcPr>
            <w:tcW w:w="40" w:type="dxa"/>
            <w:vAlign w:val="bottom"/>
          </w:tcPr>
          <w:p>
            <w:pPr>
              <w:spacing w:after="0"/>
              <w:rPr>
                <w:sz w:val="12"/>
                <w:szCs w:val="12"/>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Deferred fees (cost)</w:t>
            </w: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57"/>
        </w:trPr>
        <w:tc>
          <w:tcPr>
            <w:tcW w:w="40" w:type="dxa"/>
            <w:vAlign w:val="bottom"/>
          </w:tcPr>
          <w:p>
            <w:pPr>
              <w:spacing w:after="0"/>
              <w:rPr>
                <w:sz w:val="13"/>
                <w:szCs w:val="13"/>
                <w:color w:val="auto"/>
              </w:rPr>
            </w:pPr>
          </w:p>
        </w:tc>
        <w:tc>
          <w:tcPr>
            <w:tcW w:w="2740" w:type="dxa"/>
            <w:vAlign w:val="bottom"/>
          </w:tcPr>
          <w:p>
            <w:pPr>
              <w:ind w:left="60"/>
              <w:spacing w:after="0"/>
              <w:rPr>
                <w:sz w:val="20"/>
                <w:szCs w:val="20"/>
                <w:color w:val="auto"/>
              </w:rPr>
            </w:pPr>
            <w:r>
              <w:rPr>
                <w:rFonts w:ascii="Arial" w:cs="Arial" w:eastAsia="Arial" w:hAnsi="Arial"/>
                <w:sz w:val="13"/>
                <w:szCs w:val="13"/>
                <w:color w:val="auto"/>
              </w:rPr>
              <w:t>Total loans net of deferred fees (cost)</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1,580,394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40" w:type="dxa"/>
            <w:vAlign w:val="bottom"/>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18,887</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Arial" w:cs="Arial" w:eastAsia="Arial" w:hAnsi="Arial"/>
                <w:sz w:val="13"/>
                <w:szCs w:val="13"/>
                <w:color w:val="auto"/>
              </w:rPr>
              <w:t>Total net loans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1,561,507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1,489,851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At March 31, 2023 and December 31, 2022, the Company had $358.8 million and $338.1 million respectively, of commercial real estate and residential mortgage loans pledged as collateral for lines of credit with the FHLB and the Federal Reserve Bank of Atlanta.</w:t>
      </w:r>
    </w:p>
    <w:p>
      <w:pPr>
        <w:spacing w:after="0" w:line="12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Company was a participant in the Small Business Administration’s (“SBA”) Paycheck Protection Program (“PPP”) loans. These loans were designed to provide a direct incentive for small businesses to keep their workers on payroll and the funds had to be used towards payroll cost, mortgage interest, rent, utilities and other costs related to COVID-19. These loans are forgivable under specific criteria as determined by the SBA. The Company had PPP loans totaling $308 thousand at March 31, 2023 and $1.3 million at December 31, 2022, which are categorized as commercial and industrial loans.</w:t>
      </w:r>
    </w:p>
    <w:p>
      <w:pPr>
        <w:spacing w:after="0" w:line="133" w:lineRule="exact"/>
        <w:rPr>
          <w:sz w:val="20"/>
          <w:szCs w:val="20"/>
          <w:color w:val="auto"/>
        </w:rPr>
      </w:pPr>
    </w:p>
    <w:p>
      <w:pPr>
        <w:jc w:val="both"/>
        <w:ind w:left="640" w:right="679" w:firstLine="256"/>
        <w:spacing w:after="0" w:line="261" w:lineRule="auto"/>
        <w:rPr>
          <w:sz w:val="20"/>
          <w:szCs w:val="20"/>
          <w:color w:val="auto"/>
        </w:rPr>
      </w:pPr>
      <w:r>
        <w:rPr>
          <w:rFonts w:ascii="Arial" w:cs="Arial" w:eastAsia="Arial" w:hAnsi="Arial"/>
          <w:sz w:val="14"/>
          <w:szCs w:val="14"/>
          <w:color w:val="auto"/>
        </w:rPr>
        <w:t>The Company recognized $1 thousand and $1.0 million in PPP loan fees and interest income during the three months ended March 31, 2023 and 2022, respectively, which is reported under loans, including fees, within the Consolidated Statements of Operations.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Allowance for Credit Losses</w:t>
      </w:r>
    </w:p>
    <w:p>
      <w:pPr>
        <w:spacing w:after="0" w:line="167" w:lineRule="exact"/>
        <w:rPr>
          <w:sz w:val="20"/>
          <w:szCs w:val="20"/>
          <w:color w:val="auto"/>
        </w:rPr>
      </w:pPr>
    </w:p>
    <w:p>
      <w:pPr>
        <w:jc w:val="both"/>
        <w:ind w:left="640" w:right="679" w:firstLine="256"/>
        <w:spacing w:after="0" w:line="247" w:lineRule="auto"/>
        <w:rPr>
          <w:sz w:val="20"/>
          <w:szCs w:val="20"/>
          <w:color w:val="auto"/>
        </w:rPr>
      </w:pPr>
      <w:r>
        <w:rPr>
          <w:rFonts w:ascii="Arial" w:cs="Arial" w:eastAsia="Arial" w:hAnsi="Arial"/>
          <w:sz w:val="14"/>
          <w:szCs w:val="14"/>
          <w:color w:val="auto"/>
        </w:rPr>
        <w:t>In general, the Company utilizes the Discounted Cash Flow (DCF) method or the Remaining Life (WARM) methodology to estimate the quantitative portion of the ACL for loan pools. The DCF uses a loss driver analysis (LDA) and discounted cash flow analyses. Management engaged advisors and consultants with expertise in CECL model development to assist in development of a loss driver analysis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and/or the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Qualitative factors used in the ACL methodology include:</w:t>
      </w:r>
    </w:p>
    <w:p>
      <w:pPr>
        <w:spacing w:after="0" w:line="170" w:lineRule="exact"/>
        <w:rPr>
          <w:sz w:val="20"/>
          <w:szCs w:val="20"/>
          <w:color w:val="auto"/>
        </w:rPr>
      </w:pPr>
    </w:p>
    <w:p>
      <w:pPr>
        <w:ind w:left="1160" w:hanging="262"/>
        <w:spacing w:after="0"/>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9" w:lineRule="exact"/>
        <w:rPr>
          <w:rFonts w:ascii="Arial" w:cs="Arial" w:eastAsia="Arial" w:hAnsi="Arial"/>
          <w:sz w:val="14"/>
          <w:szCs w:val="14"/>
          <w:color w:val="auto"/>
        </w:rPr>
      </w:pPr>
    </w:p>
    <w:p>
      <w:pPr>
        <w:ind w:left="1160" w:hanging="262"/>
        <w:spacing w:after="0"/>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conditions</w:t>
      </w:r>
    </w:p>
    <w:p>
      <w:pPr>
        <w:ind w:left="1160" w:hanging="262"/>
        <w:spacing w:after="0"/>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nature and volume of portfolio</w:t>
      </w:r>
    </w:p>
    <w:p>
      <w:pPr>
        <w:spacing w:after="0" w:line="9" w:lineRule="exact"/>
        <w:rPr>
          <w:rFonts w:ascii="Arial" w:cs="Arial" w:eastAsia="Arial" w:hAnsi="Arial"/>
          <w:sz w:val="14"/>
          <w:szCs w:val="14"/>
          <w:color w:val="auto"/>
        </w:rPr>
      </w:pPr>
    </w:p>
    <w:p>
      <w:pPr>
        <w:ind w:left="1160" w:hanging="262"/>
        <w:spacing w:after="0"/>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spacing w:after="0" w:line="298"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ind w:left="1160" w:hanging="262"/>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Concentration risk</w:t>
      </w:r>
    </w:p>
    <w:p>
      <w:pPr>
        <w:spacing w:after="0" w:line="9" w:lineRule="exact"/>
        <w:rPr>
          <w:rFonts w:ascii="Arial" w:cs="Arial" w:eastAsia="Arial" w:hAnsi="Arial"/>
          <w:sz w:val="14"/>
          <w:szCs w:val="14"/>
          <w:color w:val="auto"/>
        </w:rPr>
      </w:pPr>
    </w:p>
    <w:p>
      <w:pPr>
        <w:ind w:left="1160" w:hanging="262"/>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spacing w:after="0" w:line="9" w:lineRule="exact"/>
        <w:rPr>
          <w:rFonts w:ascii="Arial" w:cs="Arial" w:eastAsia="Arial" w:hAnsi="Arial"/>
          <w:sz w:val="14"/>
          <w:szCs w:val="14"/>
          <w:color w:val="auto"/>
        </w:rPr>
      </w:pPr>
    </w:p>
    <w:p>
      <w:pPr>
        <w:ind w:left="1160" w:hanging="262"/>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ind w:left="1160" w:hanging="262"/>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160"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ACL for the three months ended March 31, 2023, was estimated under the CECL methodology, and for the three months ended December 31, 2022, and prior periods, it was estimated under the incurred loss model.</w:t>
      </w:r>
    </w:p>
    <w:p>
      <w:pPr>
        <w:spacing w:after="0" w:line="131" w:lineRule="exact"/>
        <w:rPr>
          <w:sz w:val="20"/>
          <w:szCs w:val="20"/>
          <w:color w:val="auto"/>
        </w:rPr>
      </w:pPr>
    </w:p>
    <w:p>
      <w:pPr>
        <w:ind w:left="640" w:right="719" w:firstLine="256"/>
        <w:spacing w:after="0" w:line="268" w:lineRule="auto"/>
        <w:rPr>
          <w:sz w:val="20"/>
          <w:szCs w:val="20"/>
          <w:color w:val="auto"/>
        </w:rPr>
      </w:pPr>
      <w:r>
        <w:rPr>
          <w:rFonts w:ascii="Arial" w:cs="Arial" w:eastAsia="Arial" w:hAnsi="Arial"/>
          <w:sz w:val="14"/>
          <w:szCs w:val="14"/>
          <w:color w:val="auto"/>
        </w:rPr>
        <w:t>Changes in the allowance for credit losses for the three months ended March 31, 2023 and 2022 were as follows (in thousands):</w:t>
      </w:r>
    </w:p>
    <w:p>
      <w:pPr>
        <w:spacing w:after="0" w:line="11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9"/>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Foreign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Banks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top w:val="single" w:sz="8" w:color="auto"/>
            </w:tcBorders>
          </w:tcPr>
          <w:p>
            <w:pPr>
              <w:spacing w:after="0" w:line="20" w:lineRule="exact"/>
              <w:rPr>
                <w:sz w:val="1"/>
                <w:szCs w:val="1"/>
                <w:color w:val="auto"/>
              </w:rPr>
            </w:pPr>
          </w:p>
        </w:tc>
        <w:tc>
          <w:tcPr>
            <w:tcW w:w="3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5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b w:val="1"/>
                <w:bCs w:val="1"/>
                <w:color w:val="auto"/>
              </w:rPr>
              <w:t>Three Months Ended March 31, 2023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3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1,352</w:t>
            </w:r>
          </w:p>
        </w:tc>
        <w:tc>
          <w:tcPr>
            <w:tcW w:w="60" w:type="dxa"/>
            <w:vAlign w:val="bottom"/>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10,143</w:t>
            </w:r>
          </w:p>
        </w:tc>
        <w:tc>
          <w:tcPr>
            <w:tcW w:w="60" w:type="dxa"/>
            <w:vAlign w:val="bottom"/>
          </w:tcPr>
          <w:p>
            <w:pPr>
              <w:spacing w:after="0"/>
              <w:rPr>
                <w:sz w:val="14"/>
                <w:szCs w:val="14"/>
                <w:color w:val="auto"/>
              </w:rPr>
            </w:pP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4,163</w:t>
            </w:r>
          </w:p>
        </w:tc>
        <w:tc>
          <w:tcPr>
            <w:tcW w:w="60" w:type="dxa"/>
            <w:vAlign w:val="bottom"/>
          </w:tcPr>
          <w:p>
            <w:pPr>
              <w:spacing w:after="0"/>
              <w:rPr>
                <w:sz w:val="14"/>
                <w:szCs w:val="14"/>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1,109</w:t>
            </w:r>
          </w:p>
        </w:tc>
        <w:tc>
          <w:tcPr>
            <w:tcW w:w="60" w:type="dxa"/>
            <w:vAlign w:val="bottom"/>
          </w:tcPr>
          <w:p>
            <w:pPr>
              <w:spacing w:after="0"/>
              <w:rPr>
                <w:sz w:val="14"/>
                <w:szCs w:val="14"/>
                <w:color w:val="auto"/>
              </w:rPr>
            </w:pPr>
          </w:p>
        </w:tc>
        <w:tc>
          <w:tcPr>
            <w:tcW w:w="170" w:type="dxa"/>
            <w:vAlign w:val="bottom"/>
            <w:gridSpan w:val="3"/>
          </w:tcPr>
          <w:p>
            <w:pPr>
              <w:jc w:val="right"/>
              <w:ind w:right="50"/>
              <w:spacing w:after="0"/>
              <w:rPr>
                <w:sz w:val="20"/>
                <w:szCs w:val="20"/>
                <w:color w:val="auto"/>
              </w:rPr>
            </w:pPr>
            <w:r>
              <w:rPr>
                <w:rFonts w:ascii="Arial" w:cs="Arial" w:eastAsia="Arial" w:hAnsi="Arial"/>
                <w:sz w:val="13"/>
                <w:szCs w:val="13"/>
                <w:color w:val="auto"/>
              </w:rPr>
              <w:t>$</w:t>
            </w:r>
          </w:p>
        </w:tc>
        <w:tc>
          <w:tcPr>
            <w:tcW w:w="530" w:type="dxa"/>
            <w:vAlign w:val="bottom"/>
            <w:gridSpan w:val="2"/>
          </w:tcPr>
          <w:p>
            <w:pPr>
              <w:jc w:val="right"/>
              <w:spacing w:after="0"/>
              <w:rPr>
                <w:sz w:val="20"/>
                <w:szCs w:val="20"/>
                <w:color w:val="auto"/>
              </w:rPr>
            </w:pPr>
            <w:r>
              <w:rPr>
                <w:rFonts w:ascii="Arial" w:cs="Arial" w:eastAsia="Arial" w:hAnsi="Arial"/>
                <w:sz w:val="13"/>
                <w:szCs w:val="13"/>
                <w:color w:val="auto"/>
              </w:rPr>
              <w:t>17,487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Cumulative effect of adoption of accounting</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3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50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3"/>
                <w:szCs w:val="13"/>
                <w:color w:val="auto"/>
              </w:rPr>
              <w:t xml:space="preserve">principle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10" w:type="dxa"/>
            <w:vAlign w:val="bottom"/>
            <w:tcBorders>
              <w:bottom w:val="single" w:sz="8" w:color="CCEEFF"/>
            </w:tcBorders>
            <w:shd w:val="clear" w:color="auto" w:fill="CCEEFF"/>
          </w:tcPr>
          <w:p>
            <w:pPr>
              <w:spacing w:after="0"/>
              <w:rPr>
                <w:sz w:val="15"/>
                <w:szCs w:val="15"/>
                <w:color w:val="auto"/>
              </w:rPr>
            </w:pPr>
          </w:p>
        </w:tc>
        <w:tc>
          <w:tcPr>
            <w:tcW w:w="3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92"/>
        </w:trPr>
        <w:tc>
          <w:tcPr>
            <w:tcW w:w="2520" w:type="dxa"/>
            <w:vAlign w:val="bottom"/>
            <w:gridSpan w:val="2"/>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(795)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318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530" w:type="dxa"/>
            <w:vAlign w:val="bottom"/>
            <w:gridSpan w:val="2"/>
          </w:tcPr>
          <w:p>
            <w:pPr>
              <w:jc w:val="right"/>
              <w:spacing w:after="0"/>
              <w:rPr>
                <w:sz w:val="20"/>
                <w:szCs w:val="20"/>
                <w:color w:val="auto"/>
              </w:rPr>
            </w:pPr>
            <w:r>
              <w:rPr>
                <w:rFonts w:ascii="Arial" w:cs="Arial" w:eastAsia="Arial" w:hAnsi="Arial"/>
                <w:sz w:val="13"/>
                <w:szCs w:val="13"/>
                <w:color w:val="auto"/>
              </w:rPr>
              <w:t>285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1"/>
        </w:trPr>
        <w:tc>
          <w:tcPr>
            <w:tcW w:w="20" w:type="dxa"/>
            <w:vAlign w:val="bottom"/>
          </w:tcPr>
          <w:p>
            <w:pPr>
              <w:spacing w:after="0"/>
              <w:rPr>
                <w:sz w:val="13"/>
                <w:szCs w:val="1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Recoveries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3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252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90" w:type="dxa"/>
            <w:vAlign w:val="bottom"/>
            <w:gridSpan w:val="3"/>
          </w:tcPr>
          <w:p>
            <w:pPr>
              <w:jc w:val="right"/>
              <w:ind w:right="60"/>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top w:val="single" w:sz="8" w:color="auto"/>
            </w:tcBorders>
          </w:tcPr>
          <w:p>
            <w:pPr>
              <w:spacing w:after="0" w:line="20" w:lineRule="exact"/>
              <w:rPr>
                <w:sz w:val="1"/>
                <w:szCs w:val="1"/>
                <w:color w:val="auto"/>
              </w:rPr>
            </w:pPr>
          </w:p>
        </w:tc>
        <w:tc>
          <w:tcPr>
            <w:tcW w:w="3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50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Ending Balance</w:t>
            </w:r>
          </w:p>
        </w:tc>
        <w:tc>
          <w:tcPr>
            <w:tcW w:w="180" w:type="dxa"/>
            <w:vAlign w:val="bottom"/>
            <w:tcBorders>
              <w:bottom w:val="single" w:sz="8" w:color="CCEEFF"/>
            </w:tcBorders>
            <w:gridSpan w:val="3"/>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2,819</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10,453</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4"/>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2,367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772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3"/>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2,476</w:t>
            </w:r>
          </w:p>
        </w:tc>
        <w:tc>
          <w:tcPr>
            <w:tcW w:w="60" w:type="dxa"/>
            <w:vAlign w:val="bottom"/>
            <w:tcBorders>
              <w:bottom w:val="single" w:sz="8" w:color="CCEEFF"/>
            </w:tcBorders>
            <w:shd w:val="clear" w:color="auto" w:fill="CCEEFF"/>
          </w:tcPr>
          <w:p>
            <w:pPr>
              <w:spacing w:after="0"/>
              <w:rPr>
                <w:sz w:val="13"/>
                <w:szCs w:val="13"/>
                <w:color w:val="auto"/>
              </w:rPr>
            </w:pPr>
          </w:p>
        </w:tc>
        <w:tc>
          <w:tcPr>
            <w:tcW w:w="170" w:type="dxa"/>
            <w:vAlign w:val="bottom"/>
            <w:tcBorders>
              <w:bottom w:val="single" w:sz="8" w:color="CCEEFF"/>
            </w:tcBorders>
            <w:gridSpan w:val="3"/>
            <w:shd w:val="clear" w:color="auto" w:fill="CCEEFF"/>
          </w:tcPr>
          <w:p>
            <w:pPr>
              <w:jc w:val="right"/>
              <w:ind w:right="50"/>
              <w:spacing w:after="0" w:line="131" w:lineRule="exact"/>
              <w:rPr>
                <w:sz w:val="20"/>
                <w:szCs w:val="20"/>
                <w:color w:val="auto"/>
              </w:rPr>
            </w:pPr>
            <w:r>
              <w:rPr>
                <w:rFonts w:ascii="Arial" w:cs="Arial" w:eastAsia="Arial" w:hAnsi="Arial"/>
                <w:sz w:val="13"/>
                <w:szCs w:val="13"/>
                <w:color w:val="auto"/>
              </w:rPr>
              <w:t>$</w:t>
            </w:r>
          </w:p>
        </w:tc>
        <w:tc>
          <w:tcPr>
            <w:tcW w:w="3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18,887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3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20" w:type="dxa"/>
            <w:vAlign w:val="bottom"/>
          </w:tcPr>
          <w:p>
            <w:pPr>
              <w:spacing w:after="0"/>
              <w:rPr>
                <w:sz w:val="13"/>
                <w:szCs w:val="1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March 31, 2022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3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2,498</w:t>
            </w:r>
          </w:p>
        </w:tc>
        <w:tc>
          <w:tcPr>
            <w:tcW w:w="60" w:type="dxa"/>
            <w:vAlign w:val="bottom"/>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8,758</w:t>
            </w:r>
          </w:p>
        </w:tc>
        <w:tc>
          <w:tcPr>
            <w:tcW w:w="60" w:type="dxa"/>
            <w:vAlign w:val="bottom"/>
          </w:tcPr>
          <w:p>
            <w:pPr>
              <w:spacing w:after="0"/>
              <w:rPr>
                <w:sz w:val="14"/>
                <w:szCs w:val="14"/>
                <w:color w:val="auto"/>
              </w:rPr>
            </w:pP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2,775</w:t>
            </w:r>
          </w:p>
        </w:tc>
        <w:tc>
          <w:tcPr>
            <w:tcW w:w="60" w:type="dxa"/>
            <w:vAlign w:val="bottom"/>
          </w:tcPr>
          <w:p>
            <w:pPr>
              <w:spacing w:after="0"/>
              <w:rPr>
                <w:sz w:val="14"/>
                <w:szCs w:val="14"/>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457</w:t>
            </w:r>
          </w:p>
        </w:tc>
        <w:tc>
          <w:tcPr>
            <w:tcW w:w="6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569</w:t>
            </w:r>
          </w:p>
        </w:tc>
        <w:tc>
          <w:tcPr>
            <w:tcW w:w="60" w:type="dxa"/>
            <w:vAlign w:val="bottom"/>
          </w:tcPr>
          <w:p>
            <w:pPr>
              <w:spacing w:after="0"/>
              <w:rPr>
                <w:sz w:val="14"/>
                <w:szCs w:val="14"/>
                <w:color w:val="auto"/>
              </w:rPr>
            </w:pPr>
          </w:p>
        </w:tc>
        <w:tc>
          <w:tcPr>
            <w:tcW w:w="170" w:type="dxa"/>
            <w:vAlign w:val="bottom"/>
            <w:gridSpan w:val="3"/>
          </w:tcPr>
          <w:p>
            <w:pPr>
              <w:jc w:val="right"/>
              <w:ind w:right="50"/>
              <w:spacing w:after="0"/>
              <w:rPr>
                <w:sz w:val="20"/>
                <w:szCs w:val="20"/>
                <w:color w:val="auto"/>
              </w:rPr>
            </w:pPr>
            <w:r>
              <w:rPr>
                <w:rFonts w:ascii="Arial" w:cs="Arial" w:eastAsia="Arial" w:hAnsi="Arial"/>
                <w:sz w:val="13"/>
                <w:szCs w:val="13"/>
                <w:color w:val="auto"/>
              </w:rPr>
              <w:t>$</w:t>
            </w:r>
          </w:p>
        </w:tc>
        <w:tc>
          <w:tcPr>
            <w:tcW w:w="530" w:type="dxa"/>
            <w:vAlign w:val="bottom"/>
            <w:gridSpan w:val="2"/>
          </w:tcPr>
          <w:p>
            <w:pPr>
              <w:jc w:val="right"/>
              <w:spacing w:after="0"/>
              <w:rPr>
                <w:sz w:val="20"/>
                <w:szCs w:val="20"/>
                <w:color w:val="auto"/>
              </w:rPr>
            </w:pPr>
            <w:r>
              <w:rPr>
                <w:rFonts w:ascii="Arial" w:cs="Arial" w:eastAsia="Arial" w:hAnsi="Arial"/>
                <w:sz w:val="13"/>
                <w:szCs w:val="13"/>
                <w:color w:val="auto"/>
              </w:rPr>
              <w:t>15,057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Provision for credit losses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3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3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3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7"/>
        </w:trPr>
        <w:tc>
          <w:tcPr>
            <w:tcW w:w="25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2,357</w:t>
            </w:r>
          </w:p>
        </w:tc>
        <w:tc>
          <w:tcPr>
            <w:tcW w:w="60" w:type="dxa"/>
            <w:vAlign w:val="bottom"/>
          </w:tcPr>
          <w:p>
            <w:pPr>
              <w:spacing w:after="0"/>
              <w:rPr>
                <w:sz w:val="15"/>
                <w:szCs w:val="15"/>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9,183</w:t>
            </w:r>
          </w:p>
        </w:tc>
        <w:tc>
          <w:tcPr>
            <w:tcW w:w="60" w:type="dxa"/>
            <w:vAlign w:val="bottom"/>
          </w:tcPr>
          <w:p>
            <w:pPr>
              <w:spacing w:after="0"/>
              <w:rPr>
                <w:sz w:val="15"/>
                <w:szCs w:val="15"/>
                <w:color w:val="auto"/>
              </w:rPr>
            </w:pP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2,355</w:t>
            </w:r>
          </w:p>
        </w:tc>
        <w:tc>
          <w:tcPr>
            <w:tcW w:w="60" w:type="dxa"/>
            <w:vAlign w:val="bottom"/>
          </w:tcPr>
          <w:p>
            <w:pPr>
              <w:spacing w:after="0"/>
              <w:rPr>
                <w:sz w:val="15"/>
                <w:szCs w:val="15"/>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491</w:t>
            </w:r>
          </w:p>
        </w:tc>
        <w:tc>
          <w:tcPr>
            <w:tcW w:w="6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688</w:t>
            </w:r>
          </w:p>
        </w:tc>
        <w:tc>
          <w:tcPr>
            <w:tcW w:w="60" w:type="dxa"/>
            <w:vAlign w:val="bottom"/>
          </w:tcPr>
          <w:p>
            <w:pPr>
              <w:spacing w:after="0"/>
              <w:rPr>
                <w:sz w:val="15"/>
                <w:szCs w:val="15"/>
                <w:color w:val="auto"/>
              </w:rPr>
            </w:pPr>
          </w:p>
        </w:tc>
        <w:tc>
          <w:tcPr>
            <w:tcW w:w="170" w:type="dxa"/>
            <w:vAlign w:val="bottom"/>
            <w:gridSpan w:val="3"/>
          </w:tcPr>
          <w:p>
            <w:pPr>
              <w:jc w:val="right"/>
              <w:ind w:right="50"/>
              <w:spacing w:after="0"/>
              <w:rPr>
                <w:sz w:val="20"/>
                <w:szCs w:val="20"/>
                <w:color w:val="auto"/>
              </w:rPr>
            </w:pPr>
            <w:r>
              <w:rPr>
                <w:rFonts w:ascii="Arial" w:cs="Arial" w:eastAsia="Arial" w:hAnsi="Arial"/>
                <w:sz w:val="13"/>
                <w:szCs w:val="13"/>
                <w:color w:val="auto"/>
              </w:rPr>
              <w:t>$</w:t>
            </w:r>
          </w:p>
        </w:tc>
        <w:tc>
          <w:tcPr>
            <w:tcW w:w="530" w:type="dxa"/>
            <w:vAlign w:val="bottom"/>
            <w:gridSpan w:val="2"/>
          </w:tcPr>
          <w:p>
            <w:pPr>
              <w:jc w:val="right"/>
              <w:spacing w:after="0"/>
              <w:rPr>
                <w:sz w:val="20"/>
                <w:szCs w:val="20"/>
                <w:color w:val="auto"/>
              </w:rPr>
            </w:pPr>
            <w:r>
              <w:rPr>
                <w:rFonts w:ascii="Arial" w:cs="Arial" w:eastAsia="Arial" w:hAnsi="Arial"/>
                <w:sz w:val="13"/>
                <w:szCs w:val="13"/>
                <w:color w:val="auto"/>
              </w:rPr>
              <w:t>15,074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 w:lineRule="exact"/>
        <w:rPr>
          <w:sz w:val="20"/>
          <w:szCs w:val="20"/>
          <w:color w:val="auto"/>
        </w:rPr>
      </w:pPr>
    </w:p>
    <w:p>
      <w:pPr>
        <w:ind w:left="840" w:hanging="198"/>
        <w:spacing w:after="0"/>
        <w:tabs>
          <w:tab w:leader="none" w:pos="84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21" w:lineRule="exact"/>
        <w:rPr>
          <w:rFonts w:ascii="Arial" w:cs="Arial" w:eastAsia="Arial" w:hAnsi="Arial"/>
          <w:sz w:val="13"/>
          <w:szCs w:val="13"/>
          <w:color w:val="auto"/>
        </w:rPr>
      </w:pPr>
    </w:p>
    <w:p>
      <w:pPr>
        <w:ind w:left="840" w:hanging="198"/>
        <w:spacing w:after="0"/>
        <w:tabs>
          <w:tab w:leader="none" w:pos="84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Provision for credit losses excludes $84 thousand reduction due to unfunded commitments included in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ACL and the outstanding balances in the specified loan categories as of March 31, 2023 and December 31, 2022 are as follows (in thousands):</w:t>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b w:val="1"/>
                <w:bCs w:val="1"/>
                <w:color w:val="auto"/>
                <w:w w:val="99"/>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51"/>
        </w:trPr>
        <w:tc>
          <w:tcPr>
            <w:tcW w:w="40" w:type="dxa"/>
            <w:vAlign w:val="bottom"/>
          </w:tcPr>
          <w:p>
            <w:pPr>
              <w:spacing w:after="0"/>
              <w:rPr>
                <w:sz w:val="13"/>
                <w:szCs w:val="13"/>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March 31, 2023:</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w:t>
            </w: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0" w:type="dxa"/>
            <w:vAlign w:val="bottom"/>
            <w:gridSpan w:val="2"/>
            <w:shd w:val="clear" w:color="auto" w:fill="CCEEFF"/>
          </w:tcPr>
          <w:p>
            <w:pPr>
              <w:spacing w:after="0"/>
              <w:rPr>
                <w:sz w:val="14"/>
                <w:szCs w:val="14"/>
                <w:color w:val="auto"/>
              </w:rPr>
            </w:pPr>
          </w:p>
        </w:tc>
        <w:tc>
          <w:tcPr>
            <w:tcW w:w="140" w:type="dxa"/>
            <w:vAlign w:val="bottom"/>
            <w:gridSpan w:val="3"/>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2,670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772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2,382</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18,548</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2,819</w:t>
            </w: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10,453</w:t>
            </w:r>
          </w:p>
        </w:tc>
        <w:tc>
          <w:tcPr>
            <w:tcW w:w="6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40" w:type="dxa"/>
            <w:vAlign w:val="bottom"/>
            <w:gridSpan w:val="2"/>
            <w:shd w:val="clear" w:color="auto" w:fill="CCEEFF"/>
          </w:tcPr>
          <w:p>
            <w:pPr>
              <w:spacing w:after="0"/>
              <w:rPr>
                <w:sz w:val="13"/>
                <w:szCs w:val="13"/>
                <w:color w:val="auto"/>
              </w:rPr>
            </w:pPr>
          </w:p>
        </w:tc>
        <w:tc>
          <w:tcPr>
            <w:tcW w:w="140" w:type="dxa"/>
            <w:vAlign w:val="bottom"/>
            <w:gridSpan w:val="3"/>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772</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2,476</w:t>
            </w:r>
          </w:p>
        </w:tc>
        <w:tc>
          <w:tcPr>
            <w:tcW w:w="4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18,887</w:t>
            </w:r>
          </w:p>
        </w:tc>
        <w:tc>
          <w:tcPr>
            <w:tcW w:w="20" w:type="dxa"/>
            <w:vAlign w:val="bottom"/>
            <w:shd w:val="clear" w:color="auto" w:fill="CCEEFF"/>
          </w:tcPr>
          <w:p>
            <w:pPr>
              <w:spacing w:after="0"/>
              <w:rPr>
                <w:sz w:val="13"/>
                <w:szCs w:val="13"/>
                <w:color w:val="auto"/>
              </w:rPr>
            </w:pPr>
          </w:p>
        </w:tc>
      </w:tr>
      <w:tr>
        <w:trPr>
          <w:trHeight w:val="20"/>
        </w:trPr>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2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7,155</w:t>
            </w:r>
          </w:p>
        </w:tc>
        <w:tc>
          <w:tcPr>
            <w:tcW w:w="8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6"/>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558</w:t>
            </w:r>
          </w:p>
        </w:tc>
        <w:tc>
          <w:tcPr>
            <w:tcW w:w="180" w:type="dxa"/>
            <w:vAlign w:val="bottom"/>
            <w:gridSpan w:val="5"/>
          </w:tcPr>
          <w:p>
            <w:pPr>
              <w:jc w:val="right"/>
              <w:ind w:right="10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171</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7,884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177,272</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987,757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160,389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97,405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149,239</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1,572,062</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184,427</w:t>
            </w:r>
          </w:p>
        </w:tc>
        <w:tc>
          <w:tcPr>
            <w:tcW w:w="8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987,757</w:t>
            </w:r>
          </w:p>
        </w:tc>
        <w:tc>
          <w:tcPr>
            <w:tcW w:w="14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160,947</w:t>
            </w:r>
          </w:p>
        </w:tc>
        <w:tc>
          <w:tcPr>
            <w:tcW w:w="180" w:type="dxa"/>
            <w:vAlign w:val="bottom"/>
            <w:gridSpan w:val="5"/>
          </w:tcPr>
          <w:p>
            <w:pPr>
              <w:jc w:val="right"/>
              <w:ind w:right="10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97,405</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149,410</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1,579,946</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155</w:t>
            </w:r>
          </w:p>
        </w:tc>
        <w:tc>
          <w:tcPr>
            <w:tcW w:w="8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6"/>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41</w:t>
            </w:r>
          </w:p>
        </w:tc>
        <w:tc>
          <w:tcPr>
            <w:tcW w:w="180" w:type="dxa"/>
            <w:vAlign w:val="bottom"/>
            <w:gridSpan w:val="5"/>
          </w:tcPr>
          <w:p>
            <w:pPr>
              <w:jc w:val="right"/>
              <w:ind w:right="10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98</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1,197</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4,122</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17,193</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1,352</w:t>
            </w:r>
          </w:p>
        </w:tc>
        <w:tc>
          <w:tcPr>
            <w:tcW w:w="8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10,143</w:t>
            </w:r>
          </w:p>
        </w:tc>
        <w:tc>
          <w:tcPr>
            <w:tcW w:w="14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4,163</w:t>
            </w:r>
          </w:p>
        </w:tc>
        <w:tc>
          <w:tcPr>
            <w:tcW w:w="180" w:type="dxa"/>
            <w:vAlign w:val="bottom"/>
            <w:gridSpan w:val="5"/>
          </w:tcPr>
          <w:p>
            <w:pPr>
              <w:jc w:val="right"/>
              <w:ind w:right="10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720</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1,109</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7,206</w:t>
            </w: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gridSpan w:val="2"/>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0" w:type="dxa"/>
            <w:vAlign w:val="bottom"/>
            <w:gridSpan w:val="2"/>
            <w:shd w:val="clear" w:color="auto" w:fill="CCEEFF"/>
          </w:tcPr>
          <w:p>
            <w:pPr>
              <w:spacing w:after="0"/>
              <w:rPr>
                <w:sz w:val="14"/>
                <w:szCs w:val="14"/>
                <w:color w:val="auto"/>
              </w:rPr>
            </w:pPr>
          </w:p>
        </w:tc>
        <w:tc>
          <w:tcPr>
            <w:tcW w:w="140" w:type="dxa"/>
            <w:vAlign w:val="bottom"/>
            <w:gridSpan w:val="3"/>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4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178,430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970,017</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126,902</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130,233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1,499,351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185,636</w:t>
            </w: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970,410</w:t>
            </w:r>
          </w:p>
        </w:tc>
        <w:tc>
          <w:tcPr>
            <w:tcW w:w="6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40" w:type="dxa"/>
            <w:vAlign w:val="bottom"/>
            <w:gridSpan w:val="2"/>
            <w:shd w:val="clear" w:color="auto" w:fill="CCEEFF"/>
          </w:tcPr>
          <w:p>
            <w:pPr>
              <w:spacing w:after="0"/>
              <w:rPr>
                <w:sz w:val="13"/>
                <w:szCs w:val="13"/>
                <w:color w:val="auto"/>
              </w:rPr>
            </w:pPr>
          </w:p>
        </w:tc>
        <w:tc>
          <w:tcPr>
            <w:tcW w:w="140" w:type="dxa"/>
            <w:vAlign w:val="bottom"/>
            <w:gridSpan w:val="3"/>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93,769</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4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1,507,228</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78"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60" w:right="799"/>
        <w:spacing w:after="0" w:line="259"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0" w:lineRule="exact"/>
        <w:rPr>
          <w:sz w:val="20"/>
          <w:szCs w:val="20"/>
          <w:color w:val="auto"/>
        </w:rPr>
      </w:pPr>
    </w:p>
    <w:p>
      <w:pPr>
        <w:jc w:val="both"/>
        <w:ind w:left="1160" w:right="81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60" w:right="699"/>
        <w:spacing w:after="0" w:line="259"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As of March 31, 2023</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3"/>
                <w:szCs w:val="13"/>
                <w:b w:val="1"/>
                <w:bCs w:val="1"/>
                <w:color w:val="auto"/>
              </w:rPr>
              <w:t>Term Loans by Origination Year</w:t>
            </w: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Revolving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9"/>
              </w:rPr>
              <w:t>Residential real estate</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Pass</w:t>
            </w:r>
          </w:p>
        </w:tc>
        <w:tc>
          <w:tcPr>
            <w:tcW w:w="2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2,736</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40,571</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27,348</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7,224</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10,119</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90,718</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5,711</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184,427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2,736</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40,571</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27,348</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7,224</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10,119</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90,718</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5,711</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184,427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 w:type="dxa"/>
            <w:vAlign w:val="bottom"/>
            <w:gridSpan w:val="4"/>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5"/>
              </w:rPr>
              <w:t>Commercial real estate</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Pass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25,800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342,353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226,774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107,237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81,305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197,272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4,474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985,215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2,542</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841"/>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25,800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342,353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228,616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107,937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81,305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197,272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4,474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987,757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60" w:type="dxa"/>
            <w:vAlign w:val="bottom"/>
            <w:gridSpan w:val="5"/>
          </w:tcPr>
          <w:p>
            <w:pPr>
              <w:spacing w:after="0"/>
              <w:rPr>
                <w:sz w:val="20"/>
                <w:szCs w:val="20"/>
                <w:color w:val="auto"/>
              </w:rPr>
            </w:pPr>
            <w:r>
              <w:rPr>
                <w:rFonts w:ascii="Arial" w:cs="Arial" w:eastAsia="Arial" w:hAnsi="Arial"/>
                <w:sz w:val="13"/>
                <w:szCs w:val="13"/>
                <w:color w:val="auto"/>
              </w:rPr>
              <w:t>Commercial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gridSpan w:val="5"/>
          </w:tcPr>
          <w:p>
            <w:pPr>
              <w:spacing w:after="0"/>
              <w:rPr>
                <w:sz w:val="20"/>
                <w:szCs w:val="20"/>
                <w:color w:val="auto"/>
              </w:rPr>
            </w:pPr>
            <w:r>
              <w:rPr>
                <w:rFonts w:ascii="Arial" w:cs="Arial" w:eastAsia="Arial" w:hAnsi="Arial"/>
                <w:sz w:val="13"/>
                <w:szCs w:val="13"/>
                <w:color w:val="auto"/>
              </w:rPr>
              <w:t>industrial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35,181</w:t>
            </w: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39,173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35,534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9,402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17,571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2,994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19,928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159,783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Substandard</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jc w:val="right"/>
              <w:ind w:right="841"/>
              <w:spacing w:after="0"/>
              <w:rPr>
                <w:sz w:val="20"/>
                <w:szCs w:val="20"/>
                <w:color w:val="auto"/>
              </w:rPr>
            </w:pPr>
            <w:r>
              <w:rPr>
                <w:rFonts w:ascii="Arial" w:cs="Arial" w:eastAsia="Arial" w:hAnsi="Arial"/>
                <w:sz w:val="12"/>
                <w:szCs w:val="12"/>
                <w:color w:val="auto"/>
                <w:w w:val="74"/>
              </w:rPr>
              <w:t>Total</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35,181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39,173</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35,534</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9,402</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18,057</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3,302</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20,298</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160,947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gridSpan w:val="2"/>
          </w:tcPr>
          <w:p>
            <w:pPr>
              <w:spacing w:after="0"/>
              <w:rPr>
                <w:sz w:val="14"/>
                <w:szCs w:val="14"/>
                <w:color w:val="auto"/>
              </w:rPr>
            </w:pPr>
          </w:p>
        </w:tc>
        <w:tc>
          <w:tcPr>
            <w:tcW w:w="13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Foreign banks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Pass</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47,410</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49,995</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97,405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jc w:val="right"/>
              <w:ind w:right="841"/>
              <w:spacing w:after="0"/>
              <w:rPr>
                <w:sz w:val="20"/>
                <w:szCs w:val="20"/>
                <w:color w:val="auto"/>
              </w:rPr>
            </w:pPr>
            <w:r>
              <w:rPr>
                <w:rFonts w:ascii="Arial" w:cs="Arial" w:eastAsia="Arial" w:hAnsi="Arial"/>
                <w:sz w:val="12"/>
                <w:szCs w:val="12"/>
                <w:color w:val="auto"/>
                <w:w w:val="74"/>
              </w:rPr>
              <w:t>Total</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47,410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49,995</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97,405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 w:type="dxa"/>
            <w:vAlign w:val="bottom"/>
            <w:gridSpan w:val="2"/>
          </w:tcPr>
          <w:p>
            <w:pPr>
              <w:spacing w:after="0"/>
              <w:rPr>
                <w:sz w:val="13"/>
                <w:szCs w:val="13"/>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loans</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Pass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18,948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76,401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49,777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149,239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841"/>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18,948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76,401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49,777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149,410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vMerge w:val="restart"/>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gridSpan w:val="2"/>
            <w:vMerge w:val="continue"/>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3"/>
                <w:szCs w:val="13"/>
                <w:color w:val="auto"/>
              </w:rPr>
              <w:t>Total 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130,075</w:t>
            </w: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548,493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339,433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124,577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109,496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292,488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31,507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1,576,069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Special Mention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3,877</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Doubtful</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41"/>
              <w:spacing w:after="0" w:line="131" w:lineRule="exact"/>
              <w:rPr>
                <w:sz w:val="20"/>
                <w:szCs w:val="20"/>
                <w:color w:val="auto"/>
              </w:rPr>
            </w:pPr>
            <w:r>
              <w:rPr>
                <w:rFonts w:ascii="Arial" w:cs="Arial" w:eastAsia="Arial" w:hAnsi="Arial"/>
                <w:sz w:val="12"/>
                <w:szCs w:val="12"/>
                <w:color w:val="auto"/>
                <w:w w:val="74"/>
              </w:rPr>
              <w:t>Total</w:t>
            </w:r>
          </w:p>
        </w:tc>
        <w:tc>
          <w:tcPr>
            <w:tcW w:w="220" w:type="dxa"/>
            <w:vAlign w:val="bottom"/>
            <w:tcBorders>
              <w:bottom w:val="single" w:sz="8" w:color="CCEEFF"/>
            </w:tcBorders>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130,075</w:t>
            </w:r>
          </w:p>
        </w:tc>
        <w:tc>
          <w:tcPr>
            <w:tcW w:w="180" w:type="dxa"/>
            <w:vAlign w:val="bottom"/>
            <w:tcBorders>
              <w:bottom w:val="single" w:sz="8" w:color="CCEEFF"/>
            </w:tcBorders>
            <w:shd w:val="clear" w:color="auto" w:fill="CCEEFF"/>
          </w:tcPr>
          <w:p>
            <w:pPr>
              <w:jc w:val="right"/>
              <w:ind w:right="36"/>
              <w:spacing w:after="0" w:line="131"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548,493</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341,275</w:t>
            </w:r>
          </w:p>
        </w:tc>
        <w:tc>
          <w:tcPr>
            <w:tcW w:w="180" w:type="dxa"/>
            <w:vAlign w:val="bottom"/>
            <w:tcBorders>
              <w:bottom w:val="single" w:sz="8" w:color="CCEEFF"/>
            </w:tcBorders>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125,277</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109,982</w:t>
            </w:r>
          </w:p>
        </w:tc>
        <w:tc>
          <w:tcPr>
            <w:tcW w:w="180" w:type="dxa"/>
            <w:vAlign w:val="bottom"/>
            <w:tcBorders>
              <w:bottom w:val="single" w:sz="8" w:color="CCEEFF"/>
            </w:tcBorders>
            <w:gridSpan w:val="3"/>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292,967</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31,877</w:t>
            </w:r>
          </w:p>
        </w:tc>
        <w:tc>
          <w:tcPr>
            <w:tcW w:w="200" w:type="dxa"/>
            <w:vAlign w:val="bottom"/>
            <w:tcBorders>
              <w:bottom w:val="single" w:sz="8" w:color="CCEEFF"/>
            </w:tcBorders>
            <w:gridSpan w:val="3"/>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1,579,946</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2020"/>
        <w:spacing w:after="0"/>
        <w:tabs>
          <w:tab w:leader="none" w:pos="26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95"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1"/>
          </w:tcPr>
          <w:p>
            <w:pPr>
              <w:jc w:val="right"/>
              <w:ind w:right="516"/>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b w:val="1"/>
                <w:bCs w:val="1"/>
                <w:color w:val="auto"/>
              </w:rPr>
              <w:t>Special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4"/>
        </w:trPr>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b w:val="1"/>
                <w:bCs w:val="1"/>
                <w:color w:val="auto"/>
              </w:rPr>
              <w:t>Mention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Substandard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Doubtful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b w:val="1"/>
                <w:bCs w:val="1"/>
                <w:color w:val="auto"/>
              </w:rPr>
              <w:t>Total Loans</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5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623</w:t>
            </w:r>
          </w:p>
        </w:tc>
        <w:tc>
          <w:tcPr>
            <w:tcW w:w="22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5"/>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4"/>
          </w:tcPr>
          <w:p>
            <w:pPr>
              <w:jc w:val="right"/>
              <w:ind w:right="676"/>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3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4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185,636</w:t>
            </w:r>
          </w:p>
        </w:tc>
        <w:tc>
          <w:tcPr>
            <w:tcW w:w="4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Land and construction</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38,687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38,687</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Multi-family residential</w:t>
            </w:r>
          </w:p>
        </w:tc>
        <w:tc>
          <w:tcPr>
            <w:tcW w:w="3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176,820</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176,820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Condo commercial</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49,601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49,994</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Commercial property</w:t>
            </w:r>
          </w:p>
        </w:tc>
        <w:tc>
          <w:tcPr>
            <w:tcW w:w="3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702,357</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2,552</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704,909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967,465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2,945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Secured</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120,873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3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126,177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48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93,769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44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540" w:type="dxa"/>
            <w:vAlign w:val="bottom"/>
            <w:tcBorders>
              <w:bottom w:val="single" w:sz="8" w:color="CCEEFF"/>
            </w:tcBorders>
            <w:gridSpan w:val="3"/>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1,503,280</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shd w:val="clear" w:color="auto" w:fill="CCEEFF"/>
              </w:rPr>
              <w:t>$</w:t>
            </w:r>
          </w:p>
        </w:tc>
        <w:tc>
          <w:tcPr>
            <w:tcW w:w="8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3,948</w:t>
            </w:r>
          </w:p>
        </w:tc>
        <w:tc>
          <w:tcPr>
            <w:tcW w:w="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3"/>
            <w:shd w:val="clear" w:color="auto" w:fill="CCEEFF"/>
          </w:tcPr>
          <w:p>
            <w:pPr>
              <w:jc w:val="right"/>
              <w:ind w:right="676"/>
              <w:spacing w:after="0" w:line="13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3"/>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1,507,228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Company had charge offs totaling $5 thousand for the quarter ended as of March 31, 2023 on loans that were all originated within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Loan Aging</w:t>
      </w:r>
    </w:p>
    <w:p>
      <w:pPr>
        <w:spacing w:after="0" w:line="178"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 The following tables include an aging analysis of accruing loans and total non-accruing loans as of March 31, 2023 and December 31, 2022 (in thousands):</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Accruing</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3"/>
          </w:tcPr>
          <w:p>
            <w:pPr>
              <w:jc w:val="center"/>
              <w:spacing w:after="0" w:line="115" w:lineRule="exact"/>
              <w:rPr>
                <w:sz w:val="20"/>
                <w:szCs w:val="20"/>
                <w:color w:val="auto"/>
              </w:rPr>
            </w:pPr>
            <w:r>
              <w:rPr>
                <w:rFonts w:ascii="Arial" w:cs="Arial" w:eastAsia="Arial" w:hAnsi="Arial"/>
                <w:sz w:val="13"/>
                <w:szCs w:val="13"/>
                <w:b w:val="1"/>
                <w:bCs w:val="1"/>
                <w:color w:val="auto"/>
                <w:w w:val="97"/>
              </w:rPr>
              <w:t>Past Due 90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w w:val="99"/>
              </w:rPr>
              <w:t>Past Due 30-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4"/>
              </w:rPr>
              <w:t>and Still</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240" w:type="dxa"/>
            <w:vAlign w:val="bottom"/>
            <w:gridSpan w:val="3"/>
          </w:tcPr>
          <w:p>
            <w:pPr>
              <w:spacing w:after="0"/>
              <w:rPr>
                <w:sz w:val="20"/>
                <w:szCs w:val="20"/>
                <w:color w:val="auto"/>
              </w:rPr>
            </w:pPr>
            <w:r>
              <w:rPr>
                <w:rFonts w:ascii="Arial" w:cs="Arial" w:eastAsia="Arial" w:hAnsi="Arial"/>
                <w:sz w:val="13"/>
                <w:szCs w:val="13"/>
                <w:b w:val="1"/>
                <w:bCs w:val="1"/>
                <w:color w:val="auto"/>
              </w:rPr>
              <w:t>As of March 31, 2023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89 Days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left="16"/>
              <w:spacing w:after="0"/>
              <w:rPr>
                <w:sz w:val="20"/>
                <w:szCs w:val="20"/>
                <w:color w:val="auto"/>
              </w:rPr>
            </w:pPr>
            <w:r>
              <w:rPr>
                <w:rFonts w:ascii="Arial" w:cs="Arial" w:eastAsia="Arial" w:hAnsi="Arial"/>
                <w:sz w:val="13"/>
                <w:szCs w:val="13"/>
                <w:b w:val="1"/>
                <w:bCs w:val="1"/>
                <w:color w:val="auto"/>
                <w:w w:val="99"/>
              </w:rPr>
              <w:t>Accruing</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Accruing</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Total Loans</w:t>
            </w: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3"/>
                <w:szCs w:val="13"/>
                <w:color w:val="auto"/>
              </w:rPr>
              <w:t>Home equity line of credit and other</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606</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606</w:t>
            </w:r>
          </w:p>
        </w:tc>
        <w:tc>
          <w:tcPr>
            <w:tcW w:w="360" w:type="dxa"/>
            <w:vAlign w:val="bottom"/>
            <w:gridSpan w:val="3"/>
          </w:tcPr>
          <w:p>
            <w:pPr>
              <w:jc w:val="right"/>
              <w:ind w:right="196"/>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606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1-4 family residential</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128,622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129,778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129,778</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Condo residential</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52,859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54,043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54,043</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182,087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2,340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184,427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184,427</w:t>
            </w:r>
          </w:p>
        </w:tc>
        <w:tc>
          <w:tcPr>
            <w:tcW w:w="20" w:type="dxa"/>
            <w:vAlign w:val="bottom"/>
            <w:shd w:val="clear" w:color="auto" w:fill="CCEEFF"/>
          </w:tcPr>
          <w:p>
            <w:pPr>
              <w:spacing w:after="0"/>
              <w:rPr>
                <w:sz w:val="12"/>
                <w:szCs w:val="12"/>
                <w:color w:val="auto"/>
              </w:rPr>
            </w:pPr>
          </w:p>
        </w:tc>
      </w:tr>
      <w:tr>
        <w:trPr>
          <w:trHeight w:val="168"/>
        </w:trPr>
        <w:tc>
          <w:tcPr>
            <w:tcW w:w="224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Land and construction</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34,986</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3"/>
                <w:szCs w:val="13"/>
                <w:color w:val="auto"/>
              </w:rPr>
              <w:t>Multi-family residential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175,358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175,358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175,358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Condo commercial</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53,583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53,583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53,583</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3"/>
                <w:szCs w:val="13"/>
                <w:color w:val="auto"/>
              </w:rPr>
              <w:t>Commercial property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723,770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723,770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723,770</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Leasehold improvements</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987,757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987,757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987,757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3"/>
                <w:szCs w:val="13"/>
                <w:color w:val="auto"/>
              </w:rPr>
              <w:t>Secured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153,810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156,153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486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156,639</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Unsecured</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4,308</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157,869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2,592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160,461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486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160,947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4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97,405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97,405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97,405</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149,239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149,410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149,410</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bottom w:val="single" w:sz="8" w:color="CCEEFF"/>
            </w:tcBorders>
            <w:shd w:val="clear" w:color="auto" w:fill="CCEEFF"/>
          </w:tcPr>
          <w:p>
            <w:pPr>
              <w:ind w:left="80"/>
              <w:spacing w:after="0" w:line="131" w:lineRule="exact"/>
              <w:rPr>
                <w:sz w:val="20"/>
                <w:szCs w:val="20"/>
                <w:color w:val="auto"/>
              </w:rPr>
            </w:pPr>
            <w:r>
              <w:rPr>
                <w:rFonts w:ascii="Arial" w:cs="Arial" w:eastAsia="Arial" w:hAnsi="Arial"/>
                <w:sz w:val="13"/>
                <w:szCs w:val="13"/>
                <w:color w:val="auto"/>
              </w:rPr>
              <w:t>Total</w:t>
            </w:r>
          </w:p>
        </w:tc>
        <w:tc>
          <w:tcPr>
            <w:tcW w:w="260" w:type="dxa"/>
            <w:vAlign w:val="bottom"/>
            <w:tcBorders>
              <w:bottom w:val="single" w:sz="8" w:color="CCEEFF"/>
            </w:tcBorders>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1,574,357</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2"/>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5,103</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2"/>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CEEFF"/>
            </w:tcBorders>
            <w:gridSpan w:val="2"/>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7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shd w:val="clear" w:color="auto" w:fill="CCEEFF"/>
              </w:rPr>
              <w:t>1,579,460</w:t>
            </w:r>
          </w:p>
        </w:tc>
        <w:tc>
          <w:tcPr>
            <w:tcW w:w="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96"/>
              <w:spacing w:after="0" w:line="131"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486</w:t>
            </w:r>
          </w:p>
        </w:tc>
        <w:tc>
          <w:tcPr>
            <w:tcW w:w="80" w:type="dxa"/>
            <w:vAlign w:val="bottom"/>
            <w:tcBorders>
              <w:bottom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82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shd w:val="clear" w:color="auto" w:fill="CCEEFF"/>
              </w:rPr>
              <w:t>1,579,946</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Accruing</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ind w:right="43"/>
              <w:spacing w:after="0" w:line="126" w:lineRule="exact"/>
              <w:rPr>
                <w:sz w:val="20"/>
                <w:szCs w:val="20"/>
                <w:color w:val="auto"/>
              </w:rPr>
            </w:pPr>
            <w:r>
              <w:rPr>
                <w:rFonts w:ascii="Arial" w:cs="Arial" w:eastAsia="Arial" w:hAnsi="Arial"/>
                <w:sz w:val="13"/>
                <w:szCs w:val="13"/>
                <w:b w:val="1"/>
                <w:bCs w:val="1"/>
                <w:color w:val="auto"/>
                <w:w w:val="97"/>
              </w:rPr>
              <w:t>Past Due 90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73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and Still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680" w:type="dxa"/>
            <w:vAlign w:val="bottom"/>
            <w:gridSpan w:val="3"/>
          </w:tcPr>
          <w:p>
            <w:pPr>
              <w:jc w:val="center"/>
              <w:ind w:left="16"/>
              <w:spacing w:after="0"/>
              <w:rPr>
                <w:sz w:val="20"/>
                <w:szCs w:val="20"/>
                <w:color w:val="auto"/>
              </w:rPr>
            </w:pPr>
            <w:r>
              <w:rPr>
                <w:rFonts w:ascii="Arial" w:cs="Arial" w:eastAsia="Arial" w:hAnsi="Arial"/>
                <w:sz w:val="13"/>
                <w:szCs w:val="13"/>
                <w:b w:val="1"/>
                <w:bCs w:val="1"/>
                <w:color w:val="auto"/>
                <w:w w:val="99"/>
              </w:rPr>
              <w:t>Accruing</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5"/>
              </w:rPr>
              <w:t>Accruing</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0" w:type="dxa"/>
            <w:vAlign w:val="bottom"/>
          </w:tcPr>
          <w:p>
            <w:pPr>
              <w:spacing w:after="0"/>
              <w:rPr>
                <w:sz w:val="13"/>
                <w:szCs w:val="13"/>
                <w:color w:val="auto"/>
              </w:rPr>
            </w:pPr>
          </w:p>
        </w:tc>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71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73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tcPr>
          <w:p>
            <w:pPr>
              <w:ind w:left="8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623</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623</w:t>
            </w:r>
          </w:p>
        </w:tc>
        <w:tc>
          <w:tcPr>
            <w:tcW w:w="17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7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56"/>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131,120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1,058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132,178</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132,178</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50,310</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2,525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52,835</w:t>
            </w:r>
          </w:p>
        </w:tc>
        <w:tc>
          <w:tcPr>
            <w:tcW w:w="6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182,053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3,583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185,636</w:t>
            </w: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38,687</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Pr>
          <w:p>
            <w:pPr>
              <w:ind w:left="8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176,820</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49,994</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Pr>
          <w:p>
            <w:pPr>
              <w:ind w:left="8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704,884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704,909</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704,909</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970,385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970,410</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Pr>
          <w:p>
            <w:pPr>
              <w:ind w:left="8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121,649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121,680</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4,332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972</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5,304</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5,304</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125,981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1,003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126,984</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5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130,169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130,429</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1,502,357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4,871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shd w:val="clear" w:color="auto" w:fill="CCEEFF"/>
              </w:rPr>
              <w:t>1,507,228</w:t>
            </w:r>
          </w:p>
        </w:tc>
        <w:tc>
          <w:tcPr>
            <w:tcW w:w="17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7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1,507,228</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Nonaccrual Status</w:t>
      </w:r>
    </w:p>
    <w:p>
      <w:pPr>
        <w:spacing w:after="0" w:line="178" w:lineRule="exact"/>
        <w:rPr>
          <w:sz w:val="20"/>
          <w:szCs w:val="20"/>
          <w:color w:val="auto"/>
        </w:rPr>
      </w:pPr>
    </w:p>
    <w:p>
      <w:pPr>
        <w:ind w:left="640" w:right="719" w:firstLine="256"/>
        <w:spacing w:after="0" w:line="268" w:lineRule="auto"/>
        <w:rPr>
          <w:sz w:val="20"/>
          <w:szCs w:val="20"/>
          <w:color w:val="auto"/>
        </w:rPr>
      </w:pPr>
      <w:r>
        <w:rPr>
          <w:rFonts w:ascii="Arial" w:cs="Arial" w:eastAsia="Arial" w:hAnsi="Arial"/>
          <w:sz w:val="14"/>
          <w:szCs w:val="14"/>
          <w:color w:val="auto"/>
        </w:rPr>
        <w:t>The following table includes the amortized cost basis of loans on nonaccrual status and loans past due over 90 days and still accruing as of March 31, 2023:</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3"/>
                <w:szCs w:val="13"/>
                <w:b w:val="1"/>
                <w:bCs w:val="1"/>
                <w:color w:val="auto"/>
              </w:rPr>
              <w:t>March 31, 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Loans Past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60" w:type="dxa"/>
            <w:vAlign w:val="bottom"/>
          </w:tcPr>
          <w:p>
            <w:pPr>
              <w:spacing w:after="0"/>
              <w:rPr>
                <w:sz w:val="12"/>
                <w:szCs w:val="12"/>
                <w:color w:val="auto"/>
              </w:rPr>
            </w:pPr>
          </w:p>
        </w:tc>
        <w:tc>
          <w:tcPr>
            <w:tcW w:w="98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6"/>
              </w:rPr>
              <w:t>Loans With No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56"/>
              <w:spacing w:after="0" w:line="139" w:lineRule="exact"/>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center"/>
              <w:ind w:right="36"/>
              <w:spacing w:after="0" w:line="139" w:lineRule="exact"/>
              <w:rPr>
                <w:sz w:val="20"/>
                <w:szCs w:val="20"/>
                <w:color w:val="auto"/>
              </w:rPr>
            </w:pPr>
            <w:r>
              <w:rPr>
                <w:rFonts w:ascii="Arial" w:cs="Arial" w:eastAsia="Arial" w:hAnsi="Arial"/>
                <w:sz w:val="13"/>
                <w:szCs w:val="13"/>
                <w:b w:val="1"/>
                <w:bCs w:val="1"/>
                <w:color w:val="auto"/>
                <w:w w:val="97"/>
              </w:rPr>
              <w:t>Due Over 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76"/>
              <w:spacing w:after="0"/>
              <w:rPr>
                <w:sz w:val="20"/>
                <w:szCs w:val="20"/>
                <w:color w:val="auto"/>
              </w:rPr>
            </w:pPr>
            <w:r>
              <w:rPr>
                <w:rFonts w:ascii="Arial" w:cs="Arial" w:eastAsia="Arial" w:hAnsi="Arial"/>
                <w:sz w:val="13"/>
                <w:szCs w:val="13"/>
                <w:b w:val="1"/>
                <w:bCs w:val="1"/>
                <w:color w:val="auto"/>
                <w:w w:val="97"/>
              </w:rPr>
              <w:t>Related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76"/>
              <w:spacing w:after="0"/>
              <w:rPr>
                <w:sz w:val="20"/>
                <w:szCs w:val="20"/>
                <w:color w:val="auto"/>
              </w:rPr>
            </w:pPr>
            <w:r>
              <w:rPr>
                <w:rFonts w:ascii="Arial" w:cs="Arial" w:eastAsia="Arial" w:hAnsi="Arial"/>
                <w:sz w:val="13"/>
                <w:szCs w:val="13"/>
                <w:b w:val="1"/>
                <w:bCs w:val="1"/>
                <w:color w:val="auto"/>
                <w:w w:val="97"/>
              </w:rPr>
              <w:t>Related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Days and Still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4"/>
              </w:rPr>
              <w:t>Nonaccruals</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Accruing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760" w:type="dxa"/>
            <w:vAlign w:val="bottom"/>
            <w:shd w:val="clear" w:color="auto" w:fill="CCEEFF"/>
          </w:tcPr>
          <w:p>
            <w:pPr>
              <w:ind w:left="100"/>
              <w:spacing w:after="0" w:line="141" w:lineRule="exact"/>
              <w:rPr>
                <w:sz w:val="20"/>
                <w:szCs w:val="20"/>
                <w:color w:val="auto"/>
              </w:rPr>
            </w:pPr>
            <w:r>
              <w:rPr>
                <w:rFonts w:ascii="Arial" w:cs="Arial" w:eastAsia="Arial" w:hAnsi="Arial"/>
                <w:sz w:val="13"/>
                <w:szCs w:val="13"/>
                <w:color w:val="auto"/>
              </w:rPr>
              <w:t>Residential real estate</w:t>
            </w:r>
          </w:p>
        </w:tc>
        <w:tc>
          <w:tcPr>
            <w:tcW w:w="10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60"/>
              <w:spacing w:after="0"/>
              <w:rPr>
                <w:sz w:val="20"/>
                <w:szCs w:val="20"/>
                <w:color w:val="auto"/>
              </w:rPr>
            </w:pPr>
            <w:r>
              <w:rPr>
                <w:rFonts w:ascii="Arial" w:cs="Arial" w:eastAsia="Arial" w:hAnsi="Arial"/>
                <w:sz w:val="13"/>
                <w:szCs w:val="13"/>
                <w:color w:val="auto"/>
              </w:rPr>
              <w:t>Commercial real estate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486</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Consumer and other</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486</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 did not have loans in nonaccrual status as of December 31, 2022.</w:t>
      </w:r>
    </w:p>
    <w:p>
      <w:pPr>
        <w:spacing w:after="0" w:line="17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three months ended March 31, 2023 and 2022. Interest income on these loans for the three months ended March 31, 2023 and 2022, would have been approximately $2 and $ 0 thousand, respectively, had these loans performed in accordance with their original terms.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Collateral-Dependent Loans</w:t>
      </w:r>
    </w:p>
    <w:p>
      <w:pPr>
        <w:spacing w:after="0" w:line="178" w:lineRule="exact"/>
        <w:rPr>
          <w:sz w:val="20"/>
          <w:szCs w:val="20"/>
          <w:color w:val="auto"/>
        </w:rPr>
      </w:pPr>
    </w:p>
    <w:p>
      <w:pPr>
        <w:jc w:val="both"/>
        <w:ind w:left="640" w:right="679" w:firstLine="256"/>
        <w:spacing w:after="0" w:line="261"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no collateral dependent loans as of March 31, 2023 and as of December 31, 2022.</w:t>
      </w:r>
    </w:p>
    <w:p>
      <w:pPr>
        <w:spacing w:after="0" w:line="328"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Impaired Loans</w:t>
      </w:r>
    </w:p>
    <w:p>
      <w:pPr>
        <w:spacing w:after="0" w:line="178"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as of December 31, 2022 (in thousands):</w:t>
      </w:r>
    </w:p>
    <w:p>
      <w:pPr>
        <w:spacing w:after="0" w:line="181"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3"/>
                <w:szCs w:val="13"/>
                <w:b w:val="1"/>
                <w:bCs w:val="1"/>
                <w:color w:val="auto"/>
                <w:w w:val="97"/>
              </w:rPr>
              <w:t>December 31, 2022</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2"/>
        </w:trPr>
        <w:tc>
          <w:tcPr>
            <w:tcW w:w="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76"/>
              <w:spacing w:after="0"/>
              <w:rPr>
                <w:sz w:val="20"/>
                <w:szCs w:val="20"/>
                <w:color w:val="auto"/>
              </w:rPr>
            </w:pPr>
            <w:r>
              <w:rPr>
                <w:rFonts w:ascii="Arial" w:cs="Arial" w:eastAsia="Arial" w:hAnsi="Arial"/>
                <w:sz w:val="13"/>
                <w:szCs w:val="13"/>
                <w:b w:val="1"/>
                <w:bCs w:val="1"/>
                <w:color w:val="auto"/>
                <w:w w:val="99"/>
              </w:rPr>
              <w:t>Unpaid</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96"/>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76"/>
              <w:spacing w:after="0"/>
              <w:rPr>
                <w:sz w:val="20"/>
                <w:szCs w:val="20"/>
                <w:color w:val="auto"/>
              </w:rPr>
            </w:pPr>
            <w:r>
              <w:rPr>
                <w:rFonts w:ascii="Arial" w:cs="Arial" w:eastAsia="Arial" w:hAnsi="Arial"/>
                <w:sz w:val="13"/>
                <w:szCs w:val="13"/>
                <w:b w:val="1"/>
                <w:bCs w:val="1"/>
                <w:color w:val="auto"/>
                <w:w w:val="99"/>
              </w:rPr>
              <w:t>Investment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b w:val="1"/>
                <w:bCs w:val="1"/>
                <w:color w:val="auto"/>
              </w:rPr>
              <w:t>Valuation</w:t>
            </w:r>
          </w:p>
        </w:tc>
        <w:tc>
          <w:tcPr>
            <w:tcW w:w="20" w:type="dxa"/>
            <w:vAlign w:val="bottom"/>
          </w:tcPr>
          <w:p>
            <w:pPr>
              <w:spacing w:after="0"/>
              <w:rPr>
                <w:sz w:val="12"/>
                <w:szCs w:val="12"/>
                <w:color w:val="auto"/>
              </w:rPr>
            </w:pPr>
          </w:p>
        </w:tc>
      </w:tr>
      <w:tr>
        <w:trPr>
          <w:trHeight w:val="164"/>
        </w:trPr>
        <w:tc>
          <w:tcPr>
            <w:tcW w:w="40" w:type="dxa"/>
            <w:vAlign w:val="bottom"/>
          </w:tcPr>
          <w:p>
            <w:pPr>
              <w:spacing w:after="0"/>
              <w:rPr>
                <w:sz w:val="14"/>
                <w:szCs w:val="14"/>
                <w:color w:val="auto"/>
              </w:rPr>
            </w:pPr>
          </w:p>
        </w:tc>
        <w:tc>
          <w:tcPr>
            <w:tcW w:w="49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rPr>
              <w:t>Balance</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rPr>
              <w:t>Balance</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492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3,551</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3,544</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3,937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92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3,655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3,626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9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Consumer and other</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4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3,933</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4920" w:type="dxa"/>
            <w:vAlign w:val="bottom"/>
          </w:tcPr>
          <w:p>
            <w:pPr>
              <w:ind w:left="60"/>
              <w:spacing w:after="0" w:line="146" w:lineRule="exact"/>
              <w:rPr>
                <w:sz w:val="20"/>
                <w:szCs w:val="20"/>
                <w:color w:val="auto"/>
              </w:rPr>
            </w:pPr>
            <w:r>
              <w:rPr>
                <w:rFonts w:ascii="Arial" w:cs="Arial" w:eastAsia="Arial" w:hAnsi="Arial"/>
                <w:sz w:val="13"/>
                <w:szCs w:val="13"/>
                <w:color w:val="auto"/>
              </w:rPr>
              <w:t>Total</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7,877</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7,841</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294</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170" w:lineRule="exact"/>
        <w:rPr>
          <w:sz w:val="20"/>
          <w:szCs w:val="20"/>
          <w:color w:val="auto"/>
        </w:rPr>
      </w:pPr>
    </w:p>
    <w:p>
      <w:pPr>
        <w:ind w:left="640" w:right="739" w:firstLine="256"/>
        <w:spacing w:after="0" w:line="268" w:lineRule="auto"/>
        <w:rPr>
          <w:sz w:val="20"/>
          <w:szCs w:val="20"/>
          <w:color w:val="auto"/>
        </w:rPr>
      </w:pPr>
      <w:r>
        <w:rPr>
          <w:rFonts w:ascii="Arial" w:cs="Arial" w:eastAsia="Arial" w:hAnsi="Arial"/>
          <w:sz w:val="14"/>
          <w:szCs w:val="14"/>
          <w:color w:val="auto"/>
        </w:rPr>
        <w:t>The following table presents the average recorded investment balance on impaired loans for the date indicated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Three Months Ended March 31, 2022</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8,181</w:t>
            </w:r>
          </w:p>
        </w:tc>
        <w:tc>
          <w:tcPr>
            <w:tcW w:w="20" w:type="dxa"/>
            <w:vAlign w:val="bottom"/>
            <w:shd w:val="clear" w:color="auto" w:fill="CCEEFF"/>
          </w:tcPr>
          <w:p>
            <w:pPr>
              <w:spacing w:after="0"/>
              <w:rPr>
                <w:sz w:val="13"/>
                <w:szCs w:val="13"/>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Arial" w:cs="Arial" w:eastAsia="Arial" w:hAnsi="Arial"/>
                <w:sz w:val="13"/>
                <w:szCs w:val="13"/>
                <w:color w:val="auto"/>
              </w:rPr>
              <w:t>649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9,187</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Interest income recognized on impaired loans for the three months ended March 31, 2022 was $91 thousand.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67" w:lineRule="exact"/>
        <w:rPr>
          <w:sz w:val="20"/>
          <w:szCs w:val="20"/>
          <w:color w:val="auto"/>
        </w:rPr>
      </w:pPr>
    </w:p>
    <w:p>
      <w:pPr>
        <w:ind w:left="640" w:right="679" w:firstLine="256"/>
        <w:spacing w:after="0" w:line="284" w:lineRule="auto"/>
        <w:rPr>
          <w:sz w:val="20"/>
          <w:szCs w:val="20"/>
          <w:color w:val="auto"/>
        </w:rPr>
      </w:pPr>
      <w:r>
        <w:rPr>
          <w:rFonts w:ascii="Arial" w:cs="Arial" w:eastAsia="Arial" w:hAnsi="Arial"/>
          <w:sz w:val="14"/>
          <w:szCs w:val="14"/>
          <w:color w:val="auto"/>
        </w:rPr>
        <w:t>The Company did not have new modifications to borrowers experiencing financial difficulties and no loan modifications that subsequently defaulted during for the three months ended March 31, 2023.</w:t>
      </w:r>
    </w:p>
    <w:p>
      <w:pPr>
        <w:spacing w:after="0" w:line="112" w:lineRule="exact"/>
        <w:rPr>
          <w:sz w:val="20"/>
          <w:szCs w:val="20"/>
          <w:color w:val="auto"/>
        </w:rPr>
      </w:pPr>
    </w:p>
    <w:p>
      <w:pPr>
        <w:ind w:left="1020" w:hanging="378"/>
        <w:spacing w:after="0"/>
        <w:tabs>
          <w:tab w:leader="none" w:pos="102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Company’s provision for income taxes is presented in the following table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296"/>
              <w:spacing w:after="0"/>
              <w:rPr>
                <w:sz w:val="20"/>
                <w:szCs w:val="20"/>
                <w:color w:val="auto"/>
              </w:rPr>
            </w:pPr>
            <w:r>
              <w:rPr>
                <w:rFonts w:ascii="Arial" w:cs="Arial" w:eastAsia="Arial" w:hAnsi="Arial"/>
                <w:sz w:val="13"/>
                <w:szCs w:val="13"/>
                <w:b w:val="1"/>
                <w:bCs w:val="1"/>
                <w:color w:val="auto"/>
              </w:rPr>
              <w:t>Three Months Ended March 31,</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80" w:type="dxa"/>
            <w:vAlign w:val="bottom"/>
          </w:tcPr>
          <w:p>
            <w:pPr>
              <w:jc w:val="center"/>
              <w:ind w:right="2456"/>
              <w:spacing w:after="0"/>
              <w:rPr>
                <w:sz w:val="20"/>
                <w:szCs w:val="20"/>
                <w:color w:val="auto"/>
              </w:rPr>
            </w:pPr>
            <w:r>
              <w:rPr>
                <w:rFonts w:ascii="Arial" w:cs="Arial" w:eastAsia="Arial" w:hAnsi="Arial"/>
                <w:sz w:val="13"/>
                <w:szCs w:val="13"/>
                <w:color w:val="auto"/>
                <w:w w:val="99"/>
              </w:rPr>
              <w:t>Federal</w:t>
            </w:r>
          </w:p>
        </w:tc>
        <w:tc>
          <w:tcPr>
            <w:tcW w:w="284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3120" w:type="dxa"/>
            <w:vAlign w:val="bottom"/>
            <w:gridSpan w:val="2"/>
          </w:tcPr>
          <w:p>
            <w:pPr>
              <w:spacing w:after="0" w:line="146" w:lineRule="exact"/>
              <w:rPr>
                <w:sz w:val="20"/>
                <w:szCs w:val="20"/>
                <w:color w:val="auto"/>
              </w:rPr>
            </w:pPr>
            <w:r>
              <w:rPr>
                <w:rFonts w:ascii="Arial" w:cs="Arial" w:eastAsia="Arial" w:hAnsi="Arial"/>
                <w:sz w:val="13"/>
                <w:szCs w:val="13"/>
                <w:color w:val="auto"/>
              </w:rPr>
              <w:t>Total current</w:t>
            </w: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jc w:val="center"/>
              <w:ind w:right="2496"/>
              <w:spacing w:after="0"/>
              <w:rPr>
                <w:sz w:val="20"/>
                <w:szCs w:val="20"/>
                <w:color w:val="auto"/>
              </w:rPr>
            </w:pPr>
            <w:r>
              <w:rPr>
                <w:rFonts w:ascii="Arial" w:cs="Arial" w:eastAsia="Arial" w:hAnsi="Arial"/>
                <w:sz w:val="13"/>
                <w:szCs w:val="13"/>
                <w:b w:val="1"/>
                <w:bCs w:val="1"/>
                <w:color w:val="auto"/>
                <w:w w:val="89"/>
              </w:rPr>
              <w:t>Deferred:</w:t>
            </w:r>
          </w:p>
        </w:tc>
        <w:tc>
          <w:tcPr>
            <w:tcW w:w="2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tcPr>
          <w:p>
            <w:pPr>
              <w:jc w:val="center"/>
              <w:ind w:right="2456"/>
              <w:spacing w:after="0"/>
              <w:rPr>
                <w:sz w:val="20"/>
                <w:szCs w:val="20"/>
                <w:color w:val="auto"/>
              </w:rPr>
            </w:pPr>
            <w:r>
              <w:rPr>
                <w:rFonts w:ascii="Arial" w:cs="Arial" w:eastAsia="Arial" w:hAnsi="Arial"/>
                <w:sz w:val="13"/>
                <w:szCs w:val="13"/>
                <w:color w:val="auto"/>
                <w:w w:val="99"/>
              </w:rPr>
              <w:t>Federal</w:t>
            </w: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1,472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1,442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409</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20" w:type="dxa"/>
            <w:vAlign w:val="bottom"/>
            <w:shd w:val="clear" w:color="auto" w:fill="CCEEFF"/>
          </w:tcPr>
          <w:p>
            <w:pPr>
              <w:spacing w:after="0"/>
              <w:rPr>
                <w:sz w:val="14"/>
                <w:szCs w:val="14"/>
                <w:color w:val="auto"/>
              </w:rPr>
            </w:pPr>
          </w:p>
        </w:tc>
      </w:tr>
      <w:tr>
        <w:trPr>
          <w:trHeight w:val="151"/>
        </w:trPr>
        <w:tc>
          <w:tcPr>
            <w:tcW w:w="3120" w:type="dxa"/>
            <w:vAlign w:val="bottom"/>
            <w:gridSpan w:val="2"/>
          </w:tcPr>
          <w:p>
            <w:pPr>
              <w:spacing w:after="0" w:line="146" w:lineRule="exact"/>
              <w:rPr>
                <w:sz w:val="20"/>
                <w:szCs w:val="20"/>
                <w:color w:val="auto"/>
              </w:rPr>
            </w:pPr>
            <w:r>
              <w:rPr>
                <w:rFonts w:ascii="Arial" w:cs="Arial" w:eastAsia="Arial" w:hAnsi="Arial"/>
                <w:sz w:val="13"/>
                <w:szCs w:val="13"/>
                <w:color w:val="auto"/>
              </w:rPr>
              <w:t>Total deferred</w:t>
            </w:r>
          </w:p>
        </w:tc>
        <w:tc>
          <w:tcPr>
            <w:tcW w:w="20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1,881</w:t>
            </w: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1,858</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tax expense</w:t>
            </w:r>
          </w:p>
        </w:tc>
        <w:tc>
          <w:tcPr>
            <w:tcW w:w="284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1,881</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center"/>
        <w:ind w:left="2020"/>
        <w:spacing w:after="0"/>
        <w:tabs>
          <w:tab w:leader="none" w:pos="26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The actual income tax expense for the three months ended March 31, 2023 and 2022 differs from the statutory tax expense for the period (computed by applying the U.S. federal corporate tax rate of 21% for 2023 and 2022 to income before provision for income taxes) as follows (in thousands):</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560" w:type="dxa"/>
            <w:vAlign w:val="bottom"/>
            <w:tcBorders>
              <w:bottom w:val="single" w:sz="8" w:color="auto"/>
            </w:tcBorders>
            <w:gridSpan w:val="5"/>
          </w:tcPr>
          <w:p>
            <w:pPr>
              <w:jc w:val="right"/>
              <w:ind w:right="296"/>
              <w:spacing w:after="0"/>
              <w:rPr>
                <w:sz w:val="20"/>
                <w:szCs w:val="20"/>
                <w:color w:val="auto"/>
              </w:rPr>
            </w:pPr>
            <w:r>
              <w:rPr>
                <w:rFonts w:ascii="Arial" w:cs="Arial" w:eastAsia="Arial" w:hAnsi="Arial"/>
                <w:sz w:val="13"/>
                <w:szCs w:val="13"/>
                <w:b w:val="1"/>
                <w:bCs w:val="1"/>
                <w:color w:val="auto"/>
              </w:rPr>
              <w:t>Three Months Ended March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vMerge w:val="continue"/>
          </w:tcPr>
          <w:p>
            <w:pPr>
              <w:spacing w:after="0"/>
              <w:rPr>
                <w:sz w:val="12"/>
                <w:szCs w:val="12"/>
                <w:color w:val="auto"/>
              </w:rPr>
            </w:pPr>
          </w:p>
        </w:tc>
        <w:tc>
          <w:tcPr>
            <w:tcW w:w="38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Federal taxes at statutory rate</w:t>
            </w:r>
          </w:p>
        </w:tc>
        <w:tc>
          <w:tcPr>
            <w:tcW w:w="2120" w:type="dxa"/>
            <w:vAlign w:val="bottom"/>
            <w:gridSpan w:val="2"/>
            <w:shd w:val="clear" w:color="auto" w:fill="CCEEFF"/>
          </w:tcPr>
          <w:p>
            <w:pPr>
              <w:jc w:val="right"/>
              <w:ind w:right="676"/>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1,615</w:t>
            </w:r>
          </w:p>
        </w:tc>
        <w:tc>
          <w:tcPr>
            <w:tcW w:w="3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1,409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334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1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4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3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80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 tax expense</w:t>
            </w:r>
          </w:p>
        </w:tc>
        <w:tc>
          <w:tcPr>
            <w:tcW w:w="2120" w:type="dxa"/>
            <w:vAlign w:val="bottom"/>
            <w:tcBorders>
              <w:bottom w:val="single" w:sz="8" w:color="CCEEFF"/>
            </w:tcBorders>
            <w:gridSpan w:val="2"/>
            <w:shd w:val="clear" w:color="auto" w:fill="CCEEFF"/>
          </w:tcPr>
          <w:p>
            <w:pPr>
              <w:jc w:val="right"/>
              <w:ind w:right="676"/>
              <w:spacing w:after="0" w:line="131"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1,881</w:t>
            </w:r>
          </w:p>
        </w:tc>
        <w:tc>
          <w:tcPr>
            <w:tcW w:w="300" w:type="dxa"/>
            <w:vAlign w:val="bottom"/>
            <w:tcBorders>
              <w:bottom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1,858</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88"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156"/>
              <w:spacing w:after="0"/>
              <w:rPr>
                <w:sz w:val="20"/>
                <w:szCs w:val="20"/>
                <w:color w:val="auto"/>
              </w:rPr>
            </w:pPr>
            <w:r>
              <w:rPr>
                <w:rFonts w:ascii="Arial" w:cs="Arial" w:eastAsia="Arial" w:hAnsi="Arial"/>
                <w:sz w:val="13"/>
                <w:szCs w:val="13"/>
                <w:b w:val="1"/>
                <w:bCs w:val="1"/>
                <w:color w:val="auto"/>
              </w:rPr>
              <w:t>March 31, 2023</w:t>
            </w:r>
          </w:p>
        </w:tc>
        <w:tc>
          <w:tcPr>
            <w:tcW w:w="40" w:type="dxa"/>
            <w:vAlign w:val="bottom"/>
          </w:tcPr>
          <w:p>
            <w:pPr>
              <w:spacing w:after="0"/>
              <w:rPr>
                <w:sz w:val="13"/>
                <w:szCs w:val="13"/>
                <w:color w:val="auto"/>
              </w:rPr>
            </w:pPr>
          </w:p>
        </w:tc>
        <w:tc>
          <w:tcPr>
            <w:tcW w:w="132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Deferred tax assets: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Net operating loss</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19,998</w:t>
            </w:r>
          </w:p>
        </w:tc>
        <w:tc>
          <w:tcPr>
            <w:tcW w:w="48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21,720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Allowance for credit losses</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4,787</w:t>
            </w:r>
          </w:p>
        </w:tc>
        <w:tc>
          <w:tcPr>
            <w:tcW w:w="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4,432</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Lease liability</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3,460</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Unrealized losses on available for sale securities</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14,281</w:t>
            </w:r>
          </w:p>
        </w:tc>
        <w:tc>
          <w:tcPr>
            <w:tcW w:w="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15,193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Deferred loan fees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Depreciable property</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170</w:t>
            </w:r>
          </w:p>
        </w:tc>
        <w:tc>
          <w:tcPr>
            <w:tcW w:w="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Stock option compensation</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406</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Accruals</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234</w:t>
            </w:r>
          </w:p>
        </w:tc>
        <w:tc>
          <w:tcPr>
            <w:tcW w:w="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960" w:type="dxa"/>
            <w:vAlign w:val="bottom"/>
            <w:gridSpan w:val="3"/>
          </w:tcPr>
          <w:p>
            <w:pPr>
              <w:spacing w:after="0"/>
              <w:rPr>
                <w:sz w:val="20"/>
                <w:szCs w:val="20"/>
                <w:color w:val="auto"/>
              </w:rPr>
            </w:pPr>
            <w:r>
              <w:rPr>
                <w:rFonts w:ascii="Arial" w:cs="Arial" w:eastAsia="Arial" w:hAnsi="Arial"/>
                <w:sz w:val="13"/>
                <w:szCs w:val="13"/>
                <w:color w:val="auto"/>
              </w:rPr>
              <w:t>Deferred tax assets: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43,336</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46,247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vMerge w:val="restart"/>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vMerge w:val="continue"/>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3"/>
                <w:szCs w:val="13"/>
                <w:b w:val="1"/>
                <w:bCs w:val="1"/>
                <w:color w:val="auto"/>
              </w:rPr>
              <w:t>Deferred tax liability:</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Deferred loan cost</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Lease right of use asset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(3,460)</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Deferred expenses</w:t>
            </w: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Other, net</w:t>
            </w:r>
          </w:p>
        </w:tc>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rPr>
                <w:sz w:val="20"/>
                <w:szCs w:val="20"/>
                <w:color w:val="auto"/>
              </w:rPr>
            </w:pPr>
            <w:r>
              <w:rPr>
                <w:rFonts w:ascii="Arial" w:cs="Arial" w:eastAsia="Arial" w:hAnsi="Arial"/>
                <w:sz w:val="13"/>
                <w:szCs w:val="13"/>
                <w:color w:val="auto"/>
              </w:rPr>
              <w:t>Deferred tax liability</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(3,769)</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gridSpan w:val="2"/>
          </w:tcPr>
          <w:p>
            <w:pPr>
              <w:spacing w:after="0"/>
              <w:rPr>
                <w:sz w:val="13"/>
                <w:szCs w:val="13"/>
                <w:color w:val="auto"/>
              </w:rPr>
            </w:pPr>
          </w:p>
        </w:tc>
        <w:tc>
          <w:tcPr>
            <w:tcW w:w="39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960" w:type="dxa"/>
            <w:vAlign w:val="bottom"/>
            <w:gridSpan w:val="3"/>
          </w:tcPr>
          <w:p>
            <w:pPr>
              <w:spacing w:after="0"/>
              <w:rPr>
                <w:sz w:val="20"/>
                <w:szCs w:val="20"/>
                <w:color w:val="auto"/>
              </w:rPr>
            </w:pPr>
            <w:r>
              <w:rPr>
                <w:rFonts w:ascii="Arial" w:cs="Arial" w:eastAsia="Arial" w:hAnsi="Arial"/>
                <w:sz w:val="13"/>
                <w:szCs w:val="13"/>
                <w:color w:val="auto"/>
              </w:rPr>
              <w:t>Net deferred tax assets</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39,567</w:t>
            </w:r>
          </w:p>
        </w:tc>
        <w:tc>
          <w:tcPr>
            <w:tcW w:w="48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42,360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The Company has approximately $75.0 million of federal and $97.7 million of state net operating loss carryforwards expiring in various amounts between 2031 and 2036 and which are limited to offset, to the extent permitted, future taxable earnings of the Company.</w:t>
      </w:r>
    </w:p>
    <w:p>
      <w:pPr>
        <w:spacing w:after="0" w:line="126"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33"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examinations by tax authorities for years before 2019.</w:t>
      </w:r>
    </w:p>
    <w:p>
      <w:pPr>
        <w:spacing w:after="0" w:line="13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For the three months ended March 31, 2023 and 2022, the Company did not have any unrecognized tax benefits as a result of tax positions taken during a prior period or during the current period. Additionally, no interest or penalties were recorded as a result of tax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1020" w:hanging="378"/>
        <w:spacing w:after="0"/>
        <w:tabs>
          <w:tab w:leader="none" w:pos="10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10"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35" w:lineRule="exact"/>
        <w:rPr>
          <w:sz w:val="20"/>
          <w:szCs w:val="20"/>
          <w:color w:val="auto"/>
        </w:rPr>
      </w:pPr>
    </w:p>
    <w:p>
      <w:pPr>
        <w:jc w:val="both"/>
        <w:ind w:left="640" w:right="719" w:firstLine="256"/>
        <w:spacing w:after="0" w:line="284"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March 31, 2023 and December 31, 2022 (in thousands):</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March 31, 2023</w:t>
            </w: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39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Commitments to grant loans and unfunded lines of credit</w:t>
            </w:r>
          </w:p>
        </w:tc>
        <w:tc>
          <w:tcPr>
            <w:tcW w:w="9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81,506</w:t>
            </w:r>
          </w:p>
        </w:tc>
        <w:tc>
          <w:tcPr>
            <w:tcW w:w="1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134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95,461</w:t>
            </w:r>
          </w:p>
        </w:tc>
        <w:tc>
          <w:tcPr>
            <w:tcW w:w="20" w:type="dxa"/>
            <w:vAlign w:val="bottom"/>
            <w:shd w:val="clear" w:color="auto" w:fill="CCEEFF"/>
          </w:tcPr>
          <w:p>
            <w:pPr>
              <w:spacing w:after="0"/>
              <w:rPr>
                <w:sz w:val="12"/>
                <w:szCs w:val="12"/>
                <w:color w:val="auto"/>
              </w:rPr>
            </w:pPr>
          </w:p>
        </w:tc>
      </w:tr>
      <w:tr>
        <w:trPr>
          <w:trHeight w:val="160"/>
        </w:trPr>
        <w:tc>
          <w:tcPr>
            <w:tcW w:w="402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3,542</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85,048</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shd w:val="clear" w:color="auto" w:fill="CCEEFF"/>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99,781</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31" w:lineRule="exact"/>
        <w:rPr>
          <w:sz w:val="20"/>
          <w:szCs w:val="20"/>
          <w:color w:val="auto"/>
        </w:rPr>
      </w:pPr>
    </w:p>
    <w:p>
      <w:pPr>
        <w:jc w:val="both"/>
        <w:ind w:left="640" w:right="699" w:firstLine="256"/>
        <w:spacing w:after="0" w:line="261"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26"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45" w:lineRule="exact"/>
        <w:rPr>
          <w:sz w:val="20"/>
          <w:szCs w:val="20"/>
          <w:color w:val="auto"/>
        </w:rPr>
      </w:pPr>
    </w:p>
    <w:p>
      <w:pPr>
        <w:ind w:left="1020" w:hanging="378"/>
        <w:spacing w:after="0"/>
        <w:tabs>
          <w:tab w:leader="none" w:pos="10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1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Company utilizes interest rate swap agreements as part of its asset liability management strategy to help manage its interest rate risk exposure. The notional amount of the interest rate swaps do not represent actual amounts exchanged by the parties. The amounts exchanged are determined by reference to the notional amount and the other terms of the individual interest rate swap agreements.</w:t>
      </w:r>
    </w:p>
    <w:p>
      <w:pPr>
        <w:spacing w:after="0" w:line="143" w:lineRule="exact"/>
        <w:rPr>
          <w:sz w:val="20"/>
          <w:szCs w:val="20"/>
          <w:color w:val="auto"/>
        </w:rPr>
      </w:pPr>
    </w:p>
    <w:p>
      <w:pPr>
        <w:jc w:val="both"/>
        <w:ind w:left="640" w:right="679" w:firstLine="256"/>
        <w:spacing w:after="0" w:line="248" w:lineRule="auto"/>
        <w:rPr>
          <w:sz w:val="20"/>
          <w:szCs w:val="20"/>
          <w:color w:val="auto"/>
        </w:rPr>
      </w:pPr>
      <w:r>
        <w:rPr>
          <w:rFonts w:ascii="Arial" w:cs="Arial" w:eastAsia="Arial" w:hAnsi="Arial"/>
          <w:sz w:val="14"/>
          <w:szCs w:val="14"/>
          <w:color w:val="auto"/>
        </w:rPr>
        <w:t>The Company enters into interest rate swaps with its loan customers. The Company had 17 and 15 interest rate swaps with loan customers with an aggregate notional amount of $ 40.9 million and $33.9 million at March 31, 2023 and December 31, 2022, respectively. These interest rate swaps mature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customer-related interest rate swaps at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9"/>
              </w:rPr>
              <w:t>Notional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w w:val="94"/>
              </w:rPr>
              <w:t>Collateral</w:t>
            </w: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Balance Sheet Location</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Liability</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40,896</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1,287</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4,673</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4,673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 w:type="dxa"/>
            <w:vAlign w:val="bottom"/>
            <w:gridSpan w:val="2"/>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33,893</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1,278</w:t>
            </w:r>
          </w:p>
        </w:tc>
        <w:tc>
          <w:tcPr>
            <w:tcW w:w="1660" w:type="dxa"/>
            <w:vAlign w:val="bottom"/>
            <w:gridSpan w:val="2"/>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ind w:left="200"/>
              <w:spacing w:after="0"/>
              <w:rPr>
                <w:sz w:val="20"/>
                <w:szCs w:val="20"/>
                <w:color w:val="auto"/>
              </w:rPr>
            </w:pPr>
            <w:r>
              <w:rPr>
                <w:rFonts w:ascii="Arial" w:cs="Arial" w:eastAsia="Arial" w:hAnsi="Arial"/>
                <w:sz w:val="13"/>
                <w:szCs w:val="13"/>
                <w:color w:val="auto"/>
              </w:rPr>
              <w:t>5,011</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ind w:left="240"/>
              <w:spacing w:after="0"/>
              <w:rPr>
                <w:sz w:val="20"/>
                <w:szCs w:val="20"/>
                <w:color w:val="auto"/>
              </w:rPr>
            </w:pPr>
            <w:r>
              <w:rPr>
                <w:rFonts w:ascii="Arial" w:cs="Arial" w:eastAsia="Arial" w:hAnsi="Arial"/>
                <w:sz w:val="13"/>
                <w:szCs w:val="13"/>
                <w:color w:val="auto"/>
              </w:rPr>
              <w:t>5,011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020" w:hanging="378"/>
        <w:spacing w:after="0"/>
        <w:tabs>
          <w:tab w:leader="none" w:pos="102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Determination of Fair Value</w:t>
      </w:r>
    </w:p>
    <w:p>
      <w:pPr>
        <w:spacing w:after="0" w:line="178" w:lineRule="exact"/>
        <w:rPr>
          <w:sz w:val="20"/>
          <w:szCs w:val="20"/>
          <w:color w:val="auto"/>
        </w:rPr>
      </w:pPr>
    </w:p>
    <w:p>
      <w:pPr>
        <w:jc w:val="both"/>
        <w:ind w:left="640" w:right="679" w:firstLine="256"/>
        <w:spacing w:after="0" w:line="247"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7" w:lineRule="exact"/>
        <w:rPr>
          <w:sz w:val="20"/>
          <w:szCs w:val="20"/>
          <w:color w:val="auto"/>
        </w:rPr>
      </w:pPr>
    </w:p>
    <w:p>
      <w:pPr>
        <w:ind w:left="640" w:right="659" w:firstLine="256"/>
        <w:spacing w:after="0" w:line="248"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Fair Value Hierarchy</w:t>
      </w:r>
    </w:p>
    <w:p>
      <w:pPr>
        <w:spacing w:after="0" w:line="178" w:lineRule="exact"/>
        <w:rPr>
          <w:sz w:val="20"/>
          <w:szCs w:val="20"/>
          <w:color w:val="auto"/>
        </w:rPr>
      </w:pPr>
    </w:p>
    <w:p>
      <w:pPr>
        <w:jc w:val="both"/>
        <w:ind w:left="640" w:right="659" w:firstLine="256"/>
        <w:spacing w:after="0" w:line="261"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18"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2" w:lineRule="exact"/>
        <w:rPr>
          <w:sz w:val="20"/>
          <w:szCs w:val="20"/>
          <w:color w:val="auto"/>
        </w:rPr>
      </w:pPr>
    </w:p>
    <w:p>
      <w:pPr>
        <w:jc w:val="both"/>
        <w:ind w:left="1160" w:right="679"/>
        <w:spacing w:after="0" w:line="257"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29" w:lineRule="exact"/>
        <w:rPr>
          <w:sz w:val="20"/>
          <w:szCs w:val="20"/>
          <w:color w:val="auto"/>
        </w:rPr>
      </w:pPr>
    </w:p>
    <w:p>
      <w:pPr>
        <w:ind w:left="640" w:right="759" w:firstLine="256"/>
        <w:spacing w:after="0" w:line="284"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5" w:lineRule="exact"/>
        <w:rPr>
          <w:sz w:val="20"/>
          <w:szCs w:val="20"/>
          <w:color w:val="auto"/>
        </w:rPr>
      </w:pPr>
    </w:p>
    <w:p>
      <w:pPr>
        <w:ind w:left="640" w:right="739" w:firstLine="256"/>
        <w:spacing w:after="0" w:line="280"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March 31, 2023 and December 31, 2022 for each of the fair value hierarchy levels (in thousands):</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rPr>
              <w:t>March 31, 2023</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3"/>
                <w:szCs w:val="13"/>
                <w:b w:val="1"/>
                <w:bCs w:val="1"/>
                <w:color w:val="auto"/>
              </w:rPr>
              <w:t>December 31, 2022</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175"/>
              <w:spacing w:after="0"/>
              <w:rPr>
                <w:sz w:val="20"/>
                <w:szCs w:val="20"/>
                <w:color w:val="auto"/>
              </w:rPr>
            </w:pPr>
            <w:r>
              <w:rPr>
                <w:rFonts w:ascii="Arial" w:cs="Arial" w:eastAsia="Arial" w:hAnsi="Arial"/>
                <w:sz w:val="13"/>
                <w:szCs w:val="13"/>
                <w:b w:val="1"/>
                <w:bCs w:val="1"/>
                <w:color w:val="auto"/>
                <w:w w:val="90"/>
              </w:rPr>
              <w:t>Level 1</w:t>
            </w: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Level 2</w:t>
            </w:r>
          </w:p>
        </w:tc>
        <w:tc>
          <w:tcPr>
            <w:tcW w:w="40" w:type="dxa"/>
            <w:vAlign w:val="bottom"/>
          </w:tcPr>
          <w:p>
            <w:pPr>
              <w:spacing w:after="0"/>
              <w:rPr>
                <w:sz w:val="14"/>
                <w:szCs w:val="14"/>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5"/>
              </w:rPr>
              <w:t>Level 3</w:t>
            </w: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620" w:type="dxa"/>
            <w:vAlign w:val="bottom"/>
            <w:gridSpan w:val="4"/>
          </w:tcPr>
          <w:p>
            <w:pPr>
              <w:jc w:val="right"/>
              <w:ind w:right="175"/>
              <w:spacing w:after="0"/>
              <w:rPr>
                <w:sz w:val="20"/>
                <w:szCs w:val="20"/>
                <w:color w:val="auto"/>
              </w:rPr>
            </w:pPr>
            <w:r>
              <w:rPr>
                <w:rFonts w:ascii="Arial" w:cs="Arial" w:eastAsia="Arial" w:hAnsi="Arial"/>
                <w:sz w:val="13"/>
                <w:szCs w:val="13"/>
                <w:b w:val="1"/>
                <w:bCs w:val="1"/>
                <w:color w:val="auto"/>
                <w:w w:val="95"/>
              </w:rPr>
              <w:t>Level 1</w:t>
            </w: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Level 2</w:t>
            </w:r>
          </w:p>
        </w:tc>
        <w:tc>
          <w:tcPr>
            <w:tcW w:w="40" w:type="dxa"/>
            <w:vAlign w:val="bottom"/>
          </w:tcPr>
          <w:p>
            <w:pPr>
              <w:spacing w:after="0"/>
              <w:rPr>
                <w:sz w:val="14"/>
                <w:szCs w:val="14"/>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5"/>
              </w:rPr>
              <w:t>Level 3</w:t>
            </w: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U.S. Government Agency</w:t>
            </w:r>
          </w:p>
        </w:tc>
        <w:tc>
          <w:tcPr>
            <w:tcW w:w="32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400" w:type="dxa"/>
            <w:vAlign w:val="bottom"/>
            <w:gridSpan w:val="3"/>
          </w:tcPr>
          <w:p>
            <w:pPr>
              <w:ind w:left="18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8,831</w:t>
            </w:r>
          </w:p>
        </w:tc>
        <w:tc>
          <w:tcPr>
            <w:tcW w:w="260" w:type="dxa"/>
            <w:vAlign w:val="bottom"/>
            <w:gridSpan w:val="2"/>
          </w:tcPr>
          <w:p>
            <w:pPr>
              <w:jc w:val="right"/>
              <w:ind w:right="141"/>
              <w:spacing w:after="0"/>
              <w:rPr>
                <w:sz w:val="20"/>
                <w:szCs w:val="20"/>
                <w:color w:val="auto"/>
              </w:rPr>
            </w:pPr>
            <w:r>
              <w:rPr>
                <w:rFonts w:ascii="Arial" w:cs="Arial" w:eastAsia="Arial" w:hAnsi="Arial"/>
                <w:sz w:val="13"/>
                <w:szCs w:val="13"/>
                <w:color w:val="auto"/>
                <w:w w:val="82"/>
              </w:rPr>
              <w:t>$</w:t>
            </w:r>
          </w:p>
        </w:tc>
        <w:tc>
          <w:tcPr>
            <w:tcW w:w="420" w:type="dxa"/>
            <w:vAlign w:val="bottom"/>
            <w:gridSpan w:val="3"/>
          </w:tcPr>
          <w:p>
            <w:pPr>
              <w:ind w:left="180"/>
              <w:spacing w:after="0"/>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8,831</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400" w:type="dxa"/>
            <w:vAlign w:val="bottom"/>
            <w:gridSpan w:val="3"/>
          </w:tcPr>
          <w:p>
            <w:pPr>
              <w:ind w:left="18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8,655</w:t>
            </w:r>
          </w:p>
        </w:tc>
        <w:tc>
          <w:tcPr>
            <w:tcW w:w="260" w:type="dxa"/>
            <w:vAlign w:val="bottom"/>
            <w:gridSpan w:val="2"/>
          </w:tcPr>
          <w:p>
            <w:pPr>
              <w:jc w:val="right"/>
              <w:ind w:right="141"/>
              <w:spacing w:after="0"/>
              <w:rPr>
                <w:sz w:val="20"/>
                <w:szCs w:val="20"/>
                <w:color w:val="auto"/>
              </w:rPr>
            </w:pPr>
            <w:r>
              <w:rPr>
                <w:rFonts w:ascii="Arial" w:cs="Arial" w:eastAsia="Arial" w:hAnsi="Arial"/>
                <w:sz w:val="13"/>
                <w:szCs w:val="13"/>
                <w:color w:val="auto"/>
                <w:w w:val="82"/>
              </w:rPr>
              <w:t>$</w:t>
            </w:r>
          </w:p>
        </w:tc>
        <w:tc>
          <w:tcPr>
            <w:tcW w:w="420" w:type="dxa"/>
            <w:vAlign w:val="bottom"/>
            <w:gridSpan w:val="3"/>
          </w:tcPr>
          <w:p>
            <w:pPr>
              <w:ind w:left="18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8,655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88,837</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88,837</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95,541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Mortgage-backed securities - residential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60,566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60,566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60,879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60,879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Mortgage-backed securities - commercial</w:t>
            </w: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32,600</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32,600</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27,954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3"/>
                <w:szCs w:val="13"/>
                <w:color w:val="auto"/>
              </w:rPr>
              <w:t>Municipal securities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19,310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19,310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18,483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15,497</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15,497</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14,919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Corporate bonds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3,768</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3,768</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229,409</w:t>
            </w:r>
          </w:p>
        </w:tc>
        <w:tc>
          <w:tcPr>
            <w:tcW w:w="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229,409</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230,140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80" w:type="dxa"/>
            <w:vAlign w:val="bottom"/>
            <w:gridSpan w:val="2"/>
          </w:tcPr>
          <w:p>
            <w:pPr>
              <w:spacing w:after="0"/>
              <w:rPr>
                <w:sz w:val="20"/>
                <w:szCs w:val="20"/>
                <w:color w:val="auto"/>
              </w:rPr>
            </w:pPr>
            <w:r>
              <w:rPr>
                <w:rFonts w:ascii="Arial" w:cs="Arial" w:eastAsia="Arial" w:hAnsi="Arial"/>
                <w:sz w:val="13"/>
                <w:szCs w:val="13"/>
                <w:color w:val="auto"/>
              </w:rPr>
              <w:t>Derivative assets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4,673</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4,673</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at fair value</w:t>
            </w:r>
          </w:p>
        </w:tc>
        <w:tc>
          <w:tcPr>
            <w:tcW w:w="32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ind w:right="35"/>
              <w:spacing w:after="0"/>
              <w:rPr>
                <w:sz w:val="20"/>
                <w:szCs w:val="20"/>
                <w:color w:val="auto"/>
              </w:rPr>
            </w:pPr>
            <w:r>
              <w:rPr>
                <w:rFonts w:ascii="Arial" w:cs="Arial" w:eastAsia="Arial" w:hAnsi="Arial"/>
                <w:sz w:val="1"/>
                <w:szCs w:val="1"/>
                <w:color w:val="auto"/>
                <w:w w:val="42949672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234,082</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41"/>
              <w:spacing w:after="0"/>
              <w:rPr>
                <w:sz w:val="20"/>
                <w:szCs w:val="20"/>
                <w:color w:val="auto"/>
              </w:rPr>
            </w:pPr>
            <w:r>
              <w:rPr>
                <w:rFonts w:ascii="Arial" w:cs="Arial" w:eastAsia="Arial" w:hAnsi="Arial"/>
                <w:sz w:val="5"/>
                <w:szCs w:val="5"/>
                <w:color w:val="auto"/>
                <w:w w:val="70"/>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80"/>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234,082</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ind w:right="35"/>
              <w:spacing w:after="0"/>
              <w:rPr>
                <w:sz w:val="20"/>
                <w:szCs w:val="20"/>
                <w:color w:val="auto"/>
              </w:rPr>
            </w:pPr>
            <w:r>
              <w:rPr>
                <w:rFonts w:ascii="Arial" w:cs="Arial" w:eastAsia="Arial" w:hAnsi="Arial"/>
                <w:sz w:val="1"/>
                <w:szCs w:val="1"/>
                <w:color w:val="auto"/>
                <w:w w:val="42949672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41"/>
              <w:spacing w:after="0"/>
              <w:rPr>
                <w:sz w:val="20"/>
                <w:szCs w:val="20"/>
                <w:color w:val="auto"/>
              </w:rPr>
            </w:pPr>
            <w:r>
              <w:rPr>
                <w:rFonts w:ascii="Arial" w:cs="Arial" w:eastAsia="Arial" w:hAnsi="Arial"/>
                <w:sz w:val="5"/>
                <w:szCs w:val="5"/>
                <w:color w:val="auto"/>
                <w:w w:val="70"/>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80"/>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235,151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3"/>
                <w:szCs w:val="13"/>
                <w:color w:val="auto"/>
              </w:rPr>
              <w:t>Derivative liabilities</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480" w:type="dxa"/>
            <w:vAlign w:val="bottom"/>
            <w:gridSpan w:val="2"/>
            <w:vMerge w:val="continue"/>
          </w:tcPr>
          <w:p>
            <w:pPr>
              <w:spacing w:after="0"/>
              <w:rPr>
                <w:sz w:val="10"/>
                <w:szCs w:val="10"/>
                <w:color w:val="auto"/>
              </w:rPr>
            </w:pPr>
          </w:p>
        </w:tc>
        <w:tc>
          <w:tcPr>
            <w:tcW w:w="320" w:type="dxa"/>
            <w:vAlign w:val="bottom"/>
            <w:gridSpan w:val="2"/>
          </w:tcPr>
          <w:p>
            <w:pPr>
              <w:jc w:val="right"/>
              <w:ind w:right="116"/>
              <w:spacing w:after="0" w:line="121" w:lineRule="exact"/>
              <w:rPr>
                <w:sz w:val="20"/>
                <w:szCs w:val="20"/>
                <w:color w:val="auto"/>
              </w:rPr>
            </w:pPr>
            <w:r>
              <w:rPr>
                <w:rFonts w:ascii="Arial" w:cs="Arial" w:eastAsia="Arial" w:hAnsi="Arial"/>
                <w:sz w:val="13"/>
                <w:szCs w:val="13"/>
                <w:color w:val="auto"/>
              </w:rPr>
              <w:t>$</w:t>
            </w:r>
          </w:p>
        </w:tc>
        <w:tc>
          <w:tcPr>
            <w:tcW w:w="40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 $</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4,673</w:t>
            </w:r>
          </w:p>
        </w:tc>
        <w:tc>
          <w:tcPr>
            <w:tcW w:w="260" w:type="dxa"/>
            <w:vAlign w:val="bottom"/>
            <w:gridSpan w:val="2"/>
          </w:tcPr>
          <w:p>
            <w:pPr>
              <w:jc w:val="right"/>
              <w:ind w:right="141"/>
              <w:spacing w:after="0" w:line="121" w:lineRule="exact"/>
              <w:rPr>
                <w:sz w:val="20"/>
                <w:szCs w:val="20"/>
                <w:color w:val="auto"/>
              </w:rPr>
            </w:pPr>
            <w:r>
              <w:rPr>
                <w:rFonts w:ascii="Arial" w:cs="Arial" w:eastAsia="Arial" w:hAnsi="Arial"/>
                <w:sz w:val="13"/>
                <w:szCs w:val="13"/>
                <w:color w:val="auto"/>
                <w:w w:val="82"/>
              </w:rPr>
              <w:t>$</w:t>
            </w:r>
          </w:p>
        </w:tc>
        <w:tc>
          <w:tcPr>
            <w:tcW w:w="42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4,673</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40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 $</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5,011</w:t>
            </w:r>
          </w:p>
        </w:tc>
        <w:tc>
          <w:tcPr>
            <w:tcW w:w="260" w:type="dxa"/>
            <w:vAlign w:val="bottom"/>
            <w:gridSpan w:val="2"/>
          </w:tcPr>
          <w:p>
            <w:pPr>
              <w:jc w:val="right"/>
              <w:ind w:right="141"/>
              <w:spacing w:after="0" w:line="121" w:lineRule="exact"/>
              <w:rPr>
                <w:sz w:val="20"/>
                <w:szCs w:val="20"/>
                <w:color w:val="auto"/>
              </w:rPr>
            </w:pPr>
            <w:r>
              <w:rPr>
                <w:rFonts w:ascii="Arial" w:cs="Arial" w:eastAsia="Arial" w:hAnsi="Arial"/>
                <w:sz w:val="13"/>
                <w:szCs w:val="13"/>
                <w:color w:val="auto"/>
                <w:w w:val="82"/>
              </w:rPr>
              <w:t>$</w:t>
            </w:r>
          </w:p>
        </w:tc>
        <w:tc>
          <w:tcPr>
            <w:tcW w:w="42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5,011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 at fair value</w:t>
            </w:r>
          </w:p>
        </w:tc>
        <w:tc>
          <w:tcPr>
            <w:tcW w:w="32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ind w:right="35"/>
              <w:spacing w:after="0"/>
              <w:rPr>
                <w:sz w:val="20"/>
                <w:szCs w:val="20"/>
                <w:color w:val="auto"/>
              </w:rPr>
            </w:pPr>
            <w:r>
              <w:rPr>
                <w:rFonts w:ascii="Arial" w:cs="Arial" w:eastAsia="Arial" w:hAnsi="Arial"/>
                <w:sz w:val="1"/>
                <w:szCs w:val="1"/>
                <w:color w:val="auto"/>
                <w:w w:val="42949672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4,673</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41"/>
              <w:spacing w:after="0"/>
              <w:rPr>
                <w:sz w:val="20"/>
                <w:szCs w:val="20"/>
                <w:color w:val="auto"/>
              </w:rPr>
            </w:pPr>
            <w:r>
              <w:rPr>
                <w:rFonts w:ascii="Arial" w:cs="Arial" w:eastAsia="Arial" w:hAnsi="Arial"/>
                <w:sz w:val="5"/>
                <w:szCs w:val="5"/>
                <w:color w:val="auto"/>
                <w:w w:val="70"/>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80"/>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4,673</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ind w:right="35"/>
              <w:spacing w:after="0"/>
              <w:rPr>
                <w:sz w:val="20"/>
                <w:szCs w:val="20"/>
                <w:color w:val="auto"/>
              </w:rPr>
            </w:pPr>
            <w:r>
              <w:rPr>
                <w:rFonts w:ascii="Arial" w:cs="Arial" w:eastAsia="Arial" w:hAnsi="Arial"/>
                <w:sz w:val="1"/>
                <w:szCs w:val="1"/>
                <w:color w:val="auto"/>
                <w:w w:val="42949672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41"/>
              <w:spacing w:after="0"/>
              <w:rPr>
                <w:sz w:val="20"/>
                <w:szCs w:val="20"/>
                <w:color w:val="auto"/>
              </w:rPr>
            </w:pPr>
            <w:r>
              <w:rPr>
                <w:rFonts w:ascii="Arial" w:cs="Arial" w:eastAsia="Arial" w:hAnsi="Arial"/>
                <w:sz w:val="5"/>
                <w:szCs w:val="5"/>
                <w:color w:val="auto"/>
                <w:w w:val="70"/>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80"/>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b w:val="1"/>
          <w:bCs w:val="1"/>
          <w:color w:val="auto"/>
        </w:rPr>
        <w:t xml:space="preserve">Individually Evaluated Loans and Impaired Loans: </w:t>
      </w:r>
      <w:r>
        <w:rPr>
          <w:rFonts w:ascii="Arial" w:cs="Arial" w:eastAsia="Arial" w:hAnsi="Arial"/>
          <w:sz w:val="14"/>
          <w:szCs w:val="14"/>
          <w:color w:val="auto"/>
        </w:rPr>
        <w:t>ASC 326 eliminates the current accounting model for impaired</w:t>
      </w:r>
      <w:r>
        <w:rPr>
          <w:rFonts w:ascii="Arial" w:cs="Arial" w:eastAsia="Arial" w:hAnsi="Arial"/>
          <w:sz w:val="14"/>
          <w:szCs w:val="14"/>
          <w:b w:val="1"/>
          <w:bCs w:val="1"/>
          <w:color w:val="auto"/>
        </w:rPr>
        <w:t xml:space="preserve"> </w:t>
      </w:r>
      <w:r>
        <w:rPr>
          <w:rFonts w:ascii="Arial" w:cs="Arial" w:eastAsia="Arial" w:hAnsi="Arial"/>
          <w:sz w:val="14"/>
          <w:szCs w:val="14"/>
          <w:color w:val="auto"/>
        </w:rPr>
        <w:t>loans effective as of January 1, 2023. At December 31, 2022, in accordance with provisions of the loan impairment guidance, individual loans with a carrying amount of approximately $ 3.9 million, were written down to their fair value of approximately $3.6 million, resulting in an impairment charge of $ 294 thousand, which was included in the allowance for credit losses at December 31, 2022. Loans subject to write-downs, or impaired loans, are estimated using the present value of expected cash flows or the appraised value of the underlying collateral discounted as necessary due to management's estimates of changes in economic conditions are considered a Level 3 valuation.</w:t>
      </w:r>
    </w:p>
    <w:p>
      <w:pPr>
        <w:spacing w:after="0" w:line="128" w:lineRule="exact"/>
        <w:rPr>
          <w:sz w:val="20"/>
          <w:szCs w:val="20"/>
          <w:color w:val="auto"/>
        </w:rPr>
      </w:pPr>
    </w:p>
    <w:p>
      <w:pPr>
        <w:jc w:val="both"/>
        <w:ind w:left="640" w:right="65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is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000"/>
        <w:spacing w:after="0"/>
        <w:tabs>
          <w:tab w:leader="none" w:pos="26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March 31, 2023 and December 31, 2022 for each of the fair value hierarchy levels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March 31, 2023:</w:t>
            </w:r>
          </w:p>
        </w:tc>
        <w:tc>
          <w:tcPr>
            <w:tcW w:w="1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3"/>
                <w:szCs w:val="13"/>
                <w:color w:val="auto"/>
              </w:rPr>
              <w:t>Individually evaluated loans</w:t>
            </w:r>
          </w:p>
        </w:tc>
        <w:tc>
          <w:tcPr>
            <w:tcW w:w="1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continue"/>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3,639</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December 31, 2022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1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b w:val="1"/>
                <w:bCs w:val="1"/>
                <w:color w:val="auto"/>
                <w:w w:val="93"/>
              </w:rPr>
              <w:t>Fair Value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4"/>
                <w:szCs w:val="14"/>
                <w:color w:val="auto"/>
              </w:rPr>
            </w:pPr>
          </w:p>
        </w:tc>
        <w:tc>
          <w:tcPr>
            <w:tcW w:w="3300" w:type="dxa"/>
            <w:vAlign w:val="bottom"/>
            <w:tcBorders>
              <w:bottom w:val="single" w:sz="8" w:color="auto"/>
            </w:tcBorders>
          </w:tcPr>
          <w:p>
            <w:pPr>
              <w:ind w:left="940"/>
              <w:spacing w:after="0"/>
              <w:rPr>
                <w:sz w:val="20"/>
                <w:szCs w:val="20"/>
                <w:color w:val="auto"/>
              </w:rPr>
            </w:pPr>
            <w:r>
              <w:rPr>
                <w:rFonts w:ascii="Arial" w:cs="Arial" w:eastAsia="Arial" w:hAnsi="Arial"/>
                <w:sz w:val="13"/>
                <w:szCs w:val="13"/>
                <w:b w:val="1"/>
                <w:bCs w:val="1"/>
                <w:color w:val="auto"/>
              </w:rPr>
              <w:t>Unobservable Input(s)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comparison approach</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Adj. for differences between comparable sales</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gridSpan w:val="2"/>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3"/>
                <w:szCs w:val="13"/>
                <w:color w:val="auto"/>
              </w:rPr>
              <w:t>Discounted cash flow</w:t>
            </w:r>
          </w:p>
        </w:tc>
        <w:tc>
          <w:tcPr>
            <w:tcW w:w="3360" w:type="dxa"/>
            <w:vAlign w:val="bottom"/>
            <w:gridSpan w:val="2"/>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1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98</w:t>
            </w:r>
          </w:p>
        </w:tc>
        <w:tc>
          <w:tcPr>
            <w:tcW w:w="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Discounted cash flow</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580" w:type="dxa"/>
            <w:vAlign w:val="bottom"/>
          </w:tcPr>
          <w:p>
            <w:pPr>
              <w:ind w:left="60"/>
              <w:spacing w:after="0"/>
              <w:rPr>
                <w:sz w:val="20"/>
                <w:szCs w:val="20"/>
                <w:color w:val="auto"/>
              </w:rPr>
            </w:pPr>
            <w:r>
              <w:rPr>
                <w:rFonts w:ascii="Arial" w:cs="Arial" w:eastAsia="Arial" w:hAnsi="Arial"/>
                <w:sz w:val="13"/>
                <w:szCs w:val="13"/>
                <w:color w:val="auto"/>
              </w:rPr>
              <w:t>Total impaired loans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3,639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There were no financial liabilities measured at fair value on a non-recurring basis at March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Not Measured at Fair Value</w:t>
      </w:r>
    </w:p>
    <w:p>
      <w:pPr>
        <w:spacing w:after="0" w:line="178"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December 31, 2022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rPr>
              <w:t>Fair Value Hierarchy</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March 31, 2023:</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40" w:type="dxa"/>
            <w:vAlign w:val="bottom"/>
            <w:gridSpan w:val="2"/>
          </w:tcPr>
          <w:p>
            <w:pPr>
              <w:spacing w:after="0"/>
              <w:rPr>
                <w:sz w:val="20"/>
                <w:szCs w:val="20"/>
                <w:color w:val="auto"/>
              </w:rPr>
            </w:pPr>
            <w:r>
              <w:rPr>
                <w:rFonts w:ascii="Arial" w:cs="Arial" w:eastAsia="Arial" w:hAnsi="Arial"/>
                <w:sz w:val="13"/>
                <w:szCs w:val="13"/>
                <w:color w:val="auto"/>
              </w:rPr>
              <w:t>Financial 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Interest-bearing deposits in banks</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57,665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57,665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57,665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186,428</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169,167</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169,167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1,561,507</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1,518,178</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1,518,178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8,216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1,248</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6,968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tcPr>
          <w:p>
            <w:pPr>
              <w:spacing w:after="0"/>
              <w:rPr>
                <w:sz w:val="20"/>
                <w:szCs w:val="20"/>
                <w:color w:val="auto"/>
              </w:rPr>
            </w:pPr>
            <w:r>
              <w:rPr>
                <w:rFonts w:ascii="Arial" w:cs="Arial" w:eastAsia="Arial" w:hAnsi="Arial"/>
                <w:sz w:val="13"/>
                <w:szCs w:val="13"/>
                <w:color w:val="auto"/>
              </w:rPr>
              <w:t>Financial Liabilities: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633,606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633,606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633,606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Money market and savings accounts</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900,478</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900,478</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900,478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50,573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50,573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50,573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Time deposits</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245,805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241,263</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241,263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120,000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118,852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118,852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Accrued interest payable</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567</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327</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240</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continue"/>
          </w:tcPr>
          <w:p>
            <w:pPr>
              <w:spacing w:after="0"/>
              <w:rPr>
                <w:sz w:val="14"/>
                <w:szCs w:val="14"/>
                <w:color w:val="auto"/>
              </w:rPr>
            </w:pPr>
          </w:p>
        </w:tc>
        <w:tc>
          <w:tcPr>
            <w:tcW w:w="260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Cash and due from banks</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6,605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6,605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6,605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47,563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47,563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47,563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Investment securities held to maturity</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188,699</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169,088</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169,088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1,489,851</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1,436,877</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1,436,877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Accrued interest receivable</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7,546</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1,183</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6,363</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7,546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Demand deposits</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629,776</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629,776</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629,776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915,853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915,853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915,853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Interest-bearing checking accounts</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66,675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66,675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66,675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216,977</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211,406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211,406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auto"/>
              </w:rPr>
              <w:t>FHLB advances</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46,000</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44,547</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44,547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229</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137</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20" w:hanging="378"/>
        <w:spacing w:after="0"/>
        <w:tabs>
          <w:tab w:leader="none" w:pos="102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Common Stock</w:t>
      </w:r>
    </w:p>
    <w:p>
      <w:pPr>
        <w:spacing w:after="0" w:line="178"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In July 2021, the Bank completed the initial public offering of its Class A common stock, in which it issued and sold 4,600,000 shares of Class A common stock at a price of $ 10.00 per share. The Bank received total net proceeds of $40.0 million after deducting underwriting discounts and expenses.</w:t>
      </w:r>
    </w:p>
    <w:p>
      <w:pPr>
        <w:spacing w:after="0" w:line="142"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color w:val="auto"/>
        </w:rPr>
        <w:t>In December 2021, the Company acquired all the issued and outstanding shares of the Class A voting common stock of the Bank, which at the time were the only issued and outstanding shares of the Bank’s capital stock, in a share exchange (the “Reorganization”) effected under the Florida Business Corporation Act. Each outstanding share of the Bank’s Class A common stock, par value $1.00 per share, formerly held by its shareholders was converted into and exchanged for one newly issued share of the Company’s Class A common stock, par value $1.00 per share, and the Bank became the Company’s wholly owned subsidiary.</w:t>
      </w:r>
    </w:p>
    <w:p>
      <w:pPr>
        <w:spacing w:after="0" w:line="135"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then current shareholders owned the same percentages of the Company’s common stock as they previously owned of the Bank’s common stock.</w:t>
      </w:r>
    </w:p>
    <w:p>
      <w:pPr>
        <w:spacing w:after="0" w:line="271"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7" w:lineRule="exact"/>
        <w:rPr>
          <w:sz w:val="20"/>
          <w:szCs w:val="20"/>
          <w:color w:val="auto"/>
        </w:rPr>
      </w:pPr>
    </w:p>
    <w:p>
      <w:pPr>
        <w:ind w:left="640" w:right="699" w:firstLine="256"/>
        <w:spacing w:after="0" w:line="284" w:lineRule="auto"/>
        <w:rPr>
          <w:sz w:val="20"/>
          <w:szCs w:val="20"/>
          <w:color w:val="auto"/>
        </w:rPr>
      </w:pPr>
      <w:r>
        <w:rPr>
          <w:rFonts w:ascii="Arial" w:cs="Arial" w:eastAsia="Arial" w:hAnsi="Arial"/>
          <w:sz w:val="14"/>
          <w:szCs w:val="14"/>
          <w:color w:val="auto"/>
        </w:rPr>
        <w:t>The Company issued 121,627 shares of Class A common stock to employees and directors as restricted stock awards pursuant to the Company’s 2015 equity incentive plan in March 2023.</w:t>
      </w:r>
    </w:p>
    <w:p>
      <w:pPr>
        <w:spacing w:after="0" w:line="11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During the first quarter of 2023, the Company repurchased 500,000 shares of USCB Financial Holdings Inc at a weighted average price per share of $11.74. The aggregate purchase price for these transactions was approximately $5.9 million, including transaction costs. These repurchases were made through open market purchases pursuant to the Company’s publicly announced repurchase program. As of March 31, 2023, 250,000 shares remained authorized for repurchase under this program.</w:t>
      </w:r>
    </w:p>
    <w:p>
      <w:pPr>
        <w:spacing w:after="0" w:line="133" w:lineRule="exact"/>
        <w:rPr>
          <w:sz w:val="20"/>
          <w:szCs w:val="20"/>
          <w:color w:val="auto"/>
        </w:rPr>
      </w:pPr>
    </w:p>
    <w:p>
      <w:pPr>
        <w:jc w:val="both"/>
        <w:ind w:left="640" w:right="699" w:firstLine="256"/>
        <w:spacing w:after="0" w:line="284" w:lineRule="auto"/>
        <w:rPr>
          <w:sz w:val="20"/>
          <w:szCs w:val="20"/>
          <w:color w:val="auto"/>
        </w:rPr>
      </w:pPr>
      <w:r>
        <w:rPr>
          <w:rFonts w:ascii="Arial" w:cs="Arial" w:eastAsia="Arial" w:hAnsi="Arial"/>
          <w:sz w:val="14"/>
          <w:szCs w:val="14"/>
          <w:color w:val="auto"/>
        </w:rPr>
        <w:t>Shares of the Company’s Class A common stock issued and outstanding as of March 31, 2023 and December 31, 2022 were 19,622,380 and 20,000,753, respectively.</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Dividends</w:t>
      </w:r>
    </w:p>
    <w:p>
      <w:pPr>
        <w:spacing w:after="0" w:line="178" w:lineRule="exact"/>
        <w:rPr>
          <w:sz w:val="20"/>
          <w:szCs w:val="20"/>
          <w:color w:val="auto"/>
        </w:rPr>
      </w:pPr>
    </w:p>
    <w:p>
      <w:pPr>
        <w:jc w:val="both"/>
        <w:ind w:left="640" w:right="679" w:firstLine="256"/>
        <w:spacing w:after="0" w:line="261" w:lineRule="auto"/>
        <w:rPr>
          <w:sz w:val="20"/>
          <w:szCs w:val="20"/>
          <w:color w:val="auto"/>
        </w:rPr>
      </w:pPr>
      <w:r>
        <w:rPr>
          <w:rFonts w:ascii="Arial" w:cs="Arial" w:eastAsia="Arial" w:hAnsi="Arial"/>
          <w:sz w:val="14"/>
          <w:szCs w:val="14"/>
          <w:color w:val="auto"/>
        </w:rPr>
        <w:t>Declaration of dividends by the Board is required before dividend payments are made. No dividends were approved by the Board for the common stock classes for the three months ended March 31, 2023 and 2022. Additionally, there were no dividends declared and unpaid as of March 31, 2023 and 2022.</w:t>
      </w:r>
    </w:p>
    <w:p>
      <w:pPr>
        <w:spacing w:after="0" w:line="126" w:lineRule="exact"/>
        <w:rPr>
          <w:sz w:val="20"/>
          <w:szCs w:val="20"/>
          <w:color w:val="auto"/>
        </w:rPr>
      </w:pPr>
    </w:p>
    <w:p>
      <w:pPr>
        <w:jc w:val="both"/>
        <w:ind w:left="640" w:right="679" w:firstLine="256"/>
        <w:spacing w:after="0" w:line="261" w:lineRule="auto"/>
        <w:rPr>
          <w:sz w:val="20"/>
          <w:szCs w:val="20"/>
          <w:color w:val="auto"/>
        </w:rPr>
      </w:pPr>
      <w:r>
        <w:rPr>
          <w:rFonts w:ascii="Arial" w:cs="Arial" w:eastAsia="Arial" w:hAnsi="Arial"/>
          <w:sz w:val="14"/>
          <w:szCs w:val="14"/>
          <w:color w:val="auto"/>
        </w:rPr>
        <w:t>The Company and the Bank exceeded all regulatory capital requirements and remained significantly above “well-capitalized” guidelines as of December 31, 2022 and March 31, 2023. At March 31, 2023, the total risk-based capital ratios for the Company and the Bank were 13.20% and 13.12%, respectively.</w:t>
      </w:r>
    </w:p>
    <w:p>
      <w:pPr>
        <w:spacing w:after="0" w:line="118" w:lineRule="exact"/>
        <w:rPr>
          <w:sz w:val="20"/>
          <w:szCs w:val="20"/>
          <w:color w:val="auto"/>
        </w:rPr>
      </w:pPr>
    </w:p>
    <w:p>
      <w:pPr>
        <w:ind w:left="1020" w:hanging="378"/>
        <w:spacing w:after="0"/>
        <w:tabs>
          <w:tab w:leader="none" w:pos="102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10" w:lineRule="exact"/>
        <w:rPr>
          <w:sz w:val="20"/>
          <w:szCs w:val="20"/>
          <w:color w:val="auto"/>
        </w:rPr>
      </w:pPr>
    </w:p>
    <w:p>
      <w:pPr>
        <w:jc w:val="both"/>
        <w:ind w:left="640" w:right="679" w:firstLine="256"/>
        <w:spacing w:after="0" w:line="248"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calculation of net income available to common stockholders for the three months ended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March 31, 2023 and 2022 (in thousands):</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980" w:type="dxa"/>
            <w:vAlign w:val="bottom"/>
            <w:gridSpan w:val="2"/>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w:t>
            </w:r>
          </w:p>
        </w:tc>
        <w:tc>
          <w:tcPr>
            <w:tcW w:w="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56"/>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w:t>
            </w:r>
          </w:p>
        </w:tc>
        <w:tc>
          <w:tcPr>
            <w:tcW w:w="20" w:type="dxa"/>
            <w:vAlign w:val="bottom"/>
            <w:shd w:val="clear" w:color="auto" w:fill="CCEEFF"/>
          </w:tcPr>
          <w:p>
            <w:pPr>
              <w:spacing w:after="0"/>
              <w:rPr>
                <w:sz w:val="13"/>
                <w:szCs w:val="13"/>
                <w:color w:val="auto"/>
              </w:rPr>
            </w:pPr>
          </w:p>
        </w:tc>
      </w:tr>
      <w:tr>
        <w:trPr>
          <w:trHeight w:val="171"/>
        </w:trPr>
        <w:tc>
          <w:tcPr>
            <w:tcW w:w="3280" w:type="dxa"/>
            <w:vAlign w:val="bottom"/>
            <w:gridSpan w:val="2"/>
          </w:tcPr>
          <w:p>
            <w:pPr>
              <w:spacing w:after="0"/>
              <w:rPr>
                <w:sz w:val="20"/>
                <w:szCs w:val="20"/>
                <w:color w:val="auto"/>
              </w:rPr>
            </w:pPr>
            <w:r>
              <w:rPr>
                <w:rFonts w:ascii="Arial" w:cs="Arial" w:eastAsia="Arial" w:hAnsi="Arial"/>
                <w:sz w:val="13"/>
                <w:szCs w:val="13"/>
                <w:color w:val="auto"/>
              </w:rPr>
              <w:t>Less: Preferred stock dividends</w:t>
            </w:r>
          </w:p>
        </w:tc>
        <w:tc>
          <w:tcPr>
            <w:tcW w:w="6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1980" w:type="dxa"/>
            <w:vAlign w:val="bottom"/>
            <w:gridSpan w:val="2"/>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w:t>
            </w:r>
          </w:p>
        </w:tc>
        <w:tc>
          <w:tcPr>
            <w:tcW w:w="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56"/>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2020"/>
        <w:spacing w:after="0"/>
        <w:tabs>
          <w:tab w:leader="none" w:pos="26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7"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months ended March 31, 2023 and 2022 (in thousands, except per share amounts):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jc w:val="right"/>
              <w:ind w:right="236"/>
              <w:spacing w:after="0"/>
              <w:rPr>
                <w:sz w:val="20"/>
                <w:szCs w:val="20"/>
                <w:color w:val="auto"/>
              </w:rPr>
            </w:pPr>
            <w:r>
              <w:rPr>
                <w:rFonts w:ascii="Arial" w:cs="Arial" w:eastAsia="Arial" w:hAnsi="Arial"/>
                <w:sz w:val="13"/>
                <w:szCs w:val="13"/>
                <w:b w:val="1"/>
                <w:bCs w:val="1"/>
                <w:color w:val="auto"/>
              </w:rPr>
              <w:t>Three Months Ended March 31,</w:t>
            </w:r>
          </w:p>
        </w:tc>
        <w:tc>
          <w:tcPr>
            <w:tcW w:w="2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480" w:type="dxa"/>
            <w:vAlign w:val="bottom"/>
            <w:gridSpan w:val="3"/>
          </w:tcPr>
          <w:p>
            <w:pPr>
              <w:spacing w:after="0"/>
              <w:rPr>
                <w:sz w:val="20"/>
                <w:szCs w:val="20"/>
                <w:color w:val="auto"/>
              </w:rPr>
            </w:pPr>
            <w:r>
              <w:rPr>
                <w:rFonts w:ascii="Arial" w:cs="Arial" w:eastAsia="Arial" w:hAnsi="Arial"/>
                <w:sz w:val="13"/>
                <w:szCs w:val="13"/>
                <w:b w:val="1"/>
                <w:bCs w:val="1"/>
                <w:color w:val="auto"/>
              </w:rPr>
              <w:t>Numerator:</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5,809</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w:t>
            </w:r>
          </w:p>
        </w:tc>
        <w:tc>
          <w:tcPr>
            <w:tcW w:w="20" w:type="dxa"/>
            <w:vAlign w:val="bottom"/>
            <w:shd w:val="clear" w:color="auto" w:fill="CCEEFF"/>
          </w:tcPr>
          <w:p>
            <w:pPr>
              <w:spacing w:after="0"/>
              <w:rPr>
                <w:sz w:val="14"/>
                <w:szCs w:val="14"/>
                <w:color w:val="auto"/>
              </w:rPr>
            </w:pPr>
          </w:p>
        </w:tc>
      </w:tr>
      <w:tr>
        <w:trPr>
          <w:trHeight w:val="171"/>
        </w:trPr>
        <w:tc>
          <w:tcPr>
            <w:tcW w:w="4480" w:type="dxa"/>
            <w:vAlign w:val="bottom"/>
            <w:gridSpan w:val="3"/>
          </w:tcPr>
          <w:p>
            <w:pPr>
              <w:spacing w:after="0"/>
              <w:rPr>
                <w:sz w:val="20"/>
                <w:szCs w:val="20"/>
                <w:color w:val="auto"/>
              </w:rPr>
            </w:pPr>
            <w:r>
              <w:rPr>
                <w:rFonts w:ascii="Arial" w:cs="Arial" w:eastAsia="Arial" w:hAnsi="Arial"/>
                <w:sz w:val="13"/>
                <w:szCs w:val="13"/>
                <w:b w:val="1"/>
                <w:bCs w:val="1"/>
                <w:color w:val="auto"/>
              </w:rPr>
              <w:t>Denominator:</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7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19,855,409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19,994,953</w:t>
            </w:r>
          </w:p>
        </w:tc>
        <w:tc>
          <w:tcPr>
            <w:tcW w:w="20" w:type="dxa"/>
            <w:vAlign w:val="bottom"/>
            <w:shd w:val="clear" w:color="auto" w:fill="CCEEFF"/>
          </w:tcPr>
          <w:p>
            <w:pPr>
              <w:spacing w:after="0"/>
              <w:rPr>
                <w:sz w:val="14"/>
                <w:szCs w:val="14"/>
                <w:color w:val="auto"/>
              </w:rPr>
            </w:pPr>
          </w:p>
        </w:tc>
      </w:tr>
      <w:tr>
        <w:trPr>
          <w:trHeight w:val="212"/>
        </w:trPr>
        <w:tc>
          <w:tcPr>
            <w:tcW w:w="4480" w:type="dxa"/>
            <w:vAlign w:val="bottom"/>
            <w:gridSpan w:val="3"/>
          </w:tcPr>
          <w:p>
            <w:pPr>
              <w:spacing w:after="0"/>
              <w:rPr>
                <w:sz w:val="20"/>
                <w:szCs w:val="20"/>
                <w:color w:val="auto"/>
              </w:rPr>
            </w:pPr>
            <w:r>
              <w:rPr>
                <w:rFonts w:ascii="Arial" w:cs="Arial" w:eastAsia="Arial" w:hAnsi="Arial"/>
                <w:sz w:val="13"/>
                <w:szCs w:val="13"/>
                <w:b w:val="1"/>
                <w:bCs w:val="1"/>
                <w:color w:val="auto"/>
              </w:rPr>
              <w:t>Earnings per share, basic</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0.29</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0.24</w:t>
            </w:r>
          </w:p>
        </w:tc>
        <w:tc>
          <w:tcPr>
            <w:tcW w:w="20" w:type="dxa"/>
            <w:vAlign w:val="bottom"/>
          </w:tcPr>
          <w:p>
            <w:pPr>
              <w:spacing w:after="0"/>
              <w:rPr>
                <w:sz w:val="18"/>
                <w:szCs w:val="18"/>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4480" w:type="dxa"/>
            <w:vAlign w:val="bottom"/>
            <w:gridSpan w:val="3"/>
          </w:tcPr>
          <w:p>
            <w:pPr>
              <w:spacing w:after="0"/>
              <w:rPr>
                <w:sz w:val="20"/>
                <w:szCs w:val="20"/>
                <w:color w:val="auto"/>
              </w:rPr>
            </w:pPr>
            <w:r>
              <w:rPr>
                <w:rFonts w:ascii="Arial" w:cs="Arial" w:eastAsia="Arial" w:hAnsi="Arial"/>
                <w:sz w:val="13"/>
                <w:szCs w:val="13"/>
                <w:b w:val="1"/>
                <w:bCs w:val="1"/>
                <w:color w:val="auto"/>
              </w:rPr>
              <w:t>Diluted EPS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Pr>
          <w:p>
            <w:pPr>
              <w:ind w:left="60"/>
              <w:spacing w:after="0"/>
              <w:rPr>
                <w:sz w:val="20"/>
                <w:szCs w:val="20"/>
                <w:color w:val="auto"/>
              </w:rPr>
            </w:pPr>
            <w:r>
              <w:rPr>
                <w:rFonts w:ascii="Arial" w:cs="Arial" w:eastAsia="Arial" w:hAnsi="Arial"/>
                <w:sz w:val="13"/>
                <w:szCs w:val="13"/>
                <w:color w:val="auto"/>
              </w:rPr>
              <w:t>Net income available to common shares</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5,809</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4,854</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Pr>
          <w:p>
            <w:pPr>
              <w:ind w:left="60"/>
              <w:spacing w:after="0"/>
              <w:rPr>
                <w:sz w:val="20"/>
                <w:szCs w:val="20"/>
                <w:color w:val="auto"/>
              </w:rPr>
            </w:pPr>
            <w:r>
              <w:rPr>
                <w:rFonts w:ascii="Arial" w:cs="Arial" w:eastAsia="Arial" w:hAnsi="Arial"/>
                <w:sz w:val="13"/>
                <w:szCs w:val="13"/>
                <w:color w:val="auto"/>
              </w:rPr>
              <w:t>Weighted average shares outstanding for basic EPS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19,855,409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19,994,953</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7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85,197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114,830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Pr>
          <w:p>
            <w:pPr>
              <w:ind w:left="60"/>
              <w:spacing w:after="0"/>
              <w:rPr>
                <w:sz w:val="20"/>
                <w:szCs w:val="20"/>
                <w:color w:val="auto"/>
              </w:rPr>
            </w:pPr>
            <w:r>
              <w:rPr>
                <w:rFonts w:ascii="Arial" w:cs="Arial" w:eastAsia="Arial" w:hAnsi="Arial"/>
                <w:sz w:val="13"/>
                <w:szCs w:val="13"/>
                <w:color w:val="auto"/>
              </w:rPr>
              <w:t>Weighted avg. shares including dilutive potential common shares</w:t>
            </w:r>
          </w:p>
        </w:tc>
        <w:tc>
          <w:tcPr>
            <w:tcW w:w="7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19,940,606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20,109,783</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0.29</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572,500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41" w:lineRule="exact"/>
        <w:rPr>
          <w:sz w:val="20"/>
          <w:szCs w:val="20"/>
          <w:color w:val="auto"/>
        </w:rPr>
      </w:pPr>
    </w:p>
    <w:p>
      <w:pPr>
        <w:ind w:left="1020" w:hanging="378"/>
        <w:spacing w:after="0"/>
        <w:tabs>
          <w:tab w:leader="none" w:pos="102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10" w:lineRule="exact"/>
        <w:rPr>
          <w:sz w:val="20"/>
          <w:szCs w:val="20"/>
          <w:color w:val="auto"/>
        </w:rPr>
      </w:pPr>
    </w:p>
    <w:p>
      <w:pPr>
        <w:jc w:val="both"/>
        <w:ind w:left="640" w:right="719" w:firstLine="256"/>
        <w:spacing w:after="0" w:line="261"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940"/>
        <w:spacing w:after="0"/>
        <w:tabs>
          <w:tab w:leader="none" w:pos="26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2.</w:t>
        <w:tab/>
        <w:t>Management's Discussion and Analysis of Financial Condition and Results of Operations</w:t>
      </w:r>
    </w:p>
    <w:p>
      <w:pPr>
        <w:spacing w:after="0" w:line="163"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for the quarter and three months ended March 31, 2023. This discussion and analysis is best read in conjunction with the unaudited consolidated financial statements and related footnotes included in this quarterly report on Form 10-Q and the audited consolidated financial statements and related footnotes included in the Annual Report on Form 10-K/A (“2022 Form 10-K/A”) filed with the Securities and Exchange Commission (“SEC”) for the year ended December 31, 2022.</w:t>
      </w:r>
    </w:p>
    <w:p>
      <w:pPr>
        <w:spacing w:after="0" w:line="138"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and in the 2022 Form 10-K filed with the SEC which is available at the SEC’s website www.sec.gov.</w:t>
      </w:r>
    </w:p>
    <w:p>
      <w:pPr>
        <w:spacing w:after="0" w:line="127" w:lineRule="exact"/>
        <w:rPr>
          <w:sz w:val="20"/>
          <w:szCs w:val="20"/>
          <w:color w:val="auto"/>
        </w:rPr>
      </w:pPr>
    </w:p>
    <w:p>
      <w:pPr>
        <w:ind w:left="660" w:right="699" w:firstLine="256"/>
        <w:spacing w:after="0" w:line="290"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This Quarterly Report on Form 10-Q (“Form 10-Q”) contains statements that are not historical in nature and are intended to be, and are hereby identified as, forward-looking statements for purposes of the safe harbor provided by Section 21E of the Securities Exchange Act of 1934, as amended (Exchange Act”). The words “may,” “will,” “anticipate,” “should,” “would,” “believe,” “contemplate,” “expect,” “aim,” “plan,” “estimate,” “continue,”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balance sheet restructuring.</w:t>
      </w:r>
    </w:p>
    <w:p>
      <w:pPr>
        <w:spacing w:after="0" w:line="135" w:lineRule="exact"/>
        <w:rPr>
          <w:sz w:val="20"/>
          <w:szCs w:val="20"/>
          <w:color w:val="auto"/>
        </w:rPr>
      </w:pPr>
    </w:p>
    <w:p>
      <w:pPr>
        <w:ind w:left="660" w:right="679" w:firstLine="256"/>
        <w:spacing w:after="0" w:line="284"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10"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1180" w:right="699" w:hanging="261"/>
        <w:spacing w:after="0" w:line="246"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79" w:hanging="261"/>
        <w:spacing w:after="0" w:line="246"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adverse changes or conditions in capital and financial markets, including actual or potential stresses in the banking industry;</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ind w:left="1180" w:right="699" w:hanging="261"/>
        <w:spacing w:after="0" w:line="246"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on-going effects of the implementation of the Current Expected Credit Losses (“CECL”) standard;</w:t>
      </w:r>
    </w:p>
    <w:p>
      <w:pPr>
        <w:jc w:val="both"/>
        <w:ind w:left="1180" w:right="659" w:hanging="261"/>
        <w:spacing w:after="0" w:line="247"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effects of climate change;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spacing w:after="0" w:line="9" w:lineRule="exact"/>
        <w:rPr>
          <w:rFonts w:ascii="Arial" w:cs="Arial" w:eastAsia="Arial" w:hAnsi="Arial"/>
          <w:sz w:val="14"/>
          <w:szCs w:val="14"/>
          <w:color w:val="auto"/>
        </w:rPr>
      </w:pPr>
    </w:p>
    <w:p>
      <w:pPr>
        <w:ind w:left="1180" w:right="659" w:hanging="261"/>
        <w:spacing w:after="0" w:line="238"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margin;</w:t>
      </w:r>
    </w:p>
    <w:p>
      <w:pPr>
        <w:ind w:left="1180" w:right="679" w:hanging="261"/>
        <w:spacing w:after="0" w:line="246"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right="699" w:hanging="261"/>
        <w:spacing w:after="0" w:line="253" w:lineRule="auto"/>
        <w:tabs>
          <w:tab w:leader="none" w:pos="11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risks described in this Form 10-Q, the 2022 Form 10-K/A and other filings we make with the Securities and Exchange Commission (“SEC”).</w:t>
      </w:r>
    </w:p>
    <w:p>
      <w:pPr>
        <w:spacing w:after="0" w:line="200" w:lineRule="exact"/>
        <w:rPr>
          <w:sz w:val="20"/>
          <w:szCs w:val="20"/>
          <w:color w:val="auto"/>
        </w:rPr>
      </w:pPr>
    </w:p>
    <w:p>
      <w:pPr>
        <w:spacing w:after="0" w:line="208"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Form 10-Q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in December 2021, the Bank filed with the FDIC.</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8"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Company reported net income of $5.8 million or $ 0.29 per diluted share for Class A common stock for the three months ended March 31, 2023, compared with net income of $4.9 million or $0.24 per diluted share for Class A common stock, respectively, for the same period in 2022.</w:t>
      </w:r>
    </w:p>
    <w:p>
      <w:pPr>
        <w:spacing w:after="0" w:line="142"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During the first quarter of 2023, the Company repurchased 500,000 shares of USCB Financial Holdings Inc at a weighted average price per share of $11.74. The aggregate purchase price for these transactions was approximately $5.9 million, including transaction costs. These repurchases were made through open market purchase pursuant to the Company’s publicly announced repurchase program. As of March 31, 2023, 250,000 shares remain authorized for repurchase under this program.</w:t>
      </w:r>
    </w:p>
    <w:p>
      <w:pPr>
        <w:spacing w:after="0" w:line="143"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In evaluating our financial performance, the Company considers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26" w:lineRule="exact"/>
        <w:rPr>
          <w:sz w:val="20"/>
          <w:szCs w:val="20"/>
          <w:color w:val="auto"/>
        </w:rPr>
      </w:pPr>
    </w:p>
    <w:p>
      <w:pPr>
        <w:ind w:left="660" w:right="659" w:firstLine="256"/>
        <w:spacing w:after="0" w:line="284" w:lineRule="auto"/>
        <w:rPr>
          <w:sz w:val="20"/>
          <w:szCs w:val="20"/>
          <w:color w:val="auto"/>
        </w:rPr>
      </w:pPr>
      <w:r>
        <w:rPr>
          <w:rFonts w:ascii="Arial" w:cs="Arial" w:eastAsia="Arial" w:hAnsi="Arial"/>
          <w:sz w:val="14"/>
          <w:szCs w:val="14"/>
          <w:color w:val="auto"/>
        </w:rPr>
        <w:t>Unless otherwise stated, all period comparisons in the bullet points below are calculated for the quarter ended March 31, 2023 compared to the quarter ended March 31, 2022 and annualized where appropriate:</w:t>
      </w:r>
    </w:p>
    <w:p>
      <w:pPr>
        <w:spacing w:after="0" w:line="110" w:lineRule="exact"/>
        <w:rPr>
          <w:sz w:val="20"/>
          <w:szCs w:val="20"/>
          <w:color w:val="auto"/>
        </w:rPr>
      </w:pPr>
    </w:p>
    <w:p>
      <w:pPr>
        <w:ind w:left="1180" w:right="659" w:hanging="261"/>
        <w:spacing w:after="0" w:line="284"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income increased $1.6 million or 11.3% to $16.0 million from $14.4 million for the quarter ended March 31, 2022.</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margin (“NIM”) was 3.22% for both quarters ended at March 31, 2023 and 2022.</w:t>
      </w:r>
    </w:p>
    <w:p>
      <w:pPr>
        <w:spacing w:after="0" w:line="169" w:lineRule="exact"/>
        <w:rPr>
          <w:rFonts w:ascii="Arial" w:cs="Arial" w:eastAsia="Arial" w:hAnsi="Arial"/>
          <w:sz w:val="14"/>
          <w:szCs w:val="14"/>
          <w:color w:val="auto"/>
        </w:rPr>
      </w:pPr>
    </w:p>
    <w:p>
      <w:pPr>
        <w:ind w:left="1180" w:right="699" w:hanging="261"/>
        <w:spacing w:after="0" w:line="268"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assets were $2.2 billion at March 31, 2023, representing an increase of $196.6 million or 10.0% from March 31, 2022 and an increase of $78.0 million or 15.2% annualized from December 31, 2022.</w:t>
      </w:r>
    </w:p>
    <w:p>
      <w:pPr>
        <w:spacing w:after="0" w:line="131" w:lineRule="exact"/>
        <w:rPr>
          <w:rFonts w:ascii="Arial" w:cs="Arial" w:eastAsia="Arial" w:hAnsi="Arial"/>
          <w:sz w:val="14"/>
          <w:szCs w:val="14"/>
          <w:color w:val="auto"/>
        </w:rPr>
      </w:pPr>
    </w:p>
    <w:p>
      <w:pPr>
        <w:ind w:left="1180" w:right="679" w:hanging="261"/>
        <w:spacing w:after="0" w:line="268"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loans were $1.6 billion at March 31, 2023, representing an increase of $322.0 million or 25.6% from March 31, 2022 and an increase of $73.1 million or 19.7% annualized from December 2022.</w:t>
      </w:r>
    </w:p>
    <w:p>
      <w:pPr>
        <w:spacing w:after="0" w:line="131" w:lineRule="exact"/>
        <w:rPr>
          <w:rFonts w:ascii="Arial" w:cs="Arial" w:eastAsia="Arial" w:hAnsi="Arial"/>
          <w:sz w:val="14"/>
          <w:szCs w:val="14"/>
          <w:color w:val="auto"/>
        </w:rPr>
      </w:pPr>
    </w:p>
    <w:p>
      <w:pPr>
        <w:ind w:left="1180" w:right="679" w:hanging="261"/>
        <w:spacing w:after="0" w:line="268"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deposits were $1.8 billion at March 31, 2023, representing an increase of $117.2 million or 6.8% from March 31, 2022 and $1.2 million from December 31, 2022.</w:t>
      </w:r>
    </w:p>
    <w:p>
      <w:pPr>
        <w:spacing w:after="0" w:line="131"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assets was 1.11% compared to 1.03% at March 31, 2022.</w:t>
      </w:r>
    </w:p>
    <w:p>
      <w:pPr>
        <w:spacing w:after="0" w:line="169" w:lineRule="exact"/>
        <w:rPr>
          <w:rFonts w:ascii="Arial" w:cs="Arial" w:eastAsia="Arial" w:hAnsi="Arial"/>
          <w:sz w:val="14"/>
          <w:szCs w:val="14"/>
          <w:color w:val="auto"/>
        </w:rPr>
      </w:pPr>
    </w:p>
    <w:p>
      <w:pPr>
        <w:ind w:left="1180" w:right="699" w:hanging="261"/>
        <w:spacing w:after="0" w:line="268"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stockholders’ equity was 12.85% compared to 9.75% for quarter ended March 31, 2022.</w:t>
      </w:r>
    </w:p>
    <w:p>
      <w:pPr>
        <w:spacing w:after="0" w:line="131" w:lineRule="exact"/>
        <w:rPr>
          <w:rFonts w:ascii="Arial" w:cs="Arial" w:eastAsia="Arial" w:hAnsi="Arial"/>
          <w:sz w:val="14"/>
          <w:szCs w:val="14"/>
          <w:color w:val="auto"/>
        </w:rPr>
      </w:pPr>
    </w:p>
    <w:p>
      <w:pPr>
        <w:jc w:val="both"/>
        <w:ind w:left="1180" w:right="679" w:hanging="261"/>
        <w:spacing w:after="0" w:line="253"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allowance for credit losses to total loans was 1.20% for March 31, 2023 and 1.16% for December 31, 2022. ACL was calculated under the CECL methodology for the first quarter 2023 and the incurred loss methodology for the first quarter 2022.</w:t>
      </w:r>
    </w:p>
    <w:p>
      <w:pPr>
        <w:spacing w:after="0" w:line="141"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Non-performing loans to total loans was 0.03% at March 31, 2023 compared to 0.0% at December 31, 2022.</w:t>
      </w:r>
    </w:p>
    <w:p>
      <w:pPr>
        <w:spacing w:after="0" w:line="169" w:lineRule="exact"/>
        <w:rPr>
          <w:rFonts w:ascii="Arial" w:cs="Arial" w:eastAsia="Arial" w:hAnsi="Arial"/>
          <w:sz w:val="14"/>
          <w:szCs w:val="14"/>
          <w:color w:val="auto"/>
        </w:rPr>
      </w:pPr>
    </w:p>
    <w:p>
      <w:pPr>
        <w:ind w:left="1180" w:right="679" w:hanging="261"/>
        <w:spacing w:after="0" w:line="268"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 March 31, 2023, the total risk-based capital ratios for the Company and the Bank were 13.20% and 13.12%, respectively.</w:t>
      </w:r>
    </w:p>
    <w:p>
      <w:pPr>
        <w:spacing w:after="0" w:line="131" w:lineRule="exact"/>
        <w:rPr>
          <w:rFonts w:ascii="Arial" w:cs="Arial" w:eastAsia="Arial" w:hAnsi="Arial"/>
          <w:sz w:val="14"/>
          <w:szCs w:val="14"/>
          <w:color w:val="auto"/>
        </w:rPr>
      </w:pPr>
    </w:p>
    <w:p>
      <w:pPr>
        <w:jc w:val="both"/>
        <w:ind w:left="1180" w:right="659" w:hanging="261"/>
        <w:spacing w:after="0" w:line="253" w:lineRule="auto"/>
        <w:tabs>
          <w:tab w:leader="none" w:pos="117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Tangible book value per common share of $9.37 as of March 31, 2023 was negatively affected by $2.14 due to after tax unrealized security losses of $42.1 million at March 31, 2023. At March 31, 2022, tangible book value of $9.60 was negatively affected by $0.97 due to $19.5 million after tax unrealized security losses. See “Reconciliation and</w:t>
      </w:r>
    </w:p>
    <w:p>
      <w:pPr>
        <w:spacing w:after="0" w:line="200" w:lineRule="exact"/>
        <w:rPr>
          <w:sz w:val="20"/>
          <w:szCs w:val="20"/>
          <w:color w:val="auto"/>
        </w:rPr>
      </w:pPr>
    </w:p>
    <w:p>
      <w:pPr>
        <w:spacing w:after="0" w:line="208"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1180" w:right="659"/>
        <w:spacing w:after="0" w:line="268" w:lineRule="auto"/>
        <w:rPr>
          <w:sz w:val="20"/>
          <w:szCs w:val="20"/>
          <w:color w:val="auto"/>
        </w:rPr>
      </w:pPr>
      <w:r>
        <w:rPr>
          <w:rFonts w:ascii="Arial" w:cs="Arial" w:eastAsia="Arial" w:hAnsi="Arial"/>
          <w:sz w:val="14"/>
          <w:szCs w:val="14"/>
          <w:color w:val="auto"/>
        </w:rPr>
        <w:t>Management Explanation for Non-GAAP Financial Measures” for a reconciliation of this non-GAAP financial measure.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78"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3"/>
          <w:szCs w:val="13"/>
          <w:color w:val="auto"/>
        </w:rPr>
        <w:t>The consolidated financial statements are prepared based on the application of U.S. GAAP, the most significant of which are described in Note 1 “Summary of Significant Accounting Policies” in the Company’s 2022 Form 10-K/A.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current expected credit loss (CECL) methodology. See Note 1 “Summary of Significant Accounting Policies” for more information on the adoption ASC 326 and the allowance of credit losses.</w:t>
      </w:r>
    </w:p>
    <w:p>
      <w:pPr>
        <w:spacing w:after="0" w:line="143" w:lineRule="exact"/>
        <w:rPr>
          <w:sz w:val="20"/>
          <w:szCs w:val="20"/>
          <w:color w:val="auto"/>
        </w:rPr>
      </w:pPr>
    </w:p>
    <w:p>
      <w:pPr>
        <w:jc w:val="both"/>
        <w:ind w:left="660" w:right="619" w:firstLine="256"/>
        <w:spacing w:after="0" w:line="247" w:lineRule="auto"/>
        <w:rPr>
          <w:sz w:val="20"/>
          <w:szCs w:val="20"/>
          <w:color w:val="auto"/>
        </w:rPr>
      </w:pPr>
      <w:r>
        <w:rPr>
          <w:rFonts w:ascii="Arial" w:cs="Arial" w:eastAsia="Arial" w:hAnsi="Arial"/>
          <w:sz w:val="14"/>
          <w:szCs w:val="14"/>
          <w:color w:val="auto"/>
        </w:rPr>
        <w:t>As of March 31, 2023, our ACL included a concentration of commercial real estate loans. To assess the potential impact of changes in qualitative factors related to these loans, management performed a sensitivity analysis. Specially we evaluated the impact of two scenarios: (1) an increase in qualitative factors to simulate a maximum loss scenario and (2) a reduction to all qualitative factors to zero. Under the first scenario, the ACL increased by $4.6 million or 24.2% and under the second scenario the ACL was reduced by $1.1 million or 6.3%. This sensitivity analysis provides a hypothetical result to assess the sensitivity of the ACL and does not represent a change in management’s judgement.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7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4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8"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This Form 10-Q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242"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7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76" w:lineRule="exact"/>
        <w:rPr>
          <w:sz w:val="20"/>
          <w:szCs w:val="20"/>
          <w:color w:val="auto"/>
        </w:rPr>
      </w:pPr>
    </w:p>
    <w:p>
      <w:pPr>
        <w:ind w:left="660" w:right="679" w:firstLine="256"/>
        <w:spacing w:after="0" w:line="268"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March 31, 2023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41"/>
        </w:trPr>
        <w:tc>
          <w:tcPr>
            <w:tcW w:w="49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Balance Sheets:</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2,163,821</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2,085,834</w:t>
            </w:r>
          </w:p>
        </w:tc>
        <w:tc>
          <w:tcPr>
            <w:tcW w:w="20" w:type="dxa"/>
            <w:vAlign w:val="bottom"/>
          </w:tcPr>
          <w:p>
            <w:pPr>
              <w:spacing w:after="0"/>
              <w:rPr>
                <w:sz w:val="14"/>
                <w:szCs w:val="14"/>
                <w:color w:val="auto"/>
              </w:rPr>
            </w:pPr>
          </w:p>
        </w:tc>
      </w:tr>
      <w:tr>
        <w:trPr>
          <w:trHeight w:val="151"/>
        </w:trPr>
        <w:tc>
          <w:tcPr>
            <w:tcW w:w="4920" w:type="dxa"/>
            <w:vAlign w:val="bottom"/>
            <w:tcBorders>
              <w:bottom w:val="single" w:sz="8" w:color="CCEEFF"/>
            </w:tcBorders>
            <w:shd w:val="clear" w:color="auto" w:fill="CCEEFF"/>
          </w:tcPr>
          <w:p>
            <w:pPr>
              <w:ind w:left="100"/>
              <w:spacing w:after="0" w:line="15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1,580,394</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1,830,462</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1,829,281</w:t>
            </w:r>
          </w:p>
        </w:tc>
        <w:tc>
          <w:tcPr>
            <w:tcW w:w="20" w:type="dxa"/>
            <w:vAlign w:val="bottom"/>
          </w:tcPr>
          <w:p>
            <w:pPr>
              <w:spacing w:after="0"/>
              <w:rPr>
                <w:sz w:val="14"/>
                <w:szCs w:val="14"/>
                <w:color w:val="auto"/>
              </w:rPr>
            </w:pPr>
          </w:p>
        </w:tc>
      </w:tr>
      <w:tr>
        <w:trPr>
          <w:trHeight w:val="149"/>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183,858</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2"/>
                <w:szCs w:val="12"/>
                <w:color w:val="auto"/>
              </w:rPr>
            </w:pPr>
          </w:p>
        </w:tc>
      </w:tr>
      <w:tr>
        <w:trPr>
          <w:trHeight w:val="21"/>
        </w:trPr>
        <w:tc>
          <w:tcPr>
            <w:tcW w:w="4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155"/>
        </w:trPr>
        <w:tc>
          <w:tcPr>
            <w:tcW w:w="49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(1) Loan amounts include deferred fees/costs.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57"/>
        </w:trPr>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w w:val="98"/>
              </w:rPr>
              <w:t>Three Months Ended March 31,</w:t>
            </w:r>
          </w:p>
        </w:tc>
        <w:tc>
          <w:tcPr>
            <w:tcW w:w="80" w:type="dxa"/>
            <w:vAlign w:val="bottom"/>
          </w:tcPr>
          <w:p>
            <w:pPr>
              <w:spacing w:after="0"/>
              <w:rPr>
                <w:sz w:val="24"/>
                <w:szCs w:val="24"/>
                <w:color w:val="auto"/>
              </w:rPr>
            </w:pPr>
          </w:p>
        </w:tc>
      </w:tr>
      <w:tr>
        <w:trPr>
          <w:trHeight w:val="151"/>
        </w:trPr>
        <w:tc>
          <w:tcPr>
            <w:tcW w:w="49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r>
      <w:tr>
        <w:trPr>
          <w:trHeight w:val="151"/>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15,997</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14,379</w:t>
            </w:r>
          </w:p>
        </w:tc>
        <w:tc>
          <w:tcPr>
            <w:tcW w:w="8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1,945</w:t>
            </w:r>
          </w:p>
        </w:tc>
        <w:tc>
          <w:tcPr>
            <w:tcW w:w="80" w:type="dxa"/>
            <w:vAlign w:val="bottom"/>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10,176</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9,612</w:t>
            </w:r>
          </w:p>
        </w:tc>
        <w:tc>
          <w:tcPr>
            <w:tcW w:w="8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w:t>
            </w:r>
          </w:p>
        </w:tc>
        <w:tc>
          <w:tcPr>
            <w:tcW w:w="80" w:type="dxa"/>
            <w:vAlign w:val="bottom"/>
            <w:shd w:val="clear" w:color="auto" w:fill="CCEEFF"/>
          </w:tcPr>
          <w:p>
            <w:pPr>
              <w:spacing w:after="0"/>
              <w:rPr>
                <w:sz w:val="14"/>
                <w:szCs w:val="14"/>
                <w:color w:val="auto"/>
              </w:rPr>
            </w:pPr>
          </w:p>
        </w:tc>
      </w:tr>
      <w:tr>
        <w:trPr>
          <w:trHeight w:val="171"/>
        </w:trPr>
        <w:tc>
          <w:tcPr>
            <w:tcW w:w="492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58.88%</w:t>
            </w:r>
          </w:p>
        </w:tc>
        <w:tc>
          <w:tcPr>
            <w:tcW w:w="80" w:type="dxa"/>
            <w:vAlign w:val="bottom"/>
            <w:shd w:val="clear" w:color="auto" w:fill="CCEEFF"/>
          </w:tcPr>
          <w:p>
            <w:pPr>
              <w:spacing w:after="0"/>
              <w:rPr>
                <w:sz w:val="14"/>
                <w:szCs w:val="14"/>
                <w:color w:val="auto"/>
              </w:rPr>
            </w:pPr>
          </w:p>
        </w:tc>
      </w:tr>
      <w:tr>
        <w:trPr>
          <w:trHeight w:val="177"/>
        </w:trPr>
        <w:tc>
          <w:tcPr>
            <w:tcW w:w="492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3.22%</w:t>
            </w:r>
          </w:p>
        </w:tc>
        <w:tc>
          <w:tcPr>
            <w:tcW w:w="80" w:type="dxa"/>
            <w:vAlign w:val="bottom"/>
          </w:tcPr>
          <w:p>
            <w:pPr>
              <w:spacing w:after="0"/>
              <w:rPr>
                <w:sz w:val="15"/>
                <w:szCs w:val="15"/>
                <w:color w:val="auto"/>
              </w:rPr>
            </w:pPr>
          </w:p>
        </w:tc>
      </w:tr>
    </w:tbl>
    <w:p>
      <w:pPr>
        <w:spacing w:after="0" w:line="143"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expenses, and provision for income taxes.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2023 compared to the three months ended March 31, 2022</w:t>
      </w:r>
    </w:p>
    <w:p>
      <w:pPr>
        <w:spacing w:after="0" w:line="163" w:lineRule="exact"/>
        <w:rPr>
          <w:sz w:val="20"/>
          <w:szCs w:val="20"/>
          <w:color w:val="auto"/>
        </w:rPr>
      </w:pPr>
    </w:p>
    <w:p>
      <w:pPr>
        <w:jc w:val="both"/>
        <w:ind w:left="660" w:right="659" w:firstLine="256"/>
        <w:spacing w:after="0" w:line="284" w:lineRule="auto"/>
        <w:rPr>
          <w:sz w:val="20"/>
          <w:szCs w:val="20"/>
          <w:color w:val="auto"/>
        </w:rPr>
      </w:pPr>
      <w:r>
        <w:rPr>
          <w:rFonts w:ascii="Arial" w:cs="Arial" w:eastAsia="Arial" w:hAnsi="Arial"/>
          <w:sz w:val="14"/>
          <w:szCs w:val="14"/>
          <w:color w:val="auto"/>
        </w:rPr>
        <w:t>Net income increased to $5.8 million for the three months ended March 31, 2023 from $4.9 million for the same period in 2022 due to higher interest income generated by a larger loan portfolio and higher yields.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43"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indirect benefit of these non-interest-bearing sources.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143"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The following table contains information related to average balance sheet, average yields on assets, and average costs of liabilities for the periods indicated (dollars in thousands):</w:t>
      </w:r>
    </w:p>
    <w:p>
      <w:pPr>
        <w:spacing w:after="0" w:line="346"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09"/>
        </w:trPr>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ind w:right="143"/>
              <w:spacing w:after="0" w:line="109"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ind w:right="143"/>
              <w:spacing w:after="0" w:line="109"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8"/>
        </w:trPr>
        <w:tc>
          <w:tcPr>
            <w:tcW w:w="26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ind w:left="20"/>
              <w:spacing w:after="0" w:line="138" w:lineRule="exact"/>
              <w:rPr>
                <w:sz w:val="20"/>
                <w:szCs w:val="20"/>
                <w:color w:val="auto"/>
              </w:rPr>
            </w:pPr>
            <w:r>
              <w:rPr>
                <w:rFonts w:ascii="Arial" w:cs="Arial" w:eastAsia="Arial" w:hAnsi="Arial"/>
                <w:sz w:val="11"/>
                <w:szCs w:val="11"/>
                <w:b w:val="1"/>
                <w:bCs w:val="1"/>
                <w:color w:val="auto"/>
                <w:w w:val="93"/>
              </w:rPr>
              <w:t xml:space="preserve">Yield/Rate  </w:t>
            </w:r>
            <w:r>
              <w:rPr>
                <w:rFonts w:ascii="Arial" w:cs="Arial" w:eastAsia="Arial" w:hAnsi="Arial"/>
                <w:sz w:val="14"/>
                <w:szCs w:val="14"/>
                <w:color w:val="auto"/>
                <w:w w:val="93"/>
                <w:vertAlign w:val="superscript"/>
              </w:rPr>
              <w:t>(1)</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ind w:left="20"/>
              <w:spacing w:after="0" w:line="138" w:lineRule="exact"/>
              <w:rPr>
                <w:sz w:val="20"/>
                <w:szCs w:val="20"/>
                <w:color w:val="auto"/>
              </w:rPr>
            </w:pPr>
            <w:r>
              <w:rPr>
                <w:rFonts w:ascii="Arial" w:cs="Arial" w:eastAsia="Arial" w:hAnsi="Arial"/>
                <w:sz w:val="11"/>
                <w:szCs w:val="11"/>
                <w:b w:val="1"/>
                <w:bCs w:val="1"/>
                <w:color w:val="auto"/>
                <w:w w:val="93"/>
              </w:rPr>
              <w:t xml:space="preserve">Yield/Rate  </w:t>
            </w:r>
            <w:r>
              <w:rPr>
                <w:rFonts w:ascii="Arial" w:cs="Arial" w:eastAsia="Arial" w:hAnsi="Arial"/>
                <w:sz w:val="14"/>
                <w:szCs w:val="14"/>
                <w:color w:val="auto"/>
                <w:w w:val="93"/>
                <w:vertAlign w:val="superscript"/>
              </w:rPr>
              <w:t>(1)</w:t>
            </w:r>
          </w:p>
        </w:tc>
        <w:tc>
          <w:tcPr>
            <w:tcW w:w="20" w:type="dxa"/>
            <w:vAlign w:val="bottom"/>
          </w:tcPr>
          <w:p>
            <w:pPr>
              <w:spacing w:after="0"/>
              <w:rPr>
                <w:sz w:val="12"/>
                <w:szCs w:val="12"/>
                <w:color w:val="auto"/>
              </w:rPr>
            </w:pPr>
          </w:p>
        </w:tc>
      </w:tr>
      <w:tr>
        <w:trPr>
          <w:trHeight w:val="151"/>
        </w:trPr>
        <w:tc>
          <w:tcPr>
            <w:tcW w:w="2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(2)</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1,547,393</w:t>
            </w:r>
          </w:p>
        </w:tc>
        <w:tc>
          <w:tcPr>
            <w:tcW w:w="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19,711</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5.17%</w:t>
            </w:r>
          </w:p>
        </w:tc>
        <w:tc>
          <w:tcPr>
            <w:tcW w:w="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1,211,432</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12,982</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421,717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2,286</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510,257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2,329</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1.85%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43,084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90,137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2,012,194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22,379</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4.51%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1,811,826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15,342</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3.43%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108,024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101,658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3"/>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64,436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897,061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4,785</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736,134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551</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224,730</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1.91%</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223,274</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0.47%</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6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1,179,878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5,885</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1,023,844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826</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61,600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497</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1,241,478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6,382</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2.08%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1,059,855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963</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664,369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626,400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25,369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1,936,847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1,711,624</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183,371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201,860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15,997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4"/>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14,379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0"/>
                <w:szCs w:val="10"/>
                <w:color w:val="auto"/>
              </w:rPr>
              <w:t xml:space="preserve">Net interest spread </w:t>
            </w:r>
            <w:r>
              <w:rPr>
                <w:rFonts w:ascii="Arial" w:cs="Arial" w:eastAsia="Arial" w:hAnsi="Arial"/>
                <w:sz w:val="12"/>
                <w:szCs w:val="12"/>
                <w:color w:val="auto"/>
                <w:vertAlign w:val="superscript"/>
              </w:rPr>
              <w:t>(4)</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2.43%</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3.07%</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25" w:lineRule="exact"/>
        <w:rPr>
          <w:sz w:val="20"/>
          <w:szCs w:val="20"/>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total interest-earning assets.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2023 compared to the three months ended March 31, 2022</w:t>
      </w:r>
    </w:p>
    <w:p>
      <w:pPr>
        <w:spacing w:after="0" w:line="174"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Net interest income before the provision for credit losses was $16.0 million for the three months ended March 31, 2023, an increase of $1.6 million or 11.3%, from $14.4 million for the same period in 2022. This increase was primarily attributable to higher income from a larger loan portfolio combined with an increase in the weighted average loan yield.</w:t>
      </w:r>
    </w:p>
    <w:p>
      <w:pPr>
        <w:spacing w:after="0" w:line="126" w:lineRule="exact"/>
        <w:rPr>
          <w:sz w:val="20"/>
          <w:szCs w:val="20"/>
          <w:color w:val="auto"/>
        </w:rPr>
      </w:pPr>
    </w:p>
    <w:p>
      <w:pPr>
        <w:jc w:val="both"/>
        <w:ind w:left="660" w:right="679" w:firstLine="256"/>
        <w:spacing w:after="0" w:line="284" w:lineRule="auto"/>
        <w:rPr>
          <w:sz w:val="20"/>
          <w:szCs w:val="20"/>
          <w:color w:val="auto"/>
        </w:rPr>
      </w:pPr>
      <w:r>
        <w:rPr>
          <w:rFonts w:ascii="Arial" w:cs="Arial" w:eastAsia="Arial" w:hAnsi="Arial"/>
          <w:sz w:val="14"/>
          <w:szCs w:val="14"/>
          <w:color w:val="auto"/>
        </w:rPr>
        <w:t>Included with loan interest income are PPP interest and loan fees totaling $1 thousand and $1.0 million for the three months ended March 31, 2023 and 2022, respectively. PPP loan fees are recognized upon loan forgiveness by the SBA.</w:t>
      </w:r>
    </w:p>
    <w:p>
      <w:pPr>
        <w:spacing w:after="0" w:line="110"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Net interest margin was at 3.22% for both the quarters ended March 31, 2023 and 2022. The increase in loan yields was partially offset by higher interest-bearing liabilities cost. Increase in deposit cost was mainly attributed to current interest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6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provision for credit losses represents a charge to earnings necessary to establish an allowance for credit losses that, in management's evaluation, is adequate to provide coverage for all expected credit losses. The provision for credit losses is impacted by growth in our loan portfolio, recent historical and projected future economic conditions, our internal assessment of the credit quality of the loan portfolio and net charge-offs.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2023 compared to the three months ended March 31, 2022</w:t>
      </w:r>
    </w:p>
    <w:p>
      <w:pPr>
        <w:spacing w:after="0" w:line="174" w:lineRule="exact"/>
        <w:rPr>
          <w:sz w:val="20"/>
          <w:szCs w:val="20"/>
          <w:color w:val="auto"/>
        </w:rPr>
      </w:pPr>
    </w:p>
    <w:p>
      <w:pPr>
        <w:jc w:val="both"/>
        <w:ind w:left="660" w:right="659" w:firstLine="256"/>
        <w:spacing w:after="0" w:line="268" w:lineRule="auto"/>
        <w:rPr>
          <w:sz w:val="20"/>
          <w:szCs w:val="20"/>
          <w:color w:val="auto"/>
        </w:rPr>
      </w:pPr>
      <w:r>
        <w:rPr>
          <w:rFonts w:ascii="Arial" w:cs="Arial" w:eastAsia="Arial" w:hAnsi="Arial"/>
          <w:sz w:val="14"/>
          <w:szCs w:val="14"/>
          <w:color w:val="auto"/>
        </w:rPr>
        <w:t>The provision for credit loss was $ 201 thousand for the three months ended March 31, 2023 compared to no provision recorded for the same period in 2022. The primary driver of the provision expense in 2023 was attributable to loan growth.</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“Allowance for Credit Losses” below for further discussion on how the ACL is calculated.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65"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our swap and SBA programs. In addition, we own and are beneficiaries of the life insurance policies on some of our employees and generate income on the increase in the cash surrender value of these policies.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5400" w:type="dxa"/>
            <w:vAlign w:val="bottom"/>
          </w:tcPr>
          <w:p>
            <w:pPr>
              <w:spacing w:after="0"/>
              <w:rPr>
                <w:sz w:val="14"/>
                <w:szCs w:val="14"/>
                <w:color w:val="auto"/>
              </w:rPr>
            </w:pPr>
          </w:p>
        </w:tc>
        <w:tc>
          <w:tcPr>
            <w:tcW w:w="2220" w:type="dxa"/>
            <w:vAlign w:val="bottom"/>
            <w:tcBorders>
              <w:bottom w:val="single" w:sz="8" w:color="auto"/>
            </w:tcBorders>
            <w:gridSpan w:val="6"/>
          </w:tcPr>
          <w:p>
            <w:pPr>
              <w:jc w:val="right"/>
              <w:ind w:right="96"/>
              <w:spacing w:after="0"/>
              <w:rPr>
                <w:sz w:val="20"/>
                <w:szCs w:val="20"/>
                <w:color w:val="auto"/>
              </w:rPr>
            </w:pPr>
            <w:r>
              <w:rPr>
                <w:rFonts w:ascii="Arial" w:cs="Arial" w:eastAsia="Arial" w:hAnsi="Arial"/>
                <w:sz w:val="13"/>
                <w:szCs w:val="13"/>
                <w:b w:val="1"/>
                <w:bCs w:val="1"/>
                <w:color w:val="auto"/>
              </w:rPr>
              <w:t>Three Months Ended 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54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5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Service fees</w:t>
            </w: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1"/>
        </w:trPr>
        <w:tc>
          <w:tcPr>
            <w:tcW w:w="5400" w:type="dxa"/>
            <w:vAlign w:val="bottom"/>
          </w:tcPr>
          <w:p>
            <w:pPr>
              <w:spacing w:after="0"/>
              <w:rPr>
                <w:sz w:val="20"/>
                <w:szCs w:val="20"/>
                <w:color w:val="auto"/>
              </w:rPr>
            </w:pPr>
            <w:r>
              <w:rPr>
                <w:rFonts w:ascii="Arial" w:cs="Arial" w:eastAsia="Arial" w:hAnsi="Arial"/>
                <w:sz w:val="13"/>
                <w:szCs w:val="13"/>
                <w:color w:val="auto"/>
              </w:rPr>
              <w:t>Gain (loss) on sale of securities available for sale, net</w:t>
            </w:r>
          </w:p>
        </w:tc>
        <w:tc>
          <w:tcPr>
            <w:tcW w:w="7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loans held for sale, net</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Arial" w:cs="Arial" w:eastAsia="Arial" w:hAnsi="Arial"/>
                <w:sz w:val="13"/>
                <w:szCs w:val="13"/>
                <w:color w:val="auto"/>
              </w:rPr>
              <w:t>Loan settlement</w:t>
            </w:r>
          </w:p>
        </w:tc>
        <w:tc>
          <w:tcPr>
            <w:tcW w:w="7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 non-interest income</w:t>
            </w:r>
          </w:p>
        </w:tc>
        <w:tc>
          <w:tcPr>
            <w:tcW w:w="7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40"/>
        </w:trPr>
        <w:tc>
          <w:tcPr>
            <w:tcW w:w="5400" w:type="dxa"/>
            <w:vAlign w:val="bottom"/>
          </w:tcPr>
          <w:p>
            <w:pPr>
              <w:ind w:left="100"/>
              <w:spacing w:after="0" w:line="140" w:lineRule="exact"/>
              <w:rPr>
                <w:sz w:val="20"/>
                <w:szCs w:val="20"/>
                <w:color w:val="auto"/>
              </w:rPr>
            </w:pPr>
            <w:r>
              <w:rPr>
                <w:rFonts w:ascii="Arial" w:cs="Arial" w:eastAsia="Arial" w:hAnsi="Arial"/>
                <w:sz w:val="13"/>
                <w:szCs w:val="13"/>
                <w:color w:val="auto"/>
              </w:rPr>
              <w:t>Total non-interest income</w:t>
            </w:r>
          </w:p>
        </w:tc>
        <w:tc>
          <w:tcPr>
            <w:tcW w:w="700" w:type="dxa"/>
            <w:vAlign w:val="bottom"/>
          </w:tcPr>
          <w:p>
            <w:pPr>
              <w:jc w:val="right"/>
              <w:ind w:right="556"/>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line="140" w:lineRule="exact"/>
              <w:rPr>
                <w:sz w:val="20"/>
                <w:szCs w:val="20"/>
                <w:color w:val="auto"/>
              </w:rPr>
            </w:pPr>
            <w:r>
              <w:rPr>
                <w:rFonts w:ascii="Arial" w:cs="Arial" w:eastAsia="Arial" w:hAnsi="Arial"/>
                <w:sz w:val="13"/>
                <w:szCs w:val="13"/>
                <w:color w:val="auto"/>
                <w:w w:val="98"/>
              </w:rPr>
              <w:t>2,070</w:t>
            </w:r>
          </w:p>
        </w:tc>
        <w:tc>
          <w:tcPr>
            <w:tcW w:w="20" w:type="dxa"/>
            <w:vAlign w:val="bottom"/>
          </w:tcPr>
          <w:p>
            <w:pPr>
              <w:spacing w:after="0"/>
              <w:rPr>
                <w:sz w:val="12"/>
                <w:szCs w:val="12"/>
                <w:color w:val="auto"/>
              </w:rPr>
            </w:pPr>
          </w:p>
        </w:tc>
        <w:tc>
          <w:tcPr>
            <w:tcW w:w="280" w:type="dxa"/>
            <w:vAlign w:val="bottom"/>
            <w:gridSpan w:val="2"/>
          </w:tcPr>
          <w:p>
            <w:pPr>
              <w:jc w:val="right"/>
              <w:ind w:right="96"/>
              <w:spacing w:after="0" w:line="140"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0" w:lineRule="exact"/>
              <w:rPr>
                <w:sz w:val="20"/>
                <w:szCs w:val="20"/>
                <w:color w:val="auto"/>
              </w:rPr>
            </w:pPr>
            <w:r>
              <w:rPr>
                <w:rFonts w:ascii="Arial" w:cs="Arial" w:eastAsia="Arial" w:hAnsi="Arial"/>
                <w:sz w:val="13"/>
                <w:szCs w:val="13"/>
                <w:color w:val="auto"/>
              </w:rPr>
              <w:t>1,945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2023 compared to the three months ended March 31, 2022</w:t>
      </w:r>
    </w:p>
    <w:p>
      <w:pPr>
        <w:spacing w:after="0" w:line="163"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Non-interest income for the three months ended March 31, 2023 increased $125 thousand or 6.4%, compared to the same period in 2022. This increase was primarily driven by a $305 thousand increase in fees related to SWAP loans. For the period ended March 31, 2022 the Company recognized $161 thousand interest recovery from a prior lending customer of the Bank. This payment reflected the final payment and settlement of lien judgements against the customer.</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ectPr>
          <w:pgSz w:w="11900" w:h="16838" w:orient="portrait"/>
          <w:cols w:equalWidth="0" w:num="1">
            <w:col w:w="9019"/>
          </w:cols>
          <w:pgMar w:left="1440" w:top="481"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Salaries and employee benefits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Occupancy</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Regulatory assessment and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Consulting and legal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Network and information technology services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operating</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expense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6,377</w:t>
            </w:r>
          </w:p>
        </w:tc>
        <w:tc>
          <w:tcPr>
            <w:tcW w:w="2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5,875</w:t>
            </w:r>
          </w:p>
        </w:tc>
        <w:tc>
          <w:tcPr>
            <w:tcW w:w="2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224</w:t>
            </w:r>
          </w:p>
        </w:tc>
        <w:tc>
          <w:tcPr>
            <w:tcW w:w="2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478</w:t>
            </w:r>
          </w:p>
        </w:tc>
        <w:tc>
          <w:tcPr>
            <w:tcW w:w="2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387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9"/>
        </w:trPr>
        <w:tc>
          <w:tcPr>
            <w:tcW w:w="20" w:type="dxa"/>
            <w:vAlign w:val="bottom"/>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10,176</w:t>
            </w:r>
          </w:p>
        </w:tc>
        <w:tc>
          <w:tcPr>
            <w:tcW w:w="100" w:type="dxa"/>
            <w:vAlign w:val="bottom"/>
            <w:tcBorders>
              <w:right w:val="single" w:sz="8" w:color="CCEEFF"/>
            </w:tcBorders>
            <w:gridSpan w:val="2"/>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9,612</w:t>
            </w:r>
          </w:p>
        </w:tc>
        <w:tc>
          <w:tcPr>
            <w:tcW w:w="2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ectPr>
          <w:pgSz w:w="11900" w:h="16838" w:orient="portrait"/>
          <w:cols w:equalWidth="0" w:num="2">
            <w:col w:w="5340" w:space="720"/>
            <w:col w:w="2959"/>
          </w:cols>
          <w:pgMar w:left="1440" w:top="481" w:right="1440" w:bottom="1440" w:gutter="0" w:footer="0" w:header="0"/>
          <w:type w:val="continuous"/>
        </w:sectPr>
      </w:pPr>
    </w:p>
    <w:p>
      <w:pPr>
        <w:ind w:left="660"/>
        <w:spacing w:after="0"/>
        <w:rPr>
          <w:sz w:val="20"/>
          <w:szCs w:val="20"/>
          <w:color w:val="auto"/>
        </w:rPr>
      </w:pPr>
      <w:r>
        <w:rPr>
          <w:rFonts w:ascii="Arial" w:cs="Arial" w:eastAsia="Arial" w:hAnsi="Arial"/>
          <w:sz w:val="14"/>
          <w:szCs w:val="14"/>
          <w:i w:val="1"/>
          <w:iCs w:val="1"/>
          <w:color w:val="auto"/>
        </w:rPr>
        <w:t>Three months ended March 31, 2023 compared to the three months ended March 31, 2022</w:t>
      </w:r>
    </w:p>
    <w:p>
      <w:pPr>
        <w:spacing w:after="0" w:line="163"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Non-interest expense for the three months ended March 31, 2023 increased $564 thousand or 5.9%, compared to the same period in 2022. The increase was primarily driven by higher salaries and employee benefits expense due to new hires and increased salary compensation.</w:t>
      </w:r>
    </w:p>
    <w:p>
      <w:pPr>
        <w:spacing w:after="0" w:line="200" w:lineRule="exact"/>
        <w:rPr>
          <w:sz w:val="20"/>
          <w:szCs w:val="20"/>
          <w:color w:val="auto"/>
        </w:rPr>
      </w:pPr>
    </w:p>
    <w:p>
      <w:pPr>
        <w:spacing w:after="0" w:line="342"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type w:val="continuous"/>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6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2023 compared to the three months ended March 31, 2022</w:t>
      </w:r>
    </w:p>
    <w:p>
      <w:pPr>
        <w:spacing w:after="0" w:line="174" w:lineRule="exact"/>
        <w:rPr>
          <w:sz w:val="20"/>
          <w:szCs w:val="20"/>
          <w:color w:val="auto"/>
        </w:rPr>
      </w:pPr>
    </w:p>
    <w:p>
      <w:pPr>
        <w:jc w:val="both"/>
        <w:ind w:left="660" w:right="659" w:firstLine="299"/>
        <w:spacing w:after="0" w:line="253" w:lineRule="auto"/>
        <w:rPr>
          <w:sz w:val="20"/>
          <w:szCs w:val="20"/>
          <w:color w:val="auto"/>
        </w:rPr>
      </w:pPr>
      <w:r>
        <w:rPr>
          <w:rFonts w:ascii="Arial" w:cs="Arial" w:eastAsia="Arial" w:hAnsi="Arial"/>
          <w:sz w:val="14"/>
          <w:szCs w:val="14"/>
          <w:color w:val="auto"/>
        </w:rPr>
        <w:t>Income tax expense for both the quarters ended March 31, 2023 and 2022 was $1.9 million. The effective tax rate for the three months ended March 31, 2023 was 24.5% compared to 27.7% for the same period in 2022. The Company’s effective tax rate in the quarter ended March 31, 2022 was higher primarily because the Company recorded a one-time adjustment of $300 thousand to deferred tax assets which increased the income tax provision.</w:t>
      </w:r>
    </w:p>
    <w:p>
      <w:pPr>
        <w:spacing w:after="0" w:line="132" w:lineRule="exact"/>
        <w:rPr>
          <w:sz w:val="20"/>
          <w:szCs w:val="20"/>
          <w:color w:val="auto"/>
        </w:rPr>
      </w:pPr>
    </w:p>
    <w:p>
      <w:pPr>
        <w:ind w:left="660" w:right="679" w:firstLine="256"/>
        <w:spacing w:after="0" w:line="284"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this Form 10-Q.</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8" w:lineRule="exact"/>
        <w:rPr>
          <w:sz w:val="20"/>
          <w:szCs w:val="20"/>
          <w:color w:val="auto"/>
        </w:rPr>
      </w:pPr>
    </w:p>
    <w:p>
      <w:pPr>
        <w:ind w:left="660" w:right="639" w:firstLine="256"/>
        <w:spacing w:after="0" w:line="253" w:lineRule="auto"/>
        <w:rPr>
          <w:sz w:val="20"/>
          <w:szCs w:val="20"/>
          <w:color w:val="auto"/>
        </w:rPr>
      </w:pPr>
      <w:r>
        <w:rPr>
          <w:rFonts w:ascii="Arial" w:cs="Arial" w:eastAsia="Arial" w:hAnsi="Arial"/>
          <w:sz w:val="14"/>
          <w:szCs w:val="14"/>
          <w:color w:val="auto"/>
        </w:rPr>
        <w:t>Total assets at March 31, 2023 were $2.2 billion, an increase of $78.0 million, or 3.7%, over total assets of $2.1 billion at December 31, 2022. Total loans increased $73.1 million, or 4.8%, to $1.6 billion at March 31, 2023 compared to $1.5 billion at December 31, 2022. Total deposits increased by $1.2 million to $1.8 billion at March 31, 2023 compared to December 31, 2022.</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6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 consideration the Company’s risk appetite and tolerance, manage the asset composition and diversification, and maintain adequate risk-based capital ratios.</w:t>
      </w:r>
    </w:p>
    <w:p>
      <w:pPr>
        <w:spacing w:after="0" w:line="133"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investment guidelines,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4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U.S.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 the ALCO of the Company to ensure an appropriate risk and return profile as well as for adherence to the investment policy.</w:t>
      </w:r>
    </w:p>
    <w:p>
      <w:pPr>
        <w:spacing w:after="0" w:line="14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ASC Topic 326 amended the existing other-than-temporary-impairment guidance for AFS securities, requiring credit losses to be recorded as an allowance rather than through a permanent write-down. When evaluating AFS debt securities under ASC Topic 326, the Company has evaluated whether the decline in fair value is attributed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depreciations over its holding period as it moves to maturity and the Company has the intent and ability to hold these securities to maturity if necessary. As a result of this evaluation, the Company concluded that no allowance was appropriate.</w:t>
      </w:r>
    </w:p>
    <w:p>
      <w:pPr>
        <w:spacing w:after="0" w:line="147"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AFS and HTM investment securities decreased $3.0 million or 1.0% to $415.8 million at March 31, 2023 from $418.8 million at December 31, 2022. Investment securities decreased due to payments received and sales of securities during the quarter. Management reinvested excess cash balances into high credit quality investments to increase the Company’s profitability and modify the Company’s balance sheet duration according to the ALM policy. As of March 31,</w:t>
      </w:r>
    </w:p>
    <w:p>
      <w:pPr>
        <w:spacing w:after="0" w:line="239"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68" w:lineRule="auto"/>
        <w:rPr>
          <w:sz w:val="20"/>
          <w:szCs w:val="20"/>
          <w:color w:val="auto"/>
        </w:rPr>
      </w:pPr>
      <w:r>
        <w:rPr>
          <w:rFonts w:ascii="Arial" w:cs="Arial" w:eastAsia="Arial" w:hAnsi="Arial"/>
          <w:sz w:val="14"/>
          <w:szCs w:val="14"/>
          <w:color w:val="auto"/>
        </w:rPr>
        <w:t>2023, investment securities with a market value of $83.5 million were pledged to secure public deposits and Fed Borrowing Program. The investment portfolio does not have any tax-exempt securities.</w:t>
      </w:r>
    </w:p>
    <w:p>
      <w:pPr>
        <w:spacing w:after="0" w:line="131" w:lineRule="exact"/>
        <w:rPr>
          <w:sz w:val="20"/>
          <w:szCs w:val="20"/>
          <w:color w:val="auto"/>
        </w:rPr>
      </w:pPr>
    </w:p>
    <w:p>
      <w:pPr>
        <w:ind w:left="660" w:right="639" w:firstLine="256"/>
        <w:spacing w:after="0" w:line="268"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436"/>
              <w:spacing w:after="0"/>
              <w:rPr>
                <w:sz w:val="20"/>
                <w:szCs w:val="20"/>
                <w:color w:val="auto"/>
              </w:rPr>
            </w:pPr>
            <w:r>
              <w:rPr>
                <w:rFonts w:ascii="Arial" w:cs="Arial" w:eastAsia="Arial" w:hAnsi="Arial"/>
                <w:sz w:val="13"/>
                <w:szCs w:val="13"/>
                <w:b w:val="1"/>
                <w:bCs w:val="1"/>
                <w:color w:val="auto"/>
              </w:rPr>
              <w:t>March 31, 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29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8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110,180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88,837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118,951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95,541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72,690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60,566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60,879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37,043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32,600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32,244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27,954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16,831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15,497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4,035</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276,027</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229,409</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280,295</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8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44,792</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39,736</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44,914</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39,062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Treasury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67,404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60,546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68,727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60,925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41,842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38,088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42,685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11,399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10,755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11,442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11,040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186,428</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169,167</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188,699</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169,088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60" w:right="659" w:firstLine="256"/>
        <w:spacing w:after="0" w:line="268"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March 31, 2023 (in thousands, except ratios):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14"/>
          </w:tcPr>
          <w:p>
            <w:pPr>
              <w:ind w:left="20"/>
              <w:spacing w:after="0"/>
              <w:rPr>
                <w:sz w:val="20"/>
                <w:szCs w:val="20"/>
                <w:color w:val="auto"/>
              </w:rPr>
            </w:pPr>
            <w:r>
              <w:rPr>
                <w:rFonts w:ascii="Arial" w:cs="Arial" w:eastAsia="Arial" w:hAnsi="Arial"/>
                <w:sz w:val="11"/>
                <w:szCs w:val="11"/>
                <w:b w:val="1"/>
                <w:bCs w:val="1"/>
                <w:color w:val="auto"/>
              </w:rPr>
              <w:t>After 1 year through  After 5 years through</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6"/>
          </w:tcPr>
          <w:p>
            <w:pPr>
              <w:jc w:val="right"/>
              <w:ind w:right="303"/>
              <w:spacing w:after="0"/>
              <w:rPr>
                <w:sz w:val="20"/>
                <w:szCs w:val="20"/>
                <w:color w:val="auto"/>
              </w:rPr>
            </w:pPr>
            <w:r>
              <w:rPr>
                <w:rFonts w:ascii="Arial" w:cs="Arial" w:eastAsia="Arial" w:hAnsi="Arial"/>
                <w:sz w:val="11"/>
                <w:szCs w:val="11"/>
                <w:b w:val="1"/>
                <w:bCs w:val="1"/>
                <w:color w:val="auto"/>
              </w:rPr>
              <w:t>Within 1 year</w:t>
            </w:r>
          </w:p>
        </w:tc>
        <w:tc>
          <w:tcPr>
            <w:tcW w:w="640" w:type="dxa"/>
            <w:vAlign w:val="bottom"/>
            <w:gridSpan w:val="3"/>
          </w:tcPr>
          <w:p>
            <w:pPr>
              <w:ind w:left="260"/>
              <w:spacing w:after="0"/>
              <w:rPr>
                <w:sz w:val="20"/>
                <w:szCs w:val="20"/>
                <w:color w:val="auto"/>
              </w:rPr>
            </w:pPr>
            <w:r>
              <w:rPr>
                <w:rFonts w:ascii="Arial" w:cs="Arial" w:eastAsia="Arial" w:hAnsi="Arial"/>
                <w:sz w:val="11"/>
                <w:szCs w:val="11"/>
                <w:b w:val="1"/>
                <w:bCs w:val="1"/>
                <w:color w:val="auto"/>
                <w:w w:val="94"/>
              </w:rPr>
              <w:t>5 years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6"/>
          </w:tcPr>
          <w:p>
            <w:pPr>
              <w:jc w:val="right"/>
              <w:ind w:right="443"/>
              <w:spacing w:after="0"/>
              <w:rPr>
                <w:sz w:val="20"/>
                <w:szCs w:val="20"/>
                <w:color w:val="auto"/>
              </w:rPr>
            </w:pPr>
            <w:r>
              <w:rPr>
                <w:rFonts w:ascii="Arial" w:cs="Arial" w:eastAsia="Arial" w:hAnsi="Arial"/>
                <w:sz w:val="11"/>
                <w:szCs w:val="11"/>
                <w:b w:val="1"/>
                <w:bCs w:val="1"/>
                <w:color w:val="auto"/>
              </w:rPr>
              <w:t>10 years</w:t>
            </w:r>
          </w:p>
        </w:tc>
        <w:tc>
          <w:tcPr>
            <w:tcW w:w="1160" w:type="dxa"/>
            <w:vAlign w:val="bottom"/>
            <w:gridSpan w:val="6"/>
          </w:tcPr>
          <w:p>
            <w:pPr>
              <w:ind w:left="80"/>
              <w:spacing w:after="0"/>
              <w:rPr>
                <w:sz w:val="20"/>
                <w:szCs w:val="20"/>
                <w:color w:val="auto"/>
              </w:rPr>
            </w:pPr>
            <w:r>
              <w:rPr>
                <w:rFonts w:ascii="Arial" w:cs="Arial" w:eastAsia="Arial" w:hAnsi="Arial"/>
                <w:sz w:val="11"/>
                <w:szCs w:val="11"/>
                <w:b w:val="1"/>
                <w:bCs w:val="1"/>
                <w:color w:val="auto"/>
              </w:rPr>
              <w:t>After 10 years</w:t>
            </w:r>
          </w:p>
        </w:tc>
        <w:tc>
          <w:tcPr>
            <w:tcW w:w="620" w:type="dxa"/>
            <w:vAlign w:val="bottom"/>
            <w:gridSpan w:val="3"/>
          </w:tcPr>
          <w:p>
            <w:pPr>
              <w:ind w:left="32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18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Amortized</w:t>
            </w: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8"/>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4"/>
          </w:tcPr>
          <w:p>
            <w:pPr>
              <w:jc w:val="right"/>
              <w:ind w:right="183"/>
              <w:spacing w:after="0"/>
              <w:rPr>
                <w:sz w:val="20"/>
                <w:szCs w:val="20"/>
                <w:color w:val="auto"/>
              </w:rPr>
            </w:pPr>
            <w:r>
              <w:rPr>
                <w:rFonts w:ascii="Arial" w:cs="Arial" w:eastAsia="Arial" w:hAnsi="Arial"/>
                <w:sz w:val="11"/>
                <w:szCs w:val="11"/>
                <w:b w:val="1"/>
                <w:bCs w:val="1"/>
                <w:color w:val="auto"/>
              </w:rPr>
              <w:t>Yield</w:t>
            </w:r>
          </w:p>
        </w:tc>
        <w:tc>
          <w:tcPr>
            <w:tcW w:w="640" w:type="dxa"/>
            <w:vAlign w:val="bottom"/>
            <w:gridSpan w:val="3"/>
          </w:tcPr>
          <w:p>
            <w:pPr>
              <w:ind w:left="80"/>
              <w:spacing w:after="0"/>
              <w:rPr>
                <w:sz w:val="20"/>
                <w:szCs w:val="20"/>
                <w:color w:val="auto"/>
              </w:rPr>
            </w:pPr>
            <w:r>
              <w:rPr>
                <w:rFonts w:ascii="Arial" w:cs="Arial" w:eastAsia="Arial" w:hAnsi="Arial"/>
                <w:sz w:val="11"/>
                <w:szCs w:val="11"/>
                <w:b w:val="1"/>
                <w:bCs w:val="1"/>
                <w:color w:val="auto"/>
              </w:rPr>
              <w:t>Cost</w:t>
            </w:r>
          </w:p>
        </w:tc>
        <w:tc>
          <w:tcPr>
            <w:tcW w:w="520" w:type="dxa"/>
            <w:vAlign w:val="bottom"/>
            <w:gridSpan w:val="4"/>
          </w:tcPr>
          <w:p>
            <w:pPr>
              <w:jc w:val="right"/>
              <w:ind w:right="183"/>
              <w:spacing w:after="0"/>
              <w:rPr>
                <w:sz w:val="20"/>
                <w:szCs w:val="20"/>
                <w:color w:val="auto"/>
              </w:rPr>
            </w:pPr>
            <w:r>
              <w:rPr>
                <w:rFonts w:ascii="Arial" w:cs="Arial" w:eastAsia="Arial" w:hAnsi="Arial"/>
                <w:sz w:val="11"/>
                <w:szCs w:val="11"/>
                <w:b w:val="1"/>
                <w:bCs w:val="1"/>
                <w:color w:val="auto"/>
                <w:w w:val="98"/>
              </w:rPr>
              <w:t>Yield</w:t>
            </w:r>
          </w:p>
        </w:tc>
        <w:tc>
          <w:tcPr>
            <w:tcW w:w="56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4"/>
          </w:tcPr>
          <w:p>
            <w:pPr>
              <w:jc w:val="right"/>
              <w:ind w:right="183"/>
              <w:spacing w:after="0"/>
              <w:rPr>
                <w:sz w:val="20"/>
                <w:szCs w:val="20"/>
                <w:color w:val="auto"/>
              </w:rPr>
            </w:pPr>
            <w:r>
              <w:rPr>
                <w:rFonts w:ascii="Arial" w:cs="Arial" w:eastAsia="Arial" w:hAnsi="Arial"/>
                <w:sz w:val="11"/>
                <w:szCs w:val="11"/>
                <w:b w:val="1"/>
                <w:bCs w:val="1"/>
                <w:color w:val="auto"/>
              </w:rPr>
              <w:t>Yield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4"/>
          </w:tcPr>
          <w:p>
            <w:pPr>
              <w:jc w:val="right"/>
              <w:ind w:right="183"/>
              <w:spacing w:after="0"/>
              <w:rPr>
                <w:sz w:val="20"/>
                <w:szCs w:val="20"/>
                <w:color w:val="auto"/>
              </w:rPr>
            </w:pPr>
            <w:r>
              <w:rPr>
                <w:rFonts w:ascii="Arial" w:cs="Arial" w:eastAsia="Arial" w:hAnsi="Arial"/>
                <w:sz w:val="11"/>
                <w:szCs w:val="11"/>
                <w:b w:val="1"/>
                <w:bCs w:val="1"/>
                <w:color w:val="auto"/>
              </w:rPr>
              <w:t>Yield</w:t>
            </w:r>
          </w:p>
        </w:tc>
        <w:tc>
          <w:tcPr>
            <w:tcW w:w="6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7"/>
              </w:rPr>
              <w:t>Cost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Yield</w:t>
            </w: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20" w:type="dxa"/>
            <w:vAlign w:val="bottom"/>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0.00% $</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4"/>
          </w:tcPr>
          <w:p>
            <w:pPr>
              <w:jc w:val="right"/>
              <w:ind w:right="3"/>
              <w:spacing w:after="0"/>
              <w:rPr>
                <w:sz w:val="20"/>
                <w:szCs w:val="20"/>
                <w:color w:val="auto"/>
              </w:rPr>
            </w:pPr>
            <w:r>
              <w:rPr>
                <w:rFonts w:ascii="Arial" w:cs="Arial" w:eastAsia="Arial" w:hAnsi="Arial"/>
                <w:sz w:val="11"/>
                <w:szCs w:val="11"/>
                <w:color w:val="auto"/>
              </w:rPr>
              <w:t>0.00% $</w:t>
            </w:r>
          </w:p>
        </w:tc>
        <w:tc>
          <w:tcPr>
            <w:tcW w:w="560" w:type="dxa"/>
            <w:vAlign w:val="bottom"/>
          </w:tcPr>
          <w:p>
            <w:pPr>
              <w:jc w:val="right"/>
              <w:spacing w:after="0"/>
              <w:rPr>
                <w:sz w:val="20"/>
                <w:szCs w:val="20"/>
                <w:color w:val="auto"/>
              </w:rPr>
            </w:pPr>
            <w:r>
              <w:rPr>
                <w:rFonts w:ascii="Arial" w:cs="Arial" w:eastAsia="Arial" w:hAnsi="Arial"/>
                <w:sz w:val="11"/>
                <w:szCs w:val="11"/>
                <w:color w:val="auto"/>
              </w:rPr>
              <w:t>2,352</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3.18% $</w:t>
            </w:r>
          </w:p>
        </w:tc>
        <w:tc>
          <w:tcPr>
            <w:tcW w:w="520" w:type="dxa"/>
            <w:vAlign w:val="bottom"/>
          </w:tcPr>
          <w:p>
            <w:pPr>
              <w:jc w:val="right"/>
              <w:spacing w:after="0"/>
              <w:rPr>
                <w:sz w:val="20"/>
                <w:szCs w:val="20"/>
                <w:color w:val="auto"/>
              </w:rPr>
            </w:pPr>
            <w:r>
              <w:rPr>
                <w:rFonts w:ascii="Arial" w:cs="Arial" w:eastAsia="Arial" w:hAnsi="Arial"/>
                <w:sz w:val="11"/>
                <w:szCs w:val="11"/>
                <w:color w:val="auto"/>
              </w:rPr>
              <w:t>7,832</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2.04% $</w:t>
            </w:r>
          </w:p>
        </w:tc>
        <w:tc>
          <w:tcPr>
            <w:tcW w:w="520" w:type="dxa"/>
            <w:vAlign w:val="bottom"/>
          </w:tcPr>
          <w:p>
            <w:pPr>
              <w:jc w:val="right"/>
              <w:spacing w:after="0"/>
              <w:rPr>
                <w:sz w:val="20"/>
                <w:szCs w:val="20"/>
                <w:color w:val="auto"/>
              </w:rPr>
            </w:pPr>
            <w:r>
              <w:rPr>
                <w:rFonts w:ascii="Arial" w:cs="Arial" w:eastAsia="Arial" w:hAnsi="Arial"/>
                <w:sz w:val="11"/>
                <w:szCs w:val="11"/>
                <w:color w:val="auto"/>
              </w:rPr>
              <w:t>10,184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2.30%</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Treasury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auto"/>
              </w:rPr>
              <w:t>110,180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110,180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1.40%</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residential</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72,690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72,690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1.67%</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37,043</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2.17%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37,043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2.17%</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Municipal securities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25,064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1.74%</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Bank subordinated debt securities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16,831</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4.99%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16,831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4.99%</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2.50%</w:t>
            </w:r>
          </w:p>
        </w:tc>
      </w:tr>
      <w:tr>
        <w:trPr>
          <w:trHeight w:val="191"/>
        </w:trPr>
        <w:tc>
          <w:tcPr>
            <w:tcW w:w="1860" w:type="dxa"/>
            <w:vAlign w:val="bottom"/>
          </w:tcPr>
          <w:p>
            <w:pPr>
              <w:spacing w:after="0"/>
              <w:rPr>
                <w:sz w:val="16"/>
                <w:szCs w:val="16"/>
                <w:color w:val="auto"/>
              </w:rPr>
            </w:pPr>
          </w:p>
        </w:tc>
        <w:tc>
          <w:tcPr>
            <w:tcW w:w="120" w:type="dxa"/>
            <w:vAlign w:val="bottom"/>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4,035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4"/>
          </w:tcPr>
          <w:p>
            <w:pPr>
              <w:jc w:val="right"/>
              <w:ind w:right="3"/>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20,183</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251,809</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276,027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1.87%</w:t>
            </w:r>
          </w:p>
        </w:tc>
      </w:tr>
      <w:tr>
        <w:trPr>
          <w:trHeight w:val="111"/>
        </w:trPr>
        <w:tc>
          <w:tcPr>
            <w:tcW w:w="186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Held-to-maturity:</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20" w:type="dxa"/>
            <w:vAlign w:val="bottom"/>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0.00% $</w:t>
            </w:r>
          </w:p>
        </w:tc>
        <w:tc>
          <w:tcPr>
            <w:tcW w:w="520" w:type="dxa"/>
            <w:vAlign w:val="bottom"/>
          </w:tcPr>
          <w:p>
            <w:pPr>
              <w:jc w:val="right"/>
              <w:spacing w:after="0"/>
              <w:rPr>
                <w:sz w:val="20"/>
                <w:szCs w:val="20"/>
                <w:color w:val="auto"/>
              </w:rPr>
            </w:pPr>
            <w:r>
              <w:rPr>
                <w:rFonts w:ascii="Arial" w:cs="Arial" w:eastAsia="Arial" w:hAnsi="Arial"/>
                <w:sz w:val="11"/>
                <w:szCs w:val="11"/>
                <w:color w:val="auto"/>
              </w:rPr>
              <w:t>7,909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4"/>
          </w:tcPr>
          <w:p>
            <w:pPr>
              <w:jc w:val="right"/>
              <w:ind w:right="3"/>
              <w:spacing w:after="0"/>
              <w:rPr>
                <w:sz w:val="20"/>
                <w:szCs w:val="20"/>
                <w:color w:val="auto"/>
              </w:rPr>
            </w:pPr>
            <w:r>
              <w:rPr>
                <w:rFonts w:ascii="Arial" w:cs="Arial" w:eastAsia="Arial" w:hAnsi="Arial"/>
                <w:sz w:val="11"/>
                <w:szCs w:val="11"/>
                <w:color w:val="auto"/>
              </w:rPr>
              <w:t>1.03% $</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20,346</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1.45% $</w:t>
            </w:r>
          </w:p>
        </w:tc>
        <w:tc>
          <w:tcPr>
            <w:tcW w:w="520" w:type="dxa"/>
            <w:vAlign w:val="bottom"/>
          </w:tcPr>
          <w:p>
            <w:pPr>
              <w:jc w:val="right"/>
              <w:spacing w:after="0"/>
              <w:rPr>
                <w:sz w:val="20"/>
                <w:szCs w:val="20"/>
                <w:color w:val="auto"/>
              </w:rPr>
            </w:pPr>
            <w:r>
              <w:rPr>
                <w:rFonts w:ascii="Arial" w:cs="Arial" w:eastAsia="Arial" w:hAnsi="Arial"/>
                <w:sz w:val="11"/>
                <w:szCs w:val="11"/>
                <w:color w:val="auto"/>
              </w:rPr>
              <w:t>16,537</w:t>
            </w:r>
          </w:p>
        </w:tc>
        <w:tc>
          <w:tcPr>
            <w:tcW w:w="640" w:type="dxa"/>
            <w:vAlign w:val="bottom"/>
            <w:gridSpan w:val="5"/>
          </w:tcPr>
          <w:p>
            <w:pPr>
              <w:jc w:val="right"/>
              <w:ind w:right="3"/>
              <w:spacing w:after="0"/>
              <w:rPr>
                <w:sz w:val="20"/>
                <w:szCs w:val="20"/>
                <w:color w:val="auto"/>
              </w:rPr>
            </w:pPr>
            <w:r>
              <w:rPr>
                <w:rFonts w:ascii="Arial" w:cs="Arial" w:eastAsia="Arial" w:hAnsi="Arial"/>
                <w:sz w:val="11"/>
                <w:szCs w:val="11"/>
                <w:color w:val="auto"/>
              </w:rPr>
              <w:t>1.98% $</w:t>
            </w:r>
          </w:p>
        </w:tc>
        <w:tc>
          <w:tcPr>
            <w:tcW w:w="520" w:type="dxa"/>
            <w:vAlign w:val="bottom"/>
          </w:tcPr>
          <w:p>
            <w:pPr>
              <w:jc w:val="right"/>
              <w:spacing w:after="0"/>
              <w:rPr>
                <w:sz w:val="20"/>
                <w:szCs w:val="20"/>
                <w:color w:val="auto"/>
              </w:rPr>
            </w:pPr>
            <w:r>
              <w:rPr>
                <w:rFonts w:ascii="Arial" w:cs="Arial" w:eastAsia="Arial" w:hAnsi="Arial"/>
                <w:sz w:val="11"/>
                <w:szCs w:val="11"/>
                <w:color w:val="auto"/>
              </w:rPr>
              <w:t>44,792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1.57%</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Treasury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4.44%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9,951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4.44%</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67,404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67,404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1.69%</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residential</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41,842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2.12%</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8,315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11,399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1.67%</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9,531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11,040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2.72%</w:t>
            </w:r>
          </w:p>
        </w:tc>
      </w:tr>
      <w:tr>
        <w:trPr>
          <w:trHeight w:val="163"/>
        </w:trPr>
        <w:tc>
          <w:tcPr>
            <w:tcW w:w="186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11,460</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29,371</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123,631</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186,428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1.96%</w:t>
            </w:r>
          </w:p>
        </w:tc>
      </w:tr>
    </w:tbl>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6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interest-earning assets. Higher yields typically carry inherent credit and liquidity risks in comparison to lower yield assets. The Company manages and mitigates such risks in accordance with the credit and ALM policies, risk tolerance and balance sheet composition.</w:t>
      </w:r>
    </w:p>
    <w:p>
      <w:pPr>
        <w:spacing w:after="0" w:line="399"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616"/>
              <w:spacing w:after="0"/>
              <w:rPr>
                <w:sz w:val="20"/>
                <w:szCs w:val="20"/>
                <w:color w:val="auto"/>
              </w:rPr>
            </w:pPr>
            <w:r>
              <w:rPr>
                <w:rFonts w:ascii="Arial" w:cs="Arial" w:eastAsia="Arial" w:hAnsi="Arial"/>
                <w:sz w:val="13"/>
                <w:szCs w:val="13"/>
                <w:b w:val="1"/>
                <w:bCs w:val="1"/>
                <w:color w:val="auto"/>
              </w:rPr>
              <w:t>March 31, 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49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4"/>
                <w:szCs w:val="14"/>
                <w:color w:val="auto"/>
              </w:rPr>
            </w:pPr>
          </w:p>
        </w:tc>
      </w:tr>
      <w:tr>
        <w:trPr>
          <w:trHeight w:val="179"/>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r>
      <w:tr>
        <w:trPr>
          <w:trHeight w:val="164"/>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184,427</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r>
      <w:tr>
        <w:trPr>
          <w:trHeight w:val="16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987,757</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62.5 %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64.4 %</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160,947</w:t>
            </w:r>
          </w:p>
        </w:tc>
        <w:tc>
          <w:tcPr>
            <w:tcW w:w="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97,405</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6.1 %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149,410</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1,579,946</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8"/>
                <w:szCs w:val="18"/>
                <w:color w:val="auto"/>
              </w:rPr>
            </w:pPr>
          </w:p>
        </w:tc>
      </w:tr>
      <w:tr>
        <w:trPr>
          <w:trHeight w:val="111"/>
        </w:trPr>
        <w:tc>
          <w:tcPr>
            <w:tcW w:w="3340" w:type="dxa"/>
            <w:vAlign w:val="bottom"/>
            <w:tcBorders>
              <w:top w:val="single" w:sz="8" w:color="CCEEFF"/>
              <w:bottom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Less: Deferred fees (cost)</w:t>
            </w:r>
          </w:p>
        </w:tc>
        <w:tc>
          <w:tcPr>
            <w:tcW w:w="220" w:type="dxa"/>
            <w:vAlign w:val="bottom"/>
            <w:tcBorders>
              <w:top w:val="single" w:sz="8" w:color="CCEEFF"/>
              <w:bottom w:val="single" w:sz="8" w:color="auto"/>
            </w:tcBorders>
            <w:shd w:val="clear" w:color="auto" w:fill="CCEEFF"/>
          </w:tcPr>
          <w:p>
            <w:pPr>
              <w:spacing w:after="0"/>
              <w:rPr>
                <w:sz w:val="9"/>
                <w:szCs w:val="9"/>
                <w:color w:val="auto"/>
              </w:rPr>
            </w:pPr>
          </w:p>
        </w:tc>
        <w:tc>
          <w:tcPr>
            <w:tcW w:w="78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448</w:t>
            </w:r>
          </w:p>
        </w:tc>
        <w:tc>
          <w:tcPr>
            <w:tcW w:w="40" w:type="dxa"/>
            <w:vAlign w:val="bottom"/>
            <w:tcBorders>
              <w:top w:val="single" w:sz="8" w:color="CCEEFF"/>
              <w:bottom w:val="single" w:sz="8" w:color="auto"/>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auto"/>
            </w:tcBorders>
            <w:shd w:val="clear" w:color="auto" w:fill="CCEEFF"/>
          </w:tcPr>
          <w:p>
            <w:pPr>
              <w:spacing w:after="0"/>
              <w:rPr>
                <w:sz w:val="9"/>
                <w:szCs w:val="9"/>
                <w:color w:val="auto"/>
              </w:rPr>
            </w:pPr>
          </w:p>
        </w:tc>
        <w:tc>
          <w:tcPr>
            <w:tcW w:w="800" w:type="dxa"/>
            <w:vAlign w:val="bottom"/>
            <w:tcBorders>
              <w:top w:val="single" w:sz="8" w:color="CCEEFF"/>
              <w:bottom w:val="single" w:sz="8" w:color="auto"/>
            </w:tcBorders>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(110)</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 (cost)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1,580,394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18,887</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1,561,507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1,489,851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Total loans increased by $73.1 million or 4.8% at March 31, 2023 compared to December 31, 2022. The commercial and industrial, and to a lesser extent, consumer and other loan and commercial real estate segments had the most significant growth partially offset by declines in the residential real estate loan segment.</w:t>
      </w:r>
    </w:p>
    <w:p>
      <w:pPr>
        <w:spacing w:after="0" w:line="126"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62.5% of the total gross loan portfolio as of March 31, 2023. We do not expect any significant changes over the foreseeable future in the composition of our loan portfolio or in our emphasis on commercial real estate lending. Our loan growth strategy since inception has been reflective of the market in which we operate and of our strategic plan as approved by the Board.</w:t>
      </w:r>
    </w:p>
    <w:p>
      <w:pPr>
        <w:spacing w:after="0" w:line="133"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33"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March 31,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2023 (in thousands):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76"/>
              <w:spacing w:after="0"/>
              <w:rPr>
                <w:sz w:val="20"/>
                <w:szCs w:val="20"/>
                <w:color w:val="auto"/>
              </w:rPr>
            </w:pPr>
            <w:r>
              <w:rPr>
                <w:rFonts w:ascii="Arial" w:cs="Arial" w:eastAsia="Arial" w:hAnsi="Arial"/>
                <w:sz w:val="13"/>
                <w:szCs w:val="13"/>
                <w:b w:val="1"/>
                <w:bCs w:val="1"/>
                <w:color w:val="auto"/>
              </w:rPr>
              <w:t>Due after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1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0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15,740</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7,809</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84,011</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76,867</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184,427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92,411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155,604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729,841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987,757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30,996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160,947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97,405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97,405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10,980</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133,014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149,410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217,372</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196,401</w:t>
            </w:r>
          </w:p>
        </w:tc>
        <w:tc>
          <w:tcPr>
            <w:tcW w:w="220" w:type="dxa"/>
            <w:vAlign w:val="bottom"/>
            <w:gridSpan w:val="5"/>
          </w:tcPr>
          <w:p>
            <w:pPr>
              <w:jc w:val="right"/>
              <w:ind w:right="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905,757</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260,416</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1,579,946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Fixed interest rates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186,433</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105,797</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176,867</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155,007</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8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624,104</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30,939</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90,604</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728,890</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105,409</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955,842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gross loans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217,372</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196,401</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905,757</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260,416</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1,579,946</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660" w:right="619" w:firstLine="256"/>
        <w:spacing w:after="0" w:line="250"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rate modifications are discussed as well.</w:t>
      </w:r>
    </w:p>
    <w:p>
      <w:pPr>
        <w:spacing w:after="0" w:line="143"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As of March 31, 2023, approximately 60.5% of the loans have adjustable/variable rates and 39.5% of the loans have fixed rates. The adjustable/variable rate loans re-price to different benchmarks and tenors in different periods of time. By contractual characteristics, there are no material concentrations on anniversary repricing. Additionally, it is important to note</w:t>
      </w:r>
    </w:p>
    <w:p>
      <w:pPr>
        <w:spacing w:after="0" w:line="179"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68" w:lineRule="auto"/>
        <w:rPr>
          <w:sz w:val="20"/>
          <w:szCs w:val="20"/>
          <w:color w:val="auto"/>
        </w:rPr>
      </w:pPr>
      <w:r>
        <w:rPr>
          <w:rFonts w:ascii="Arial" w:cs="Arial" w:eastAsia="Arial" w:hAnsi="Arial"/>
          <w:sz w:val="14"/>
          <w:szCs w:val="14"/>
          <w:color w:val="auto"/>
        </w:rPr>
        <w:t>that most of our loans have interest rate floors. This embedded option protects the Company from a decrease in interest rates and positions us to gain in the scenario of higher interest rates.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67"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779"/>
        <w:spacing w:after="0" w:line="259"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0" w:lineRule="exact"/>
        <w:rPr>
          <w:sz w:val="20"/>
          <w:szCs w:val="20"/>
          <w:color w:val="auto"/>
        </w:rPr>
      </w:pPr>
    </w:p>
    <w:p>
      <w:pPr>
        <w:jc w:val="both"/>
        <w:ind w:left="1180" w:right="77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80" w:right="679"/>
        <w:spacing w:after="0" w:line="259"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184,427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184,427</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985,214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987,756</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159,783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160,947</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97,405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97,405</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149,239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149,410</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1,576,068</w:t>
            </w:r>
          </w:p>
        </w:tc>
        <w:tc>
          <w:tcPr>
            <w:tcW w:w="600" w:type="dxa"/>
            <w:vAlign w:val="bottom"/>
            <w:gridSpan w:val="4"/>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3,877</w:t>
            </w:r>
          </w:p>
        </w:tc>
        <w:tc>
          <w:tcPr>
            <w:tcW w:w="940" w:type="dxa"/>
            <w:vAlign w:val="bottom"/>
            <w:gridSpan w:val="4"/>
          </w:tcPr>
          <w:p>
            <w:pPr>
              <w:jc w:val="right"/>
              <w:ind w:right="716"/>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1,579,945</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776"/>
              <w:spacing w:after="0"/>
              <w:rPr>
                <w:sz w:val="20"/>
                <w:szCs w:val="20"/>
                <w:color w:val="auto"/>
              </w:rPr>
            </w:pPr>
            <w:r>
              <w:rPr>
                <w:rFonts w:ascii="Arial" w:cs="Arial" w:eastAsia="Arial" w:hAnsi="Arial"/>
                <w:sz w:val="13"/>
                <w:szCs w:val="13"/>
                <w:b w:val="1"/>
                <w:bCs w:val="1"/>
                <w:color w:val="auto"/>
                <w:w w:val="97"/>
              </w:rPr>
              <w:t>December 31, 2022</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967,465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126,177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1,503,280</w:t>
            </w:r>
          </w:p>
        </w:tc>
        <w:tc>
          <w:tcPr>
            <w:tcW w:w="600" w:type="dxa"/>
            <w:vAlign w:val="bottom"/>
            <w:gridSpan w:val="4"/>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3,948</w:t>
            </w:r>
          </w:p>
        </w:tc>
        <w:tc>
          <w:tcPr>
            <w:tcW w:w="940" w:type="dxa"/>
            <w:vAlign w:val="bottom"/>
            <w:gridSpan w:val="4"/>
          </w:tcPr>
          <w:p>
            <w:pPr>
              <w:jc w:val="right"/>
              <w:ind w:right="716"/>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March 31, 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151"/>
        </w:trPr>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CCEEFF"/>
              <w:right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non-performing loans</w:t>
            </w: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Other real estate owned</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6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line="183" w:lineRule="exact"/>
              <w:rPr>
                <w:sz w:val="20"/>
                <w:szCs w:val="20"/>
                <w:color w:val="auto"/>
              </w:rPr>
            </w:pPr>
            <w:r>
              <w:rPr>
                <w:rFonts w:ascii="Arial" w:cs="Arial" w:eastAsia="Arial" w:hAnsi="Arial"/>
                <w:sz w:val="13"/>
                <w:szCs w:val="13"/>
                <w:b w:val="1"/>
                <w:bCs w:val="1"/>
                <w:color w:val="auto"/>
              </w:rPr>
              <w:t xml:space="preserve">Asset quality ratios: </w:t>
            </w:r>
            <w:r>
              <w:rPr>
                <w:rFonts w:ascii="Arial" w:cs="Arial" w:eastAsia="Arial" w:hAnsi="Arial"/>
                <w:sz w:val="17"/>
                <w:szCs w:val="17"/>
                <w:b w:val="1"/>
                <w:bCs w:val="1"/>
                <w:color w:val="auto"/>
                <w:vertAlign w:val="superscript"/>
              </w:rPr>
              <w:t>(1)</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Allowance for credit losses to total loans</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40" w:type="dxa"/>
            <w:vAlign w:val="bottom"/>
            <w:gridSpan w:val="3"/>
          </w:tcPr>
          <w:p>
            <w:pPr>
              <w:ind w:left="100"/>
              <w:spacing w:after="0"/>
              <w:rPr>
                <w:sz w:val="20"/>
                <w:szCs w:val="20"/>
                <w:color w:val="auto"/>
              </w:rPr>
            </w:pPr>
            <w:r>
              <w:rPr>
                <w:rFonts w:ascii="Arial" w:cs="Arial" w:eastAsia="Arial" w:hAnsi="Arial"/>
                <w:sz w:val="13"/>
                <w:szCs w:val="13"/>
                <w:color w:val="auto"/>
              </w:rPr>
              <w:t>Allowance for credit losses to non-performing loans</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3886%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Non-performing loans to total loans</w:t>
            </w: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0" w:hanging="137"/>
        <w:spacing w:after="0" w:line="230" w:lineRule="auto"/>
        <w:tabs>
          <w:tab w:leader="none" w:pos="80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ACL was calculated under CECL methodology for first quarter 2023, and incurred loss methodology for fourth quarter 2022</w:t>
      </w:r>
    </w:p>
    <w:p>
      <w:pPr>
        <w:spacing w:after="0" w:line="175" w:lineRule="exact"/>
        <w:rPr>
          <w:sz w:val="20"/>
          <w:szCs w:val="20"/>
          <w:color w:val="auto"/>
        </w:rPr>
      </w:pPr>
    </w:p>
    <w:p>
      <w:pPr>
        <w:jc w:val="both"/>
        <w:ind w:left="660" w:right="619" w:firstLine="256"/>
        <w:spacing w:after="0" w:line="253"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3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48"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surface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43"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For further discussion on non-performing loans and borrowers experiencing financial difficulties, see Note 3 “Loans” to the unaudited Consolidated Financial Statements on this Form 10-Q.</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On January 1, 2023, the Company adopted FASB ASU 2016-13, which introduced the current expected credit losses (CECL) methodology and required us to estimate all expected credit losses over the remaining life of our loan portfolio. Accordingly, the ACL represents an amount that, in management's evaluation, is adequate to provide coverage for all expected future credit losses on outstanding loans. Additionally, qualitative adjustments are made to the ACL when, based on management’s judgment, there are factors impacting the allowance estimate not considered by the quantitative calculations. See Note 3 “Loans” for more information on the allowance for credit losses on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5"/>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Foreign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and Industrial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Banks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March 31, 2023</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1,352</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10,143</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4,163</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1,109</w:t>
            </w:r>
          </w:p>
        </w:tc>
        <w:tc>
          <w:tcPr>
            <w:tcW w:w="40" w:type="dxa"/>
            <w:vAlign w:val="bottom"/>
          </w:tcPr>
          <w:p>
            <w:pPr>
              <w:spacing w:after="0"/>
              <w:rPr>
                <w:sz w:val="14"/>
                <w:szCs w:val="14"/>
                <w:color w:val="auto"/>
              </w:rPr>
            </w:pPr>
          </w:p>
        </w:tc>
        <w:tc>
          <w:tcPr>
            <w:tcW w:w="20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w w:val="99"/>
              </w:rPr>
              <w:t>Cumulative effect of adoption of accounting</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3"/>
                <w:szCs w:val="13"/>
                <w:color w:val="auto"/>
              </w:rPr>
              <w:t xml:space="preserve">principle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(795)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Charge-offs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2,819</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10,453</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2,476</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18,887</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194,355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964,682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140,826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1,547,392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-0.02%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71"/>
        </w:trPr>
        <w:tc>
          <w:tcPr>
            <w:tcW w:w="25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800" w:hanging="137"/>
        <w:spacing w:after="0" w:line="230" w:lineRule="auto"/>
        <w:tabs>
          <w:tab w:leader="none" w:pos="80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Impact of CECL adoption as of January 1, 2023</w:t>
      </w:r>
    </w:p>
    <w:p>
      <w:pPr>
        <w:spacing w:after="0" w:line="38" w:lineRule="exact"/>
        <w:rPr>
          <w:rFonts w:ascii="Arial" w:cs="Arial" w:eastAsia="Arial" w:hAnsi="Arial"/>
          <w:sz w:val="16"/>
          <w:szCs w:val="16"/>
          <w:color w:val="auto"/>
          <w:vertAlign w:val="superscript"/>
        </w:rPr>
      </w:pPr>
    </w:p>
    <w:p>
      <w:pPr>
        <w:ind w:left="800" w:hanging="137"/>
        <w:spacing w:after="0" w:line="200" w:lineRule="auto"/>
        <w:tabs>
          <w:tab w:leader="none" w:pos="80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Provision for credit losses excludes $84 thousand reduction due to unfunded commitments included in other liabilities.</w:t>
      </w:r>
    </w:p>
    <w:p>
      <w:pPr>
        <w:spacing w:after="0" w:line="200" w:lineRule="exact"/>
        <w:rPr>
          <w:sz w:val="20"/>
          <w:szCs w:val="20"/>
          <w:color w:val="auto"/>
        </w:rPr>
      </w:pP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5"/>
              </w:rPr>
              <w:t>Residential</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Commercial</w:t>
            </w:r>
          </w:p>
        </w:tc>
        <w:tc>
          <w:tcPr>
            <w:tcW w:w="100" w:type="dxa"/>
            <w:vAlign w:val="bottom"/>
          </w:tcPr>
          <w:p>
            <w:pPr>
              <w:spacing w:after="0"/>
              <w:rPr>
                <w:sz w:val="13"/>
                <w:szCs w:val="13"/>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Consumer</w:t>
            </w:r>
          </w:p>
        </w:tc>
        <w:tc>
          <w:tcPr>
            <w:tcW w:w="100" w:type="dxa"/>
            <w:vAlign w:val="bottom"/>
          </w:tcPr>
          <w:p>
            <w:pPr>
              <w:spacing w:after="0"/>
              <w:rPr>
                <w:sz w:val="13"/>
                <w:szCs w:val="13"/>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and Industrial</w:t>
            </w:r>
          </w:p>
        </w:tc>
        <w:tc>
          <w:tcPr>
            <w:tcW w:w="1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March 31, 2022</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2,498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8,758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2,775</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569</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2,357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9,183</w:t>
            </w:r>
          </w:p>
        </w:tc>
        <w:tc>
          <w:tcPr>
            <w:tcW w:w="8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2,355</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491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688</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198,162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739,732</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139,781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59,667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74,090</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1,211,432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67"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As of March 31, 2023, the combined cash surrender value of all bank-owned life insurance (“BOLI”) policies was $43.0 million. Changes in cash surrender value are recorded to non-interest income in the unaudited Consolidated Statements of Operations. The Company had BOLI policies with five insurance carriers. The Company is the beneficiary of these policies.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67" w:lineRule="exact"/>
        <w:rPr>
          <w:sz w:val="20"/>
          <w:szCs w:val="20"/>
          <w:color w:val="auto"/>
        </w:rPr>
      </w:pPr>
    </w:p>
    <w:p>
      <w:pPr>
        <w:jc w:val="both"/>
        <w:ind w:left="660" w:right="619" w:firstLine="256"/>
        <w:spacing w:after="0" w:line="253"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owners and operators of these SMBs, as well as the retail/consumer relationships of the employees of these businesses.</w:t>
      </w:r>
    </w:p>
    <w:p>
      <w:pPr>
        <w:spacing w:after="0" w:line="143" w:lineRule="exact"/>
        <w:rPr>
          <w:sz w:val="20"/>
          <w:szCs w:val="20"/>
          <w:color w:val="auto"/>
        </w:rPr>
      </w:pPr>
    </w:p>
    <w:p>
      <w:pPr>
        <w:ind w:left="660" w:right="679" w:firstLine="256"/>
        <w:spacing w:after="0" w:line="268"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Three Months Ended March 31,</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Rate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Average Rate</w:t>
            </w:r>
          </w:p>
        </w:tc>
      </w:tr>
      <w:tr>
        <w:trPr>
          <w:trHeight w:val="173"/>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ind w:left="300"/>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5"/>
                <w:szCs w:val="15"/>
                <w:color w:val="auto"/>
              </w:rPr>
            </w:pPr>
          </w:p>
        </w:tc>
        <w:tc>
          <w:tcPr>
            <w:tcW w:w="124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9"/>
              </w:rPr>
              <w:t>Average Balance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Paid</w:t>
            </w:r>
          </w:p>
        </w:tc>
      </w:tr>
      <w:tr>
        <w:trPr>
          <w:trHeight w:val="141"/>
        </w:trPr>
        <w:tc>
          <w:tcPr>
            <w:tcW w:w="32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Non-interest-bearing checking</w:t>
            </w: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664,369</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626,400</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2"/>
                <w:szCs w:val="12"/>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checking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58,087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64,436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0.10%</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Money market and savings deposits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897,061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736,134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0.30%</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224,730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223,274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0.47%</w:t>
            </w:r>
          </w:p>
        </w:tc>
        <w:tc>
          <w:tcPr>
            <w:tcW w:w="20" w:type="dxa"/>
            <w:vAlign w:val="bottom"/>
            <w:tcBorders>
              <w:bottom w:val="single" w:sz="8" w:color="CCEEFF"/>
            </w:tcBorders>
          </w:tcPr>
          <w:p>
            <w:pPr>
              <w:spacing w:after="0"/>
              <w:rPr>
                <w:sz w:val="14"/>
                <w:szCs w:val="14"/>
                <w:color w:val="auto"/>
              </w:rPr>
            </w:pPr>
          </w:p>
        </w:tc>
      </w:tr>
      <w:tr>
        <w:trPr>
          <w:trHeight w:val="161"/>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1,844,247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1,650,244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0.20%</w:t>
            </w: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The Company has a granular deposit portfolio with outstanding balances comprised of 54% in commercial deposits, 35% personal deposits and 11% public funds, which are partially collateralized. The Company has approximately 19 thousand deposits accounts with the majority in personal accounts, approximately 12 thousand or 64.4%. The total amount of uninsured deposits adjusted by the collateralized portion of public funds is 56% at March 31, 2023, a decrease of 3% compared to December 31, 2022 and below the 2022 average. The estimated average account size of our deposit portfolio is $96 thousand as of March 31, 2023. The Company also offers Insured Cash Sweep (“ICS”) and Certificate of Deposit Account Registry Service (“CDARS”) deposit products to fully insure our clients.</w:t>
      </w:r>
    </w:p>
    <w:p>
      <w:pPr>
        <w:spacing w:after="0" w:line="137" w:lineRule="exact"/>
        <w:rPr>
          <w:sz w:val="20"/>
          <w:szCs w:val="20"/>
          <w:color w:val="auto"/>
        </w:rPr>
      </w:pPr>
    </w:p>
    <w:p>
      <w:pPr>
        <w:jc w:val="both"/>
        <w:ind w:left="660" w:right="639" w:firstLine="256"/>
        <w:spacing w:after="0" w:line="261"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Company per account holder. Total estimated uninsured deposits adjusted for collateralized public deposits were $1.0 billion and $1.1 billion at March 31, 2023 and December 31, 2022, respectively.</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March 31, 2023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59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March 31, 2023</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21,116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40" w:type="dxa"/>
            <w:vAlign w:val="bottom"/>
          </w:tcPr>
          <w:p>
            <w:pPr>
              <w:spacing w:after="0"/>
              <w:rPr>
                <w:sz w:val="14"/>
                <w:szCs w:val="14"/>
                <w:color w:val="auto"/>
              </w:rPr>
            </w:pPr>
          </w:p>
        </w:tc>
        <w:tc>
          <w:tcPr>
            <w:tcW w:w="1480" w:type="dxa"/>
            <w:vAlign w:val="bottom"/>
          </w:tcPr>
          <w:p>
            <w:pPr>
              <w:ind w:left="1060"/>
              <w:spacing w:after="0"/>
              <w:rPr>
                <w:sz w:val="20"/>
                <w:szCs w:val="20"/>
                <w:color w:val="auto"/>
              </w:rPr>
            </w:pPr>
            <w:r>
              <w:rPr>
                <w:rFonts w:ascii="Arial" w:cs="Arial" w:eastAsia="Arial" w:hAnsi="Arial"/>
                <w:sz w:val="13"/>
                <w:szCs w:val="13"/>
                <w:color w:val="auto"/>
              </w:rPr>
              <w:t>26,996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29,135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23,038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9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3"/>
                <w:szCs w:val="13"/>
                <w:color w:val="auto"/>
                <w:w w:val="97"/>
              </w:rPr>
              <w:t>100,285</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78" w:lineRule="exact"/>
        <w:rPr>
          <w:sz w:val="20"/>
          <w:szCs w:val="20"/>
          <w:color w:val="auto"/>
        </w:rPr>
      </w:pPr>
    </w:p>
    <w:p>
      <w:pPr>
        <w:ind w:left="660" w:right="759" w:firstLine="256"/>
        <w:spacing w:after="0" w:line="261" w:lineRule="auto"/>
        <w:rPr>
          <w:sz w:val="20"/>
          <w:szCs w:val="20"/>
          <w:color w:val="auto"/>
        </w:rPr>
      </w:pPr>
      <w:r>
        <w:rPr>
          <w:rFonts w:ascii="Arial" w:cs="Arial" w:eastAsia="Arial" w:hAnsi="Arial"/>
          <w:sz w:val="14"/>
          <w:szCs w:val="14"/>
          <w:color w:val="auto"/>
        </w:rPr>
        <w:t>The Company collects from commercial loan customers funds which are held in escrow for future payment of real estate taxes and insurance. These escrow funds are disbursed by the Company directly to the insurance companies and taxing authority of the borrower. Escrow funds are recorded as other liabilities.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March 31, 2023 escrow balances totaled $8.3 million compared to $3.5 million at December 31, 2022.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As a member of the FHLB,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42"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As of March 31, 2023, we had $120.0 million of fixed-rate advances outstanding from the FHLB with a weighted average rate of 4.15%. Maturity dates for the advances are between third quarter 2023 and third quarter 2025 as detailed in the table below.</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March 31, 2023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ind w:left="820"/>
              <w:spacing w:after="0"/>
              <w:rPr>
                <w:sz w:val="20"/>
                <w:szCs w:val="20"/>
                <w:color w:val="auto"/>
              </w:rPr>
            </w:pPr>
            <w:r>
              <w:rPr>
                <w:rFonts w:ascii="Arial" w:cs="Arial" w:eastAsia="Arial" w:hAnsi="Arial"/>
                <w:sz w:val="13"/>
                <w:szCs w:val="13"/>
                <w:b w:val="1"/>
                <w:bCs w:val="1"/>
                <w:color w:val="auto"/>
              </w:rPr>
              <w:t>Amount</w:t>
            </w:r>
          </w:p>
        </w:tc>
      </w:tr>
      <w:tr>
        <w:trPr>
          <w:trHeight w:val="16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March 27, 2025</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18, 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July 30, 2024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0.81%</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7"/>
              </w:rPr>
              <w:t>August 17, 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5.07%</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Daily</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December 22, 2023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83,000</w:t>
            </w:r>
          </w:p>
        </w:tc>
        <w:tc>
          <w:tcPr>
            <w:tcW w:w="20" w:type="dxa"/>
            <w:vAlign w:val="bottom"/>
            <w:shd w:val="clear" w:color="auto" w:fill="CCEEFF"/>
          </w:tcPr>
          <w:p>
            <w:pPr>
              <w:spacing w:after="0"/>
              <w:rPr>
                <w:sz w:val="14"/>
                <w:szCs w:val="14"/>
                <w:color w:val="auto"/>
              </w:rPr>
            </w:pPr>
          </w:p>
        </w:tc>
      </w:tr>
      <w:tr>
        <w:trPr>
          <w:trHeight w:val="160"/>
        </w:trPr>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3.76%</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January 24, 2028</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11,000</w:t>
            </w:r>
          </w:p>
        </w:tc>
        <w:tc>
          <w:tcPr>
            <w:tcW w:w="20" w:type="dxa"/>
            <w:vAlign w:val="bottom"/>
          </w:tcPr>
          <w:p>
            <w:pPr>
              <w:spacing w:after="0"/>
              <w:rPr>
                <w:sz w:val="13"/>
                <w:szCs w:val="13"/>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120,000</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March 31, 2023, there were no outstanding balances with the Fed Funds lines of credit.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w:t>
      </w:r>
    </w:p>
    <w:p>
      <w:pPr>
        <w:spacing w:after="0" w:line="216"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53" w:lineRule="auto"/>
        <w:rPr>
          <w:sz w:val="20"/>
          <w:szCs w:val="20"/>
          <w:color w:val="auto"/>
        </w:rPr>
      </w:pPr>
      <w:r>
        <w:rPr>
          <w:rFonts w:ascii="Arial" w:cs="Arial" w:eastAsia="Arial" w:hAnsi="Arial"/>
          <w:sz w:val="14"/>
          <w:szCs w:val="14"/>
          <w:color w:val="auto"/>
        </w:rPr>
        <w:t>amount recognized in the balance sheet. We use more conservative credit and collateral policies in making these credit commitments than we do for on-balance sheet items. We are not aware of any accounting loss to be incurred by funding these commitments; however, we maintain an allowance for off-balance sheet credit risk which is recorded under other liabilities on the unaudited Consolidated Balance Sheets.</w:t>
      </w:r>
    </w:p>
    <w:p>
      <w:pPr>
        <w:spacing w:after="0" w:line="132"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55"/>
        </w:trPr>
        <w:tc>
          <w:tcPr>
            <w:tcW w:w="1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76"/>
              <w:spacing w:after="0"/>
              <w:rPr>
                <w:sz w:val="20"/>
                <w:szCs w:val="20"/>
                <w:color w:val="auto"/>
              </w:rPr>
            </w:pPr>
            <w:r>
              <w:rPr>
                <w:rFonts w:ascii="Arial" w:cs="Arial" w:eastAsia="Arial" w:hAnsi="Arial"/>
                <w:sz w:val="13"/>
                <w:szCs w:val="13"/>
                <w:b w:val="1"/>
                <w:bCs w:val="1"/>
                <w:color w:val="auto"/>
              </w:rPr>
              <w:t>March 31, 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49"/>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81,506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95,461</w:t>
            </w:r>
          </w:p>
        </w:tc>
        <w:tc>
          <w:tcPr>
            <w:tcW w:w="20" w:type="dxa"/>
            <w:vAlign w:val="bottom"/>
            <w:shd w:val="clear" w:color="auto" w:fill="CCEEFF"/>
          </w:tcPr>
          <w:p>
            <w:pPr>
              <w:spacing w:after="0"/>
              <w:rPr>
                <w:sz w:val="12"/>
                <w:szCs w:val="12"/>
                <w:color w:val="auto"/>
              </w:rPr>
            </w:pPr>
          </w:p>
        </w:tc>
      </w:tr>
      <w:tr>
        <w:trPr>
          <w:trHeight w:val="160"/>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c>
          <w:tcPr>
            <w:tcW w:w="20" w:type="dxa"/>
            <w:vAlign w:val="bottom"/>
          </w:tcPr>
          <w:p>
            <w:pPr>
              <w:spacing w:after="0"/>
              <w:rPr>
                <w:sz w:val="13"/>
                <w:szCs w:val="13"/>
                <w:color w:val="auto"/>
              </w:rPr>
            </w:pP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85,048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99,781</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33"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43"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7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policies, and procedures for managing and mitigating risks are appropriately executed within the designated lines of authority and responsibility in a timely manner.</w:t>
      </w:r>
    </w:p>
    <w:p>
      <w:pPr>
        <w:spacing w:after="0" w:line="142"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31"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While some degree of IRR (“Interest Rate Risk”) is inherent to the banking business, we believe our ALCO has put in place sound risk management practices to identify, quantify, monitor, and limit IRR exposures.</w:t>
      </w:r>
    </w:p>
    <w:p>
      <w:pPr>
        <w:spacing w:after="0" w:line="131"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 volatility and reduced earnings or outright losses could adversely affect the Company’s liquidity, performance, and capital adequacy.</w:t>
      </w:r>
    </w:p>
    <w:p>
      <w:pPr>
        <w:spacing w:after="0" w:line="126"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4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89"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According to our ALCO model, as of March 31, 2023, we were a liability sensitive Bank for year one modeling and asset sensitive for year two modeling.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3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 do not include actions that management may undertake to manage the risks in response to anticipated changes in interest rates or client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4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According to our model, as of March 31, 2023, NIM most likely will decrease for year one and should increase for year two under static rate scenarios (-400 basis points or +400 basis points). For the static forecast in year one, the estimated NIM will decrease from the base case scenario to a +400 basis points scenario.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rates will have a negative impact on the EVE and lower rates and positive impact. Results and analysis are presented quarterly to the ALCO, and strategies are defined.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67"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36"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32"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136"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Changes in macroeconomic conditions, as well as exposure to credit, market, operational, legal and reputational risks, such as cybersecurity risk, could have an unexpected impact on the Company’s liquidity risk profile and are factored into the assessment of liquidity and the ALM framework.</w:t>
      </w:r>
    </w:p>
    <w:p>
      <w:pPr>
        <w:spacing w:after="0" w:line="142" w:lineRule="exact"/>
        <w:rPr>
          <w:sz w:val="20"/>
          <w:szCs w:val="20"/>
          <w:color w:val="auto"/>
        </w:rPr>
      </w:pPr>
    </w:p>
    <w:p>
      <w:pPr>
        <w:ind w:left="660" w:right="599" w:firstLine="256"/>
        <w:spacing w:after="0" w:line="261"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2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200" w:lineRule="exact"/>
        <w:rPr>
          <w:sz w:val="20"/>
          <w:szCs w:val="20"/>
          <w:color w:val="auto"/>
        </w:rPr>
      </w:pPr>
    </w:p>
    <w:p>
      <w:pPr>
        <w:spacing w:after="0" w:line="213"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19" w:firstLine="256"/>
        <w:spacing w:after="0" w:line="253"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The Bank Term Funding Program, and borrowings from the FHLB. Accordingly, our liquidity resources were adequate to fund loans and meet other cash needs as necessary.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7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As of March 31, 2023, the Bank was well capitalized under the FDIC’s prompt corrective action framework. We also follow the capital conservation buffer framework, and as of March 31, 2023, we exceeded the capital conversation buffer in all capital ratios, according to our actual ratios. The following table presents the capital ratios for the Bank at the dates indicated (in thousands, except ratios).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vMerge w:val="restart"/>
          </w:tcPr>
          <w:p>
            <w:pPr>
              <w:jc w:val="right"/>
              <w:ind w:right="256"/>
              <w:spacing w:after="0"/>
              <w:rPr>
                <w:sz w:val="20"/>
                <w:szCs w:val="20"/>
                <w:color w:val="auto"/>
              </w:rPr>
            </w:pPr>
            <w:r>
              <w:rPr>
                <w:rFonts w:ascii="Arial" w:cs="Arial" w:eastAsia="Arial" w:hAnsi="Arial"/>
                <w:sz w:val="13"/>
                <w:szCs w:val="13"/>
                <w:b w:val="1"/>
                <w:bCs w:val="1"/>
                <w:color w:val="auto"/>
              </w:rPr>
              <w:t>Minimum Capital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ind w:left="80"/>
              <w:spacing w:after="0"/>
              <w:rPr>
                <w:sz w:val="20"/>
                <w:szCs w:val="20"/>
                <w:color w:val="auto"/>
              </w:rPr>
            </w:pPr>
            <w:r>
              <w:rPr>
                <w:rFonts w:ascii="Arial" w:cs="Arial" w:eastAsia="Arial" w:hAnsi="Arial"/>
                <w:sz w:val="13"/>
                <w:szCs w:val="13"/>
                <w:b w:val="1"/>
                <w:bCs w:val="1"/>
                <w:color w:val="auto"/>
              </w:rPr>
              <w:t>To be Well Capitalized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spacing w:after="0"/>
              <w:rPr>
                <w:sz w:val="20"/>
                <w:szCs w:val="20"/>
                <w:color w:val="auto"/>
              </w:rPr>
            </w:pPr>
            <w:r>
              <w:rPr>
                <w:rFonts w:ascii="Arial" w:cs="Arial" w:eastAsia="Arial" w:hAnsi="Arial"/>
                <w:sz w:val="13"/>
                <w:szCs w:val="13"/>
                <w:b w:val="1"/>
                <w:bCs w:val="1"/>
                <w:color w:val="auto"/>
              </w:rPr>
              <w:t>Under Prompt Corrective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Actual</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Requirements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rPr>
              <w:t>Action Provisions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5"/>
          </w:tcPr>
          <w:p>
            <w:pPr>
              <w:ind w:left="60"/>
              <w:spacing w:after="0"/>
              <w:rPr>
                <w:sz w:val="20"/>
                <w:szCs w:val="20"/>
                <w:color w:val="auto"/>
              </w:rPr>
            </w:pPr>
            <w:r>
              <w:rPr>
                <w:rFonts w:ascii="Arial" w:cs="Arial" w:eastAsia="Arial" w:hAnsi="Arial"/>
                <w:sz w:val="13"/>
                <w:szCs w:val="13"/>
                <w:b w:val="1"/>
                <w:bCs w:val="1"/>
                <w:color w:val="auto"/>
              </w:rPr>
              <w:t>Amount</w:t>
            </w:r>
          </w:p>
        </w:tc>
        <w:tc>
          <w:tcPr>
            <w:tcW w:w="62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4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March 31, 2023</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218,621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13.12 %</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133,293</w:t>
            </w: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166,616</w:t>
            </w:r>
          </w:p>
        </w:tc>
        <w:tc>
          <w:tcPr>
            <w:tcW w:w="900" w:type="dxa"/>
            <w:vAlign w:val="bottom"/>
            <w:gridSpan w:val="5"/>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199,301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99,970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133,293</w:t>
            </w:r>
          </w:p>
        </w:tc>
        <w:tc>
          <w:tcPr>
            <w:tcW w:w="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199,301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11.96 %</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74,977</w:t>
            </w: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108,301</w:t>
            </w:r>
          </w:p>
        </w:tc>
        <w:tc>
          <w:tcPr>
            <w:tcW w:w="900" w:type="dxa"/>
            <w:vAlign w:val="bottom"/>
            <w:gridSpan w:val="5"/>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199,301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85,760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107,201</w:t>
            </w:r>
          </w:p>
        </w:tc>
        <w:tc>
          <w:tcPr>
            <w:tcW w:w="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216,693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13.58 %</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127,616</w:t>
            </w: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159,520</w:t>
            </w:r>
          </w:p>
        </w:tc>
        <w:tc>
          <w:tcPr>
            <w:tcW w:w="900" w:type="dxa"/>
            <w:vAlign w:val="bottom"/>
            <w:gridSpan w:val="5"/>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127,616</w:t>
            </w:r>
          </w:p>
        </w:tc>
        <w:tc>
          <w:tcPr>
            <w:tcW w:w="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198,909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12.47 %</w:t>
            </w:r>
          </w:p>
        </w:tc>
        <w:tc>
          <w:tcPr>
            <w:tcW w:w="1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71,784</w:t>
            </w: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103,688</w:t>
            </w:r>
          </w:p>
        </w:tc>
        <w:tc>
          <w:tcPr>
            <w:tcW w:w="900" w:type="dxa"/>
            <w:vAlign w:val="bottom"/>
            <w:gridSpan w:val="5"/>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83,210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104,012</w:t>
            </w:r>
          </w:p>
        </w:tc>
        <w:tc>
          <w:tcPr>
            <w:tcW w:w="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left="660" w:right="659" w:firstLine="256"/>
        <w:spacing w:after="0" w:line="268" w:lineRule="auto"/>
        <w:rPr>
          <w:sz w:val="20"/>
          <w:szCs w:val="20"/>
          <w:color w:val="auto"/>
        </w:rPr>
      </w:pPr>
      <w:r>
        <w:rPr>
          <w:rFonts w:ascii="Arial" w:cs="Arial" w:eastAsia="Arial" w:hAnsi="Arial"/>
          <w:sz w:val="14"/>
          <w:szCs w:val="14"/>
          <w:color w:val="auto"/>
        </w:rPr>
        <w:t>The Company is not subject to capital ratios imposed by Basel III on bank holding companies because the Company is deemed to be a small bank holding company.</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67" w:lineRule="exact"/>
        <w:rPr>
          <w:sz w:val="20"/>
          <w:szCs w:val="20"/>
          <w:color w:val="auto"/>
        </w:rPr>
      </w:pPr>
    </w:p>
    <w:p>
      <w:pPr>
        <w:jc w:val="both"/>
        <w:ind w:left="660" w:right="659" w:firstLine="512"/>
        <w:spacing w:after="0" w:line="248"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67" w:lineRule="exact"/>
        <w:rPr>
          <w:sz w:val="20"/>
          <w:szCs w:val="20"/>
          <w:color w:val="auto"/>
        </w:rPr>
      </w:pPr>
    </w:p>
    <w:p>
      <w:pPr>
        <w:ind w:left="660" w:right="699" w:firstLine="256"/>
        <w:spacing w:after="0" w:line="284"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unaudited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67"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(Dollars in thousands)</w:t>
      </w:r>
    </w:p>
    <w:p>
      <w:pPr>
        <w:spacing w:after="0" w:line="209" w:lineRule="exact"/>
        <w:rPr>
          <w:sz w:val="20"/>
          <w:szCs w:val="20"/>
          <w:color w:val="auto"/>
        </w:rPr>
      </w:pPr>
    </w:p>
    <w:p>
      <w:pPr>
        <w:ind w:left="5100"/>
        <w:spacing w:after="0"/>
        <w:rPr>
          <w:sz w:val="20"/>
          <w:szCs w:val="20"/>
          <w:color w:val="auto"/>
        </w:rPr>
      </w:pPr>
      <w:r>
        <w:rPr>
          <w:rFonts w:ascii="Arial" w:cs="Arial" w:eastAsia="Arial" w:hAnsi="Arial"/>
          <w:sz w:val="11"/>
          <w:szCs w:val="11"/>
          <w:b w:val="1"/>
          <w:bCs w:val="1"/>
          <w:color w:val="auto"/>
        </w:rPr>
        <w:t>As of or For the Three Months Ended</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3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3/31/2023</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12/31/2022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6/30/2022</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3/31/2022</w:t>
            </w:r>
          </w:p>
        </w:tc>
        <w:tc>
          <w:tcPr>
            <w:tcW w:w="20" w:type="dxa"/>
            <w:vAlign w:val="bottom"/>
          </w:tcPr>
          <w:p>
            <w:pPr>
              <w:spacing w:after="0"/>
              <w:rPr>
                <w:sz w:val="12"/>
                <w:szCs w:val="12"/>
                <w:color w:val="auto"/>
              </w:rPr>
            </w:pPr>
          </w:p>
        </w:tc>
      </w:tr>
      <w:tr>
        <w:trPr>
          <w:trHeight w:val="151"/>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Pre-tax pre-provision ("PTPP") income:</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5,809</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4,434</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5,558</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5,295</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3"/>
                <w:szCs w:val="13"/>
                <w:color w:val="auto"/>
              </w:rPr>
            </w:pPr>
          </w:p>
        </w:tc>
      </w:tr>
      <w:tr>
        <w:trPr>
          <w:trHeight w:val="171"/>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1,881</w:t>
            </w: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1,415</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1,708</w:t>
            </w: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20" w:type="dxa"/>
            <w:vAlign w:val="bottom"/>
            <w:shd w:val="clear" w:color="auto" w:fill="CCEEFF"/>
          </w:tcPr>
          <w:p>
            <w:pPr>
              <w:spacing w:after="0"/>
              <w:rPr>
                <w:sz w:val="14"/>
                <w:szCs w:val="14"/>
                <w:color w:val="auto"/>
              </w:rPr>
            </w:pPr>
          </w:p>
        </w:tc>
      </w:tr>
      <w:tr>
        <w:trPr>
          <w:trHeight w:val="160"/>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880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51"/>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7,891</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6,729</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8,431</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2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7,891</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6,729</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8,431</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7,708</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Pr>
          <w:p>
            <w:pPr>
              <w:spacing w:after="0"/>
              <w:rPr>
                <w:sz w:val="14"/>
                <w:szCs w:val="14"/>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2,051,867</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2,026,791</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w:t>
            </w: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net income: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5,809</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4,434</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5,558</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(1,989)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504</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w:t>
            </w:r>
          </w:p>
        </w:tc>
      </w:tr>
      <w:tr>
        <w:trPr>
          <w:trHeight w:val="20"/>
        </w:trPr>
        <w:tc>
          <w:tcPr>
            <w:tcW w:w="3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3220" w:type="dxa"/>
            <w:vAlign w:val="bottom"/>
          </w:tcPr>
          <w:p>
            <w:pPr>
              <w:ind w:left="200"/>
              <w:spacing w:after="0"/>
              <w:rPr>
                <w:sz w:val="20"/>
                <w:szCs w:val="20"/>
                <w:color w:val="auto"/>
              </w:rPr>
            </w:pPr>
            <w:r>
              <w:rPr>
                <w:rFonts w:ascii="Arial" w:cs="Arial" w:eastAsia="Arial" w:hAnsi="Arial"/>
                <w:sz w:val="11"/>
                <w:szCs w:val="11"/>
                <w:color w:val="auto"/>
              </w:rPr>
              <w:t>Operating net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5,825</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5,919</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5,975</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5,297</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4,838</w:t>
            </w:r>
          </w:p>
        </w:tc>
        <w:tc>
          <w:tcPr>
            <w:tcW w:w="20" w:type="dxa"/>
            <w:vAlign w:val="bottom"/>
          </w:tcPr>
          <w:p>
            <w:pPr>
              <w:spacing w:after="0"/>
              <w:rPr>
                <w:sz w:val="16"/>
                <w:szCs w:val="16"/>
                <w:color w:val="auto"/>
              </w:rPr>
            </w:pPr>
          </w:p>
        </w:tc>
      </w:tr>
      <w:tr>
        <w:trPr>
          <w:trHeight w:val="111"/>
        </w:trPr>
        <w:tc>
          <w:tcPr>
            <w:tcW w:w="3220" w:type="dxa"/>
            <w:vAlign w:val="bottom"/>
            <w:tcBorders>
              <w:top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PTPP income:</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7,891</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6,729</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8,431</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shd w:val="clear" w:color="auto" w:fill="CCEEFF"/>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(1,989)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5"/>
                <w:szCs w:val="15"/>
                <w:color w:val="auto"/>
              </w:rPr>
            </w:pPr>
          </w:p>
        </w:tc>
      </w:tr>
      <w:tr>
        <w:trPr>
          <w:trHeight w:val="131"/>
        </w:trPr>
        <w:tc>
          <w:tcPr>
            <w:tcW w:w="3220" w:type="dxa"/>
            <w:vAlign w:val="bottom"/>
            <w:tcBorders>
              <w:top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PTPP income</w:t>
            </w: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7,912</w:t>
            </w:r>
          </w:p>
        </w:tc>
        <w:tc>
          <w:tcPr>
            <w:tcW w:w="6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8,718</w:t>
            </w:r>
          </w:p>
        </w:tc>
        <w:tc>
          <w:tcPr>
            <w:tcW w:w="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8,989</w:t>
            </w:r>
          </w:p>
        </w:tc>
        <w:tc>
          <w:tcPr>
            <w:tcW w:w="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7,711</w:t>
            </w:r>
          </w:p>
        </w:tc>
        <w:tc>
          <w:tcPr>
            <w:tcW w:w="6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6,691</w:t>
            </w:r>
          </w:p>
        </w:tc>
        <w:tc>
          <w:tcPr>
            <w:tcW w:w="20" w:type="dxa"/>
            <w:vAlign w:val="bottom"/>
            <w:tcBorders>
              <w:bottom w:val="single" w:sz="8" w:color="auto"/>
            </w:tcBorders>
            <w:shd w:val="clear" w:color="auto" w:fill="CCEEFF"/>
          </w:tcPr>
          <w:p>
            <w:pPr>
              <w:spacing w:after="0"/>
              <w:rPr>
                <w:sz w:val="11"/>
                <w:szCs w:val="1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3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7,912</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8,718</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8,989</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7,711</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6,691</w:t>
            </w: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2,051,867</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2,026,791</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3"/>
                <w:szCs w:val="13"/>
                <w:color w:val="auto"/>
              </w:rPr>
            </w:pPr>
          </w:p>
        </w:tc>
      </w:tr>
      <w:tr>
        <w:trPr>
          <w:trHeight w:val="171"/>
        </w:trPr>
        <w:tc>
          <w:tcPr>
            <w:tcW w:w="3220" w:type="dxa"/>
            <w:vAlign w:val="bottom"/>
          </w:tcPr>
          <w:p>
            <w:pPr>
              <w:ind w:left="100"/>
              <w:spacing w:after="0"/>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w:t>
            </w:r>
          </w:p>
        </w:tc>
        <w:tc>
          <w:tcPr>
            <w:tcW w:w="20" w:type="dxa"/>
            <w:vAlign w:val="bottom"/>
          </w:tcPr>
          <w:p>
            <w:pPr>
              <w:spacing w:after="0"/>
              <w:rPr>
                <w:sz w:val="14"/>
                <w:szCs w:val="14"/>
                <w:color w:val="auto"/>
              </w:rPr>
            </w:pPr>
          </w:p>
        </w:tc>
      </w:tr>
      <w:tr>
        <w:trPr>
          <w:trHeight w:val="160"/>
        </w:trPr>
        <w:tc>
          <w:tcPr>
            <w:tcW w:w="3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5,825</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5,919</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4,838</w:t>
            </w:r>
          </w:p>
        </w:tc>
        <w:tc>
          <w:tcPr>
            <w:tcW w:w="20" w:type="dxa"/>
            <w:vAlign w:val="bottom"/>
            <w:shd w:val="clear" w:color="auto" w:fill="CCEEFF"/>
          </w:tcPr>
          <w:p>
            <w:pPr>
              <w:spacing w:after="0"/>
              <w:rPr>
                <w:sz w:val="14"/>
                <w:szCs w:val="14"/>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2,120,218</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2,051,867</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2,026,791</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1,968,381</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1.11%</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20" w:type="dxa"/>
            <w:vAlign w:val="bottom"/>
            <w:shd w:val="clear" w:color="auto" w:fill="CCEEFF"/>
          </w:tcPr>
          <w:p>
            <w:pPr>
              <w:spacing w:after="0"/>
              <w:rPr>
                <w:sz w:val="13"/>
                <w:szCs w:val="13"/>
                <w:color w:val="auto"/>
              </w:rPr>
            </w:pPr>
          </w:p>
        </w:tc>
      </w:tr>
      <w:tr>
        <w:trPr>
          <w:trHeight w:val="160"/>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Operating return on average equity:</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5,825</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5,919</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5,975</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5,297</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4,838</w:t>
            </w: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Average equity</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183,371</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177,556</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185,288</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186,597</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201,860</w:t>
            </w:r>
          </w:p>
        </w:tc>
        <w:tc>
          <w:tcPr>
            <w:tcW w:w="20" w:type="dxa"/>
            <w:vAlign w:val="bottom"/>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Operating return on average equity</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12.88%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13.23%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11.39%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9.72%</w:t>
            </w:r>
          </w:p>
        </w:tc>
        <w:tc>
          <w:tcPr>
            <w:tcW w:w="20" w:type="dxa"/>
            <w:vAlign w:val="bottom"/>
          </w:tcPr>
          <w:p>
            <w:pPr>
              <w:spacing w:after="0"/>
              <w:rPr>
                <w:sz w:val="13"/>
                <w:szCs w:val="13"/>
                <w:color w:val="auto"/>
              </w:rPr>
            </w:pPr>
          </w:p>
        </w:tc>
      </w:tr>
      <w:tr>
        <w:trPr>
          <w:trHeight w:val="171"/>
        </w:trPr>
        <w:tc>
          <w:tcPr>
            <w:tcW w:w="3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Revenue:</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interest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15,997</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16,866</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16,774</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15,642</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14,379</w:t>
            </w:r>
          </w:p>
        </w:tc>
        <w:tc>
          <w:tcPr>
            <w:tcW w:w="20" w:type="dxa"/>
            <w:vAlign w:val="bottom"/>
            <w:shd w:val="clear" w:color="auto" w:fill="CCEEFF"/>
          </w:tcPr>
          <w:p>
            <w:pPr>
              <w:spacing w:after="0"/>
              <w:rPr>
                <w:sz w:val="13"/>
                <w:szCs w:val="13"/>
                <w:color w:val="auto"/>
              </w:rPr>
            </w:pPr>
          </w:p>
        </w:tc>
      </w:tr>
      <w:tr>
        <w:trPr>
          <w:trHeight w:val="171"/>
        </w:trPr>
        <w:tc>
          <w:tcPr>
            <w:tcW w:w="3220" w:type="dxa"/>
            <w:vAlign w:val="bottom"/>
          </w:tcPr>
          <w:p>
            <w:pPr>
              <w:ind w:left="200"/>
              <w:spacing w:after="0"/>
              <w:rPr>
                <w:sz w:val="20"/>
                <w:szCs w:val="20"/>
                <w:color w:val="auto"/>
              </w:rPr>
            </w:pPr>
            <w:r>
              <w:rPr>
                <w:rFonts w:ascii="Arial" w:cs="Arial" w:eastAsia="Arial" w:hAnsi="Arial"/>
                <w:sz w:val="11"/>
                <w:szCs w:val="11"/>
                <w:color w:val="auto"/>
              </w:rPr>
              <w:t>Non-interest income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2,070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1,617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1,945</w:t>
            </w:r>
          </w:p>
        </w:tc>
        <w:tc>
          <w:tcPr>
            <w:tcW w:w="20" w:type="dxa"/>
            <w:vAlign w:val="bottom"/>
          </w:tcPr>
          <w:p>
            <w:pPr>
              <w:spacing w:after="0"/>
              <w:rPr>
                <w:sz w:val="14"/>
                <w:szCs w:val="14"/>
                <w:color w:val="auto"/>
              </w:rPr>
            </w:pPr>
          </w:p>
        </w:tc>
      </w:tr>
      <w:tr>
        <w:trPr>
          <w:trHeight w:val="149"/>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Less: Net gains (losses) on sale of securities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6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(1,989)</w:t>
            </w: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2"/>
                <w:szCs w:val="12"/>
                <w:color w:val="auto"/>
              </w:rPr>
            </w:pPr>
          </w:p>
        </w:tc>
      </w:tr>
      <w:tr>
        <w:trPr>
          <w:trHeight w:val="20"/>
        </w:trPr>
        <w:tc>
          <w:tcPr>
            <w:tcW w:w="3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21"/>
        </w:trPr>
        <w:tc>
          <w:tcPr>
            <w:tcW w:w="322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18,088</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18,732</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19,121</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17,262</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16,303</w:t>
            </w:r>
          </w:p>
        </w:tc>
        <w:tc>
          <w:tcPr>
            <w:tcW w:w="20" w:type="dxa"/>
            <w:vAlign w:val="bottom"/>
          </w:tcPr>
          <w:p>
            <w:pPr>
              <w:spacing w:after="0"/>
              <w:rPr>
                <w:sz w:val="19"/>
                <w:szCs w:val="19"/>
                <w:color w:val="auto"/>
              </w:rPr>
            </w:pPr>
          </w:p>
        </w:tc>
      </w:tr>
      <w:tr>
        <w:trPr>
          <w:trHeight w:val="112"/>
        </w:trPr>
        <w:tc>
          <w:tcPr>
            <w:tcW w:w="3220" w:type="dxa"/>
            <w:vAlign w:val="bottom"/>
            <w:tcBorders>
              <w:top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Efficiency Ratio:</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10,176</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10,014</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10,132</w:t>
            </w:r>
          </w:p>
        </w:tc>
        <w:tc>
          <w:tcPr>
            <w:tcW w:w="22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9,551</w:t>
            </w:r>
          </w:p>
        </w:tc>
        <w:tc>
          <w:tcPr>
            <w:tcW w:w="220" w:type="dxa"/>
            <w:vAlign w:val="bottom"/>
            <w:tcBorders>
              <w:lef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9,612</w:t>
            </w:r>
          </w:p>
        </w:tc>
        <w:tc>
          <w:tcPr>
            <w:tcW w:w="20" w:type="dxa"/>
            <w:vAlign w:val="bottom"/>
            <w:shd w:val="clear" w:color="auto" w:fill="CCEEFF"/>
          </w:tcPr>
          <w:p>
            <w:pPr>
              <w:spacing w:after="0"/>
              <w:rPr>
                <w:sz w:val="14"/>
                <w:szCs w:val="14"/>
                <w:color w:val="auto"/>
              </w:rPr>
            </w:pPr>
          </w:p>
        </w:tc>
      </w:tr>
      <w:tr>
        <w:trPr>
          <w:trHeight w:val="160"/>
        </w:trPr>
        <w:tc>
          <w:tcPr>
            <w:tcW w:w="322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18,088</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18,732</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19,121</w:t>
            </w:r>
          </w:p>
        </w:tc>
        <w:tc>
          <w:tcPr>
            <w:tcW w:w="220" w:type="dxa"/>
            <w:vAlign w:val="bottom"/>
            <w:gridSpan w:val="2"/>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17,262</w:t>
            </w:r>
          </w:p>
        </w:tc>
        <w:tc>
          <w:tcPr>
            <w:tcW w:w="220" w:type="dxa"/>
            <w:vAlign w:val="bottom"/>
            <w:gridSpan w:val="2"/>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16,303</w:t>
            </w:r>
          </w:p>
        </w:tc>
        <w:tc>
          <w:tcPr>
            <w:tcW w:w="2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efficiency ratio</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56.26%</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53.46%</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52.99%</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55.33%</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58.96%</w:t>
            </w:r>
          </w:p>
        </w:tc>
        <w:tc>
          <w:tcPr>
            <w:tcW w:w="20" w:type="dxa"/>
            <w:vAlign w:val="bottom"/>
            <w:shd w:val="clear" w:color="auto" w:fill="CCEEFF"/>
          </w:tcPr>
          <w:p>
            <w:pPr>
              <w:spacing w:after="0"/>
              <w:rPr>
                <w:sz w:val="13"/>
                <w:szCs w:val="13"/>
                <w:color w:val="auto"/>
              </w:rPr>
            </w:pPr>
          </w:p>
        </w:tc>
      </w:tr>
    </w:tbl>
    <w:p>
      <w:pPr>
        <w:spacing w:after="0" w:line="17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(1)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0" w:lineRule="exact"/>
        <w:rPr>
          <w:sz w:val="20"/>
          <w:szCs w:val="20"/>
          <w:color w:val="auto"/>
        </w:rPr>
      </w:pPr>
    </w:p>
    <w:tbl>
      <w:tblPr>
        <w:tblLayout w:type="fixed"/>
        <w:tblInd w:w="660" w:type="dxa"/>
        <w:tblCellMar>
          <w:top w:w="0" w:type="dxa"/>
          <w:left w:w="0" w:type="dxa"/>
          <w:bottom w:w="0" w:type="dxa"/>
          <w:right w:w="0" w:type="dxa"/>
        </w:tblCellMar>
      </w:tblPr>
      <w:tr>
        <w:trPr>
          <w:trHeight w:val="145"/>
        </w:trPr>
        <w:tc>
          <w:tcPr>
            <w:tcW w:w="200" w:type="dxa"/>
            <w:vAlign w:val="bottom"/>
          </w:tcPr>
          <w:p>
            <w:pPr>
              <w:spacing w:after="0"/>
              <w:rPr>
                <w:sz w:val="12"/>
                <w:szCs w:val="12"/>
                <w:color w:val="auto"/>
              </w:rPr>
            </w:pPr>
          </w:p>
        </w:tc>
        <w:tc>
          <w:tcPr>
            <w:tcW w:w="4860" w:type="dxa"/>
            <w:vAlign w:val="bottom"/>
            <w:gridSpan w:val="8"/>
          </w:tcPr>
          <w:p>
            <w:pPr>
              <w:jc w:val="right"/>
              <w:ind w:right="23"/>
              <w:spacing w:after="0"/>
              <w:rPr>
                <w:sz w:val="20"/>
                <w:szCs w:val="20"/>
                <w:color w:val="auto"/>
              </w:rPr>
            </w:pPr>
            <w:r>
              <w:rPr>
                <w:rFonts w:ascii="Arial" w:cs="Arial" w:eastAsia="Arial" w:hAnsi="Arial"/>
                <w:sz w:val="11"/>
                <w:szCs w:val="11"/>
                <w:color w:val="auto"/>
              </w:rPr>
              <w:t>(Dollars in thousands, except per share data)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24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3/31/2023</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12/31/2022</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6/30/2022</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20" w:type="dxa"/>
            <w:vAlign w:val="bottom"/>
            <w:gridSpan w:val="2"/>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 xml:space="preserve">Tangible book value per common share (at period-end): </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Arial" w:cs="Arial" w:eastAsia="Arial" w:hAnsi="Arial"/>
                <w:sz w:val="11"/>
                <w:szCs w:val="11"/>
                <w:color w:val="auto"/>
              </w:rPr>
              <w:t>Total stockholders' equity</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183,858</w:t>
            </w:r>
          </w:p>
        </w:tc>
        <w:tc>
          <w:tcPr>
            <w:tcW w:w="120" w:type="dxa"/>
            <w:vAlign w:val="bottom"/>
            <w:gridSpan w:val="3"/>
          </w:tcPr>
          <w:p>
            <w:pPr>
              <w:jc w:val="right"/>
              <w:ind w:right="17"/>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182,428</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180,068</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192,039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1"/>
                <w:szCs w:val="11"/>
                <w:color w:val="auto"/>
              </w:rPr>
              <w:t>Less: Intangible assets</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183,858</w:t>
            </w:r>
          </w:p>
        </w:tc>
        <w:tc>
          <w:tcPr>
            <w:tcW w:w="120" w:type="dxa"/>
            <w:vAlign w:val="bottom"/>
            <w:gridSpan w:val="3"/>
          </w:tcPr>
          <w:p>
            <w:pPr>
              <w:jc w:val="right"/>
              <w:ind w:right="17"/>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182,428</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180,068</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192,039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19,622,380</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line="151" w:lineRule="exact"/>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9.37</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9.12</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9.60</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Operating diluted net income per common share:</w:t>
            </w:r>
            <w:r>
              <w:rPr>
                <w:rFonts w:ascii="Arial" w:cs="Arial" w:eastAsia="Arial" w:hAnsi="Arial"/>
                <w:sz w:val="14"/>
                <w:szCs w:val="14"/>
                <w:color w:val="auto"/>
                <w:vertAlign w:val="superscript"/>
              </w:rPr>
              <w:t>(1)</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5,825</w:t>
            </w:r>
          </w:p>
        </w:tc>
        <w:tc>
          <w:tcPr>
            <w:tcW w:w="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5,919</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w:t>
            </w: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weighted average diluted shares of common stock</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19,940,606</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20,172,438</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20,148,208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20,171,261</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20,109,783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diluted net income per common share: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Tangible Common Equity/Tangible  Assets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Arial" w:cs="Arial" w:eastAsia="Arial" w:hAnsi="Arial"/>
                <w:sz w:val="11"/>
                <w:szCs w:val="11"/>
                <w:color w:val="auto"/>
              </w:rPr>
              <w:t>Tangible stockholders' equity</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183,858</w:t>
            </w:r>
          </w:p>
        </w:tc>
        <w:tc>
          <w:tcPr>
            <w:tcW w:w="120" w:type="dxa"/>
            <w:vAlign w:val="bottom"/>
            <w:gridSpan w:val="3"/>
          </w:tcPr>
          <w:p>
            <w:pPr>
              <w:jc w:val="right"/>
              <w:ind w:right="17"/>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182,428</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180,068</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192,039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Tangible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2,163,821</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2,037,453</w:t>
            </w: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2,016,086</w:t>
            </w:r>
          </w:p>
        </w:tc>
        <w:tc>
          <w:tcPr>
            <w:tcW w:w="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1,967,252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100"/>
              <w:spacing w:after="0"/>
              <w:rPr>
                <w:sz w:val="20"/>
                <w:szCs w:val="20"/>
                <w:color w:val="auto"/>
              </w:rPr>
            </w:pPr>
            <w:r>
              <w:rPr>
                <w:rFonts w:ascii="Arial" w:cs="Arial" w:eastAsia="Arial" w:hAnsi="Arial"/>
                <w:sz w:val="11"/>
                <w:szCs w:val="11"/>
                <w:color w:val="auto"/>
              </w:rPr>
              <w:t>Tangible Common Equity/Tangible Assets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8.50%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8.75%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Borders>
              <w:bottom w:val="single" w:sz="8" w:color="auto"/>
            </w:tcBorders>
            <w:shd w:val="clear" w:color="auto" w:fill="CCEEFF"/>
          </w:tcPr>
          <w:p>
            <w:pPr>
              <w:spacing w:after="0"/>
              <w:rPr>
                <w:sz w:val="14"/>
                <w:szCs w:val="14"/>
                <w:color w:val="auto"/>
              </w:rPr>
            </w:pPr>
          </w:p>
        </w:tc>
        <w:tc>
          <w:tcPr>
            <w:tcW w:w="3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29"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3.</w:t>
        <w:tab/>
        <w:t>Quantitative and Qualitative Disclosures About Market Risk</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6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Exchange Act) as of March 31, 2023.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Form 10-Q.</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67" w:lineRule="exact"/>
        <w:rPr>
          <w:sz w:val="20"/>
          <w:szCs w:val="20"/>
          <w:color w:val="auto"/>
        </w:rPr>
      </w:pPr>
    </w:p>
    <w:p>
      <w:pPr>
        <w:jc w:val="both"/>
        <w:ind w:left="660" w:right="699" w:firstLine="256"/>
        <w:spacing w:after="0" w:line="261"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6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1.</w:t>
        <w:tab/>
        <w:t>Legal Proceedings</w:t>
      </w:r>
    </w:p>
    <w:p>
      <w:pPr>
        <w:spacing w:after="0" w:line="17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7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2022 Form 10-K/A and additional risk factors as of March 31, 2023 as set forth below.</w:t>
      </w:r>
    </w:p>
    <w:p>
      <w:pPr>
        <w:spacing w:after="0" w:line="134" w:lineRule="exact"/>
        <w:rPr>
          <w:sz w:val="20"/>
          <w:szCs w:val="20"/>
          <w:color w:val="auto"/>
        </w:rPr>
      </w:pPr>
    </w:p>
    <w:p>
      <w:pPr>
        <w:ind w:left="660" w:right="619" w:firstLine="256"/>
        <w:spacing w:after="0" w:line="295" w:lineRule="auto"/>
        <w:rPr>
          <w:sz w:val="20"/>
          <w:szCs w:val="20"/>
          <w:color w:val="auto"/>
        </w:rPr>
      </w:pPr>
      <w:r>
        <w:rPr>
          <w:rFonts w:ascii="Arial" w:cs="Arial" w:eastAsia="Arial" w:hAnsi="Arial"/>
          <w:sz w:val="14"/>
          <w:szCs w:val="14"/>
          <w:b w:val="1"/>
          <w:bCs w:val="1"/>
          <w:color w:val="auto"/>
        </w:rPr>
        <w:t>Financial challenges at other banking institutions could lead to depositor concerns that spread within the banking industry causing disruptive and destabilizing deposit outflows.</w:t>
      </w:r>
    </w:p>
    <w:p>
      <w:pPr>
        <w:spacing w:after="0" w:line="103" w:lineRule="exact"/>
        <w:rPr>
          <w:sz w:val="20"/>
          <w:szCs w:val="20"/>
          <w:color w:val="auto"/>
        </w:rPr>
      </w:pPr>
    </w:p>
    <w:p>
      <w:pPr>
        <w:ind w:left="660" w:right="599" w:firstLine="256"/>
        <w:spacing w:after="0" w:line="248" w:lineRule="auto"/>
        <w:rPr>
          <w:sz w:val="20"/>
          <w:szCs w:val="20"/>
          <w:color w:val="auto"/>
        </w:rPr>
      </w:pPr>
      <w:r>
        <w:rPr>
          <w:rFonts w:ascii="Arial" w:cs="Arial" w:eastAsia="Arial" w:hAnsi="Arial"/>
          <w:sz w:val="14"/>
          <w:szCs w:val="14"/>
          <w:color w:val="auto"/>
        </w:rPr>
        <w:t>In March 2023, Silicon Valley Bank and Signature Bank experienced large deposit outflows coupled with insufficient liquidity to meet withdrawal demands, resulting in the institutions being placed into FDIC receiverships. In the aftermath, there has been substantial market disruption and concerns that diminished depositor confidence could spread across the banking industry, leading to deposit outflows that could destabilize other institutions. To strengthen public confidence in the banking system, the FDIC took action to protect funds held in uninsured deposit accounts at Silicon Valley Bank and Signature Bank. However, the FDIC has not committed to protecting uninsured deposits in other institutions that experience outsized withdrawal demands. Subsequently, on May 1, 2023 First Republic Bank became another large bank to fail.</w:t>
      </w:r>
    </w:p>
    <w:p>
      <w:pPr>
        <w:spacing w:after="0" w:line="14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To further bolster the banking system, the FRB created a new Bank Term Funding Program to provide an additional source of liquidity. At March 31, 2023, the Company had $413.0 million in available liquidity on balance sheet, including $59.0 million in excess cash. The Company has an additional $228.0 million in off balance sheet liquidity, it excludes access to brokered deposits and other off balance sheet sources of funding. Notwithstanding our significant liquidity, large deposit outflows could adversely affect our financial condition and results of operations and could ultimately result in the closure of the Bank. Furthermore, the recent bank failures may result in federal and state banking regulators taking steps to strengthen capital and liquidity rules which, if the revised rules apply to us, could adversely affect the Company’s financial condition and results of operations.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Our FDIC deposit insurance premiums and assessments may increase, which would reduce our profitability.</w:t>
      </w:r>
    </w:p>
    <w:p>
      <w:pPr>
        <w:spacing w:after="0" w:line="16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On March 12, 2023, the Department of the Treasury, the FRB and the FDIC issued a joint statement relating to the resolution of Silicon Valley Bank and Signature Bank that stated that losses to support uninsured deposits of those banks would be recovered via a special assessment on banks. The terms of that special assessment have not been announced. The announced special assessment, as well as any future increases in assessment rates or required prepayments in FDIC insurance premiums, to the extent that they result in increased deposit insurance costs, would reduce the Company’s profitability.</w:t>
      </w:r>
    </w:p>
    <w:p>
      <w:pPr>
        <w:spacing w:after="0" w:line="138" w:lineRule="exact"/>
        <w:rPr>
          <w:sz w:val="20"/>
          <w:szCs w:val="20"/>
          <w:color w:val="auto"/>
        </w:rPr>
      </w:pPr>
    </w:p>
    <w:p>
      <w:pPr>
        <w:ind w:left="660" w:right="679" w:firstLine="256"/>
        <w:spacing w:after="0" w:line="295" w:lineRule="auto"/>
        <w:rPr>
          <w:sz w:val="20"/>
          <w:szCs w:val="20"/>
          <w:color w:val="auto"/>
        </w:rPr>
      </w:pPr>
      <w:r>
        <w:rPr>
          <w:rFonts w:ascii="Arial" w:cs="Arial" w:eastAsia="Arial" w:hAnsi="Arial"/>
          <w:sz w:val="14"/>
          <w:szCs w:val="14"/>
          <w:b w:val="1"/>
          <w:bCs w:val="1"/>
          <w:color w:val="auto"/>
        </w:rPr>
        <w:t>Insufficient liquidity could impair our ability to fund operations and jeopardize our financial condition, growth and prospects.</w:t>
      </w:r>
    </w:p>
    <w:p>
      <w:pPr>
        <w:spacing w:after="0" w:line="103"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The Company requires sufficient liquidity to fund loan commitments, satisfy depositor withdrawal requests, make payments on its debt obligations as they become due, and meet other cash commitments. Liquidity risk is the potential that the Company will not be able to meet its obligations as they become due because of an inability to liquidate assets or obtain adequate funding at a reasonable cost, in a timely manner and without adverse conditions or consequences. The Company’s sources of liquidity consist primarily of cash, assets readily convertible to cash (such as investment securities), increases in deposits, advances, as needed, from the FHLB, borrowings, as needed, from the Federal Reserve Bank of Atlanta and other borrowings, including pursuant to the Bank Term Funding Program. The Company’s access to funding sources in amounts adequate to finance its activities or on acceptable terms could be impaired by factors that affect the Company in particular or the financial services industry or economy in general. Any substantial, unexpected, and/or prolonged change in the level or cost of liquidity could impair the Company’s ability to fund operations and meet its obligations as they become due and could have a material adverse effect on the Company’s business, financial condition and results of operations.</w:t>
      </w:r>
    </w:p>
    <w:p>
      <w:pPr>
        <w:spacing w:after="0" w:line="200" w:lineRule="exact"/>
        <w:rPr>
          <w:sz w:val="20"/>
          <w:szCs w:val="20"/>
          <w:color w:val="auto"/>
        </w:rPr>
      </w:pPr>
    </w:p>
    <w:p>
      <w:pPr>
        <w:spacing w:after="0" w:line="218"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2.</w:t>
        <w:tab/>
        <w:t>Unregistered Sales of Equity Securities and Use of Proceeds</w:t>
      </w:r>
    </w:p>
    <w:p>
      <w:pPr>
        <w:spacing w:after="0" w:line="167" w:lineRule="exact"/>
        <w:rPr>
          <w:sz w:val="20"/>
          <w:szCs w:val="20"/>
          <w:color w:val="auto"/>
        </w:rPr>
      </w:pPr>
    </w:p>
    <w:p>
      <w:pPr>
        <w:ind w:left="1140" w:hanging="221"/>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None.</w:t>
      </w:r>
    </w:p>
    <w:p>
      <w:pPr>
        <w:spacing w:after="0" w:line="169" w:lineRule="exact"/>
        <w:rPr>
          <w:rFonts w:ascii="Arial" w:cs="Arial" w:eastAsia="Arial" w:hAnsi="Arial"/>
          <w:sz w:val="14"/>
          <w:szCs w:val="14"/>
          <w:color w:val="auto"/>
        </w:rPr>
      </w:pPr>
    </w:p>
    <w:p>
      <w:pPr>
        <w:ind w:left="1140" w:hanging="221"/>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69" w:lineRule="exact"/>
        <w:rPr>
          <w:rFonts w:ascii="Arial" w:cs="Arial" w:eastAsia="Arial" w:hAnsi="Arial"/>
          <w:sz w:val="14"/>
          <w:szCs w:val="14"/>
          <w:color w:val="auto"/>
        </w:rPr>
      </w:pPr>
    </w:p>
    <w:p>
      <w:pPr>
        <w:ind w:left="1120" w:hanging="201"/>
        <w:spacing w:after="0"/>
        <w:tabs>
          <w:tab w:leader="none" w:pos="1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three months ended March 31, 2023 were as follows:</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Maximum Number</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of Shares that</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May</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Total Number of Shares Purchased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Yet Be Purchased</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Price Paid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as Part of Publicly Announced Plans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Under Plans or</w:t>
            </w:r>
          </w:p>
        </w:tc>
      </w:tr>
      <w:tr>
        <w:trPr>
          <w:trHeight w:val="173"/>
        </w:trPr>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Purchased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or Programs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Programs (1)</w:t>
            </w:r>
          </w:p>
        </w:tc>
      </w:tr>
      <w:tr>
        <w:trPr>
          <w:trHeight w:val="141"/>
        </w:trPr>
        <w:tc>
          <w:tcPr>
            <w:tcW w:w="242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Period</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420" w:type="dxa"/>
            <w:vAlign w:val="bottom"/>
          </w:tcPr>
          <w:p>
            <w:pPr>
              <w:ind w:left="140"/>
              <w:spacing w:after="0"/>
              <w:rPr>
                <w:sz w:val="20"/>
                <w:szCs w:val="20"/>
                <w:color w:val="auto"/>
              </w:rPr>
            </w:pPr>
            <w:r>
              <w:rPr>
                <w:rFonts w:ascii="Arial" w:cs="Arial" w:eastAsia="Arial" w:hAnsi="Arial"/>
                <w:sz w:val="13"/>
                <w:szCs w:val="13"/>
                <w:color w:val="auto"/>
              </w:rPr>
              <w:t>January 1 - 31, 2023</w:t>
            </w:r>
          </w:p>
        </w:tc>
        <w:tc>
          <w:tcPr>
            <w:tcW w:w="90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ind w:left="8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750,000</w:t>
            </w:r>
          </w:p>
        </w:tc>
        <w:tc>
          <w:tcPr>
            <w:tcW w:w="20" w:type="dxa"/>
            <w:vAlign w:val="bottom"/>
          </w:tcPr>
          <w:p>
            <w:pPr>
              <w:spacing w:after="0"/>
              <w:rPr>
                <w:sz w:val="14"/>
                <w:szCs w:val="14"/>
                <w:color w:val="auto"/>
              </w:rPr>
            </w:pPr>
          </w:p>
        </w:tc>
      </w:tr>
      <w:tr>
        <w:trPr>
          <w:trHeight w:val="151"/>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February 1 - 28, 2023</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12.04</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March 1 - 31, 2023</w:t>
            </w:r>
          </w:p>
        </w:tc>
        <w:tc>
          <w:tcPr>
            <w:tcW w:w="140" w:type="dxa"/>
            <w:vAlign w:val="bottom"/>
            <w:tcBorders>
              <w:bottom w:val="single" w:sz="8" w:color="CCEEFF"/>
            </w:tcBorders>
            <w:gridSpan w:val="3"/>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11.43</w:t>
            </w:r>
          </w:p>
        </w:tc>
        <w:tc>
          <w:tcPr>
            <w:tcW w:w="2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CCEEFF"/>
            </w:tcBorders>
          </w:tcPr>
          <w:p>
            <w:pPr>
              <w:spacing w:after="0"/>
              <w:rPr>
                <w:sz w:val="15"/>
                <w:szCs w:val="15"/>
                <w:color w:val="auto"/>
              </w:rPr>
            </w:pPr>
          </w:p>
        </w:tc>
      </w:tr>
      <w:tr>
        <w:trPr>
          <w:trHeight w:val="131"/>
        </w:trPr>
        <w:tc>
          <w:tcPr>
            <w:tcW w:w="24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500,000</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660" w:type="dxa"/>
            <w:vAlign w:val="bottom"/>
            <w:tcBorders>
              <w:bottom w:val="single" w:sz="8" w:color="CCEEFF"/>
            </w:tcBorders>
            <w:shd w:val="clear" w:color="auto" w:fill="CCEEFF"/>
          </w:tcPr>
          <w:p>
            <w:pPr>
              <w:ind w:left="260"/>
              <w:spacing w:after="0" w:line="131" w:lineRule="exact"/>
              <w:rPr>
                <w:sz w:val="20"/>
                <w:szCs w:val="20"/>
                <w:color w:val="auto"/>
              </w:rPr>
            </w:pPr>
            <w:r>
              <w:rPr>
                <w:rFonts w:ascii="Arial" w:cs="Arial" w:eastAsia="Arial" w:hAnsi="Arial"/>
                <w:sz w:val="13"/>
                <w:szCs w:val="13"/>
                <w:color w:val="auto"/>
              </w:rPr>
              <w:t>11.74</w:t>
            </w:r>
          </w:p>
        </w:tc>
        <w:tc>
          <w:tcPr>
            <w:tcW w:w="40" w:type="dxa"/>
            <w:vAlign w:val="bottom"/>
            <w:tcBorders>
              <w:bottom w:val="single" w:sz="8" w:color="CCEEFF"/>
            </w:tcBorders>
            <w:gridSpan w:val="2"/>
            <w:shd w:val="clear" w:color="auto" w:fill="CCEEFF"/>
          </w:tcPr>
          <w:p>
            <w:pPr>
              <w:spacing w:after="0"/>
              <w:rPr>
                <w:sz w:val="11"/>
                <w:szCs w:val="11"/>
                <w:color w:val="auto"/>
              </w:rPr>
            </w:pPr>
          </w:p>
        </w:tc>
        <w:tc>
          <w:tcPr>
            <w:tcW w:w="21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r>
    </w:tbl>
    <w:p>
      <w:pPr>
        <w:ind w:left="660" w:right="879" w:firstLine="3"/>
        <w:spacing w:after="0" w:line="269" w:lineRule="auto"/>
        <w:tabs>
          <w:tab w:leader="none" w:pos="830" w:val="left"/>
        </w:tabs>
        <w:numPr>
          <w:ilvl w:val="0"/>
          <w:numId w:val="24"/>
        </w:numPr>
        <w:rPr>
          <w:rFonts w:ascii="Arial" w:cs="Arial" w:eastAsia="Arial" w:hAnsi="Arial"/>
          <w:sz w:val="11"/>
          <w:szCs w:val="11"/>
          <w:color w:val="auto"/>
        </w:rPr>
      </w:pPr>
      <w:r>
        <w:rPr>
          <w:rFonts w:ascii="Arial" w:cs="Arial" w:eastAsia="Arial" w:hAnsi="Arial"/>
          <w:sz w:val="11"/>
          <w:szCs w:val="11"/>
          <w:color w:val="auto"/>
        </w:rPr>
        <w:t>On January 24, 2022 the Company announced its initial stock repurchase program to repurchase up to 750,000 shares of Class A common stock, approximately 3.75% of the Company’s then outstanding shares of common stock.</w:t>
      </w:r>
    </w:p>
    <w:p>
      <w:pPr>
        <w:spacing w:after="0" w:line="21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3.</w:t>
        <w:tab/>
        <w:t>Defaults Upon Senior Securities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1980"/>
        <w:spacing w:after="0"/>
        <w:tabs>
          <w:tab w:leader="none" w:pos="26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8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gridSpan w:val="111"/>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40" w:type="dxa"/>
            <w:vAlign w:val="bottom"/>
            <w:gridSpan w:val="2"/>
          </w:tcPr>
          <w:p>
            <w:pPr>
              <w:spacing w:after="0"/>
              <w:rPr>
                <w:sz w:val="10"/>
                <w:szCs w:val="10"/>
                <w:color w:val="auto"/>
              </w:rPr>
            </w:pPr>
          </w:p>
        </w:tc>
        <w:tc>
          <w:tcPr>
            <w:tcW w:w="180" w:type="dxa"/>
            <w:vAlign w:val="bottom"/>
          </w:tcPr>
          <w:p>
            <w:pPr>
              <w:jc w:val="center"/>
              <w:spacing w:after="0" w:line="119" w:lineRule="exact"/>
              <w:rPr>
                <w:rFonts w:ascii="Arial" w:cs="Arial" w:eastAsia="Arial" w:hAnsi="Arial"/>
                <w:sz w:val="13"/>
                <w:szCs w:val="13"/>
                <w:color w:val="0000FF"/>
                <w:w w:val="99"/>
              </w:rPr>
            </w:pPr>
            <w:hyperlink r:id="rId61">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1"/>
          </w:tcPr>
          <w:p>
            <w:pPr>
              <w:spacing w:after="0" w:line="119" w:lineRule="exact"/>
              <w:rPr>
                <w:rFonts w:ascii="Arial" w:cs="Arial" w:eastAsia="Arial" w:hAnsi="Arial"/>
                <w:sz w:val="13"/>
                <w:szCs w:val="13"/>
                <w:color w:val="0000FF"/>
              </w:rPr>
            </w:pPr>
            <w:hyperlink r:id="rId61">
              <w:r>
                <w:rPr>
                  <w:rFonts w:ascii="Arial" w:cs="Arial" w:eastAsia="Arial" w:hAnsi="Arial"/>
                  <w:sz w:val="13"/>
                  <w:szCs w:val="13"/>
                  <w:color w:val="0000FF"/>
                </w:rPr>
                <w:t>Agreement and Plan of Share Exchange, dated December 27, 2021, by and between U.S. Century Bank and USCB</w:t>
              </w:r>
            </w:hyperlink>
          </w:p>
        </w:tc>
        <w:tc>
          <w:tcPr>
            <w:tcW w:w="0" w:type="dxa"/>
            <w:vAlign w:val="bottom"/>
          </w:tcPr>
          <w:p>
            <w:pPr>
              <w:spacing w:after="0"/>
              <w:rPr>
                <w:sz w:val="1"/>
                <w:szCs w:val="1"/>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1">
              <w:r>
                <w:rPr>
                  <w:rFonts w:ascii="Arial" w:cs="Arial" w:eastAsia="Arial" w:hAnsi="Arial"/>
                  <w:sz w:val="13"/>
                  <w:szCs w:val="13"/>
                  <w:color w:val="0000FF"/>
                </w:rPr>
                <w:t>Financial Holdings, Inc. (incorporated by reference to Exhibit 2.1 to the Registrant’s Current Report on Form 8-K (File No.</w:t>
              </w:r>
            </w:hyperlink>
          </w:p>
        </w:tc>
        <w:tc>
          <w:tcPr>
            <w:tcW w:w="0" w:type="dxa"/>
            <w:vAlign w:val="bottom"/>
          </w:tcPr>
          <w:p>
            <w:pPr>
              <w:spacing w:after="0"/>
              <w:rPr>
                <w:sz w:val="1"/>
                <w:szCs w:val="1"/>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2">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Borders>
              <w:bottom w:val="single" w:sz="8" w:color="0000FF"/>
            </w:tcBorders>
            <w:gridSpan w:val="34"/>
          </w:tcPr>
          <w:p>
            <w:pPr>
              <w:spacing w:after="0" w:line="119" w:lineRule="exact"/>
              <w:rPr>
                <w:rFonts w:ascii="Arial" w:cs="Arial" w:eastAsia="Arial" w:hAnsi="Arial"/>
                <w:sz w:val="13"/>
                <w:szCs w:val="13"/>
                <w:color w:val="0000FF"/>
              </w:rPr>
            </w:pPr>
            <w:hyperlink r:id="rId61">
              <w:r>
                <w:rPr>
                  <w:rFonts w:ascii="Arial" w:cs="Arial" w:eastAsia="Arial" w:hAnsi="Arial"/>
                  <w:sz w:val="13"/>
                  <w:szCs w:val="13"/>
                  <w:color w:val="0000FF"/>
                </w:rPr>
                <w:t>001-41196) filed with the Securities and</w:t>
              </w:r>
            </w:hyperlink>
          </w:p>
        </w:tc>
        <w:tc>
          <w:tcPr>
            <w:tcW w:w="20" w:type="dxa"/>
            <w:vAlign w:val="bottom"/>
            <w:tcBorders>
              <w:bottom w:val="single" w:sz="8" w:color="0000FF"/>
            </w:tcBorders>
            <w:vMerge w:val="continue"/>
          </w:tcPr>
          <w:p>
            <w:pPr>
              <w:spacing w:after="0"/>
              <w:rPr>
                <w:sz w:val="10"/>
                <w:szCs w:val="10"/>
                <w:color w:val="auto"/>
              </w:rPr>
            </w:pPr>
          </w:p>
        </w:tc>
        <w:tc>
          <w:tcPr>
            <w:tcW w:w="2660" w:type="dxa"/>
            <w:vAlign w:val="bottom"/>
            <w:tcBorders>
              <w:bottom w:val="single" w:sz="8" w:color="0000FF"/>
            </w:tcBorders>
            <w:gridSpan w:val="39"/>
          </w:tcPr>
          <w:p>
            <w:pPr>
              <w:spacing w:after="0" w:line="119" w:lineRule="exact"/>
              <w:rPr>
                <w:rFonts w:ascii="Arial" w:cs="Arial" w:eastAsia="Arial" w:hAnsi="Arial"/>
                <w:sz w:val="13"/>
                <w:szCs w:val="13"/>
                <w:color w:val="0000FF"/>
                <w:w w:val="95"/>
              </w:rPr>
            </w:pPr>
            <w:hyperlink r:id="rId61">
              <w:r>
                <w:rPr>
                  <w:rFonts w:ascii="Arial" w:cs="Arial" w:eastAsia="Arial" w:hAnsi="Arial"/>
                  <w:sz w:val="13"/>
                  <w:szCs w:val="13"/>
                  <w:color w:val="0000FF"/>
                  <w:w w:val="95"/>
                </w:rPr>
                <w:t>Exchange Commission on December 30, 2021).</w:t>
              </w:r>
            </w:hyperlink>
          </w:p>
        </w:tc>
        <w:tc>
          <w:tcPr>
            <w:tcW w:w="1980" w:type="dxa"/>
            <w:vAlign w:val="bottom"/>
            <w:gridSpan w:val="37"/>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2">
              <w:r>
                <w:rPr>
                  <w:rFonts w:ascii="Arial" w:cs="Arial" w:eastAsia="Arial" w:hAnsi="Arial"/>
                  <w:sz w:val="13"/>
                  <w:szCs w:val="13"/>
                  <w:color w:val="0000FF"/>
                </w:rPr>
                <w:t>Articles of Incorporation of USCB Financial Holdings, Inc. (incorporated by reference to Exhibit 3.1 to the Registrant’s</w:t>
              </w:r>
            </w:hyperlink>
          </w:p>
        </w:tc>
        <w:tc>
          <w:tcPr>
            <w:tcW w:w="0" w:type="dxa"/>
            <w:vAlign w:val="bottom"/>
          </w:tcPr>
          <w:p>
            <w:pPr>
              <w:spacing w:after="0"/>
              <w:rPr>
                <w:sz w:val="1"/>
                <w:szCs w:val="1"/>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2">
              <w:r>
                <w:rPr>
                  <w:rFonts w:ascii="Arial" w:cs="Arial" w:eastAsia="Arial" w:hAnsi="Arial"/>
                  <w:sz w:val="13"/>
                  <w:szCs w:val="13"/>
                  <w:color w:val="0000FF"/>
                </w:rPr>
                <w:t>Current Report on Form 8-K (File No. 001-41196) filed with the Securities and Exchange Commission on December 30,</w:t>
              </w:r>
            </w:hyperlink>
          </w:p>
        </w:tc>
        <w:tc>
          <w:tcPr>
            <w:tcW w:w="0" w:type="dxa"/>
            <w:vAlign w:val="bottom"/>
          </w:tcPr>
          <w:p>
            <w:pPr>
              <w:spacing w:after="0"/>
              <w:rPr>
                <w:sz w:val="1"/>
                <w:szCs w:val="1"/>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gridSpan w:val="3"/>
            <w:vMerge w:val="restart"/>
          </w:tcPr>
          <w:p>
            <w:pPr>
              <w:jc w:val="center"/>
              <w:ind w:left="276"/>
              <w:spacing w:after="0"/>
              <w:rPr>
                <w:rFonts w:ascii="Arial" w:cs="Arial" w:eastAsia="Arial" w:hAnsi="Arial"/>
                <w:sz w:val="13"/>
                <w:szCs w:val="13"/>
                <w:color w:val="0000FF"/>
                <w:w w:val="99"/>
              </w:rPr>
            </w:pPr>
            <w:hyperlink r:id="rId63">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7580" w:type="dxa"/>
            <w:vAlign w:val="bottom"/>
            <w:gridSpan w:val="115"/>
          </w:tcPr>
          <w:p>
            <w:pPr>
              <w:spacing w:after="0"/>
              <w:rPr>
                <w:rFonts w:ascii="Arial" w:cs="Arial" w:eastAsia="Arial" w:hAnsi="Arial"/>
                <w:sz w:val="13"/>
                <w:szCs w:val="13"/>
                <w:color w:val="0000FF"/>
              </w:rPr>
            </w:pPr>
            <w:hyperlink r:id="rId62">
              <w:r>
                <w:rPr>
                  <w:rFonts w:ascii="Arial" w:cs="Arial" w:eastAsia="Arial" w:hAnsi="Arial"/>
                  <w:sz w:val="13"/>
                  <w:szCs w:val="13"/>
                  <w:color w:val="0000FF"/>
                </w:rPr>
                <w:t>2021).</w:t>
              </w:r>
            </w:hyperlink>
          </w:p>
        </w:tc>
        <w:tc>
          <w:tcPr>
            <w:tcW w:w="0" w:type="dxa"/>
            <w:vAlign w:val="bottom"/>
          </w:tcPr>
          <w:p>
            <w:pPr>
              <w:spacing w:after="0"/>
              <w:rPr>
                <w:sz w:val="1"/>
                <w:szCs w:val="1"/>
                <w:color w:val="auto"/>
              </w:rPr>
            </w:pPr>
          </w:p>
        </w:tc>
      </w:tr>
      <w:tr>
        <w:trPr>
          <w:trHeight w:val="20"/>
        </w:trPr>
        <w:tc>
          <w:tcPr>
            <w:tcW w:w="520" w:type="dxa"/>
            <w:vAlign w:val="bottom"/>
            <w:gridSpan w:val="3"/>
            <w:vMerge w:val="continue"/>
          </w:tcPr>
          <w:p>
            <w:pPr>
              <w:spacing w:after="0" w:line="20" w:lineRule="exact"/>
              <w:rPr>
                <w:sz w:val="1"/>
                <w:szCs w:val="1"/>
                <w:color w:val="auto"/>
              </w:rPr>
            </w:pPr>
          </w:p>
        </w:tc>
        <w:tc>
          <w:tcPr>
            <w:tcW w:w="960" w:type="dxa"/>
            <w:vAlign w:val="bottom"/>
            <w:tcBorders>
              <w:right w:val="single" w:sz="8" w:color="0000FF"/>
            </w:tcBorders>
            <w:gridSpan w:val="6"/>
          </w:tcPr>
          <w:p>
            <w:pPr>
              <w:spacing w:after="0" w:line="20" w:lineRule="exact"/>
              <w:rPr>
                <w:sz w:val="1"/>
                <w:szCs w:val="1"/>
                <w:color w:val="auto"/>
              </w:rPr>
            </w:pPr>
          </w:p>
        </w:tc>
        <w:tc>
          <w:tcPr>
            <w:tcW w:w="6620" w:type="dxa"/>
            <w:vAlign w:val="bottom"/>
            <w:gridSpan w:val="10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w w:val="97"/>
              </w:rPr>
            </w:pPr>
            <w:hyperlink r:id="rId63">
              <w:r>
                <w:rPr>
                  <w:rFonts w:ascii="Arial" w:cs="Arial" w:eastAsia="Arial" w:hAnsi="Arial"/>
                  <w:sz w:val="13"/>
                  <w:szCs w:val="13"/>
                  <w:color w:val="0000FF"/>
                  <w:w w:val="97"/>
                </w:rPr>
                <w:t>Amended and Restated Bylaws of USCB Financial Holdings, Inc. (incorporated by reference to Exhibit 3.2 to the Registrant’s</w:t>
              </w:r>
            </w:hyperlink>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60" w:type="dxa"/>
            <w:vAlign w:val="bottom"/>
            <w:tcBorders>
              <w:top w:val="single" w:sz="8" w:color="0000FF"/>
            </w:tcBorders>
            <w:gridSpan w:val="110"/>
          </w:tcPr>
          <w:p>
            <w:pPr>
              <w:spacing w:after="0" w:line="119" w:lineRule="exact"/>
              <w:rPr>
                <w:rFonts w:ascii="Arial" w:cs="Arial" w:eastAsia="Arial" w:hAnsi="Arial"/>
                <w:sz w:val="13"/>
                <w:szCs w:val="13"/>
                <w:color w:val="0000FF"/>
              </w:rPr>
            </w:pPr>
            <w:hyperlink r:id="rId63">
              <w:r>
                <w:rPr>
                  <w:rFonts w:ascii="Arial" w:cs="Arial" w:eastAsia="Arial" w:hAnsi="Arial"/>
                  <w:sz w:val="13"/>
                  <w:szCs w:val="13"/>
                  <w:color w:val="0000FF"/>
                </w:rPr>
                <w:t>Current Report on Form 8-K (File No. 001-41196) filed with the Securities and Exchange Commission on December 30,</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4">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7580" w:type="dxa"/>
            <w:vAlign w:val="bottom"/>
            <w:gridSpan w:val="115"/>
          </w:tcPr>
          <w:p>
            <w:pPr>
              <w:spacing w:after="0"/>
              <w:rPr>
                <w:rFonts w:ascii="Arial" w:cs="Arial" w:eastAsia="Arial" w:hAnsi="Arial"/>
                <w:sz w:val="13"/>
                <w:szCs w:val="13"/>
                <w:color w:val="0000FF"/>
              </w:rPr>
            </w:pPr>
            <w:hyperlink r:id="rId63">
              <w:r>
                <w:rPr>
                  <w:rFonts w:ascii="Arial" w:cs="Arial" w:eastAsia="Arial" w:hAnsi="Arial"/>
                  <w:sz w:val="13"/>
                  <w:szCs w:val="13"/>
                  <w:color w:val="0000FF"/>
                </w:rPr>
                <w:t>2021).</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60" w:type="dxa"/>
            <w:vAlign w:val="bottom"/>
            <w:tcBorders>
              <w:right w:val="single" w:sz="8" w:color="0000FF"/>
            </w:tcBorders>
            <w:gridSpan w:val="6"/>
          </w:tcPr>
          <w:p>
            <w:pPr>
              <w:spacing w:after="0" w:line="20" w:lineRule="exact"/>
              <w:rPr>
                <w:sz w:val="1"/>
                <w:szCs w:val="1"/>
                <w:color w:val="auto"/>
              </w:rPr>
            </w:pPr>
          </w:p>
        </w:tc>
        <w:tc>
          <w:tcPr>
            <w:tcW w:w="6620" w:type="dxa"/>
            <w:vAlign w:val="bottom"/>
            <w:gridSpan w:val="10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Side Letter Agreement, dated December 30, 2021, between USCB Financial Holdings, Inc., U.S. Century Bank, Priam</w:t>
              </w:r>
            </w:hyperlink>
          </w:p>
        </w:tc>
        <w:tc>
          <w:tcPr>
            <w:tcW w:w="0" w:type="dxa"/>
            <w:vAlign w:val="bottom"/>
          </w:tcPr>
          <w:p>
            <w:pPr>
              <w:spacing w:after="0"/>
              <w:rPr>
                <w:sz w:val="1"/>
                <w:szCs w:val="1"/>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Capital Fund II, LP, Patriot Financial Partners II, 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60" w:type="dxa"/>
            <w:vAlign w:val="bottom"/>
            <w:tcBorders>
              <w:left w:val="single" w:sz="8" w:color="0000FF"/>
              <w:right w:val="single" w:sz="8" w:color="0000FF"/>
            </w:tcBorders>
            <w:gridSpan w:val="4"/>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reference to Exhibit 4.1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9"/>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5">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0000FF"/>
            </w:tcBorders>
            <w:gridSpan w:val="14"/>
          </w:tcPr>
          <w:p>
            <w:pPr>
              <w:spacing w:after="0" w:line="119" w:lineRule="exact"/>
              <w:rPr>
                <w:rFonts w:ascii="Arial" w:cs="Arial" w:eastAsia="Arial" w:hAnsi="Arial"/>
                <w:sz w:val="13"/>
                <w:szCs w:val="13"/>
                <w:color w:val="0000FF"/>
                <w:w w:val="84"/>
              </w:rPr>
            </w:pPr>
            <w:hyperlink r:id="rId64">
              <w:r>
                <w:rPr>
                  <w:rFonts w:ascii="Arial" w:cs="Arial" w:eastAsia="Arial" w:hAnsi="Arial"/>
                  <w:sz w:val="13"/>
                  <w:szCs w:val="13"/>
                  <w:color w:val="0000FF"/>
                  <w:w w:val="84"/>
                </w:rPr>
                <w:t>Exchange Commission</w:t>
              </w:r>
            </w:hyperlink>
          </w:p>
        </w:tc>
        <w:tc>
          <w:tcPr>
            <w:tcW w:w="20" w:type="dxa"/>
            <w:vAlign w:val="bottom"/>
            <w:tcBorders>
              <w:bottom w:val="single" w:sz="8" w:color="0000FF"/>
            </w:tcBorders>
            <w:vMerge w:val="continue"/>
          </w:tcPr>
          <w:p>
            <w:pPr>
              <w:spacing w:after="0"/>
              <w:rPr>
                <w:sz w:val="10"/>
                <w:szCs w:val="10"/>
                <w:color w:val="auto"/>
              </w:rPr>
            </w:pPr>
          </w:p>
        </w:tc>
        <w:tc>
          <w:tcPr>
            <w:tcW w:w="1560" w:type="dxa"/>
            <w:vAlign w:val="bottom"/>
            <w:tcBorders>
              <w:bottom w:val="single" w:sz="8" w:color="0000FF"/>
            </w:tcBorders>
            <w:gridSpan w:val="26"/>
          </w:tcPr>
          <w:p>
            <w:pPr>
              <w:ind w:left="180"/>
              <w:spacing w:after="0" w:line="119" w:lineRule="exact"/>
              <w:rPr>
                <w:rFonts w:ascii="Arial" w:cs="Arial" w:eastAsia="Arial" w:hAnsi="Arial"/>
                <w:sz w:val="13"/>
                <w:szCs w:val="13"/>
                <w:color w:val="0000FF"/>
                <w:w w:val="96"/>
              </w:rPr>
            </w:pPr>
            <w:hyperlink r:id="rId64">
              <w:r>
                <w:rPr>
                  <w:rFonts w:ascii="Arial" w:cs="Arial" w:eastAsia="Arial" w:hAnsi="Arial"/>
                  <w:sz w:val="13"/>
                  <w:szCs w:val="13"/>
                  <w:color w:val="0000FF"/>
                  <w:w w:val="96"/>
                </w:rPr>
                <w:t>on December 30, 2021).</w:t>
              </w:r>
            </w:hyperlink>
          </w:p>
        </w:tc>
        <w:tc>
          <w:tcPr>
            <w:tcW w:w="4260" w:type="dxa"/>
            <w:vAlign w:val="bottom"/>
            <w:gridSpan w:val="70"/>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Registration Rights Agreement, dated March 17, 2015, between U.S. Century Bank, Priam Capital Fund II, LP, Patriot</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w w:val="99"/>
              </w:rPr>
            </w:pPr>
            <w:hyperlink r:id="rId65">
              <w:r>
                <w:rPr>
                  <w:rFonts w:ascii="Arial" w:cs="Arial" w:eastAsia="Arial" w:hAnsi="Arial"/>
                  <w:sz w:val="13"/>
                  <w:szCs w:val="13"/>
                  <w:color w:val="0000FF"/>
                  <w:w w:val="99"/>
                </w:rPr>
                <w:t>Financial Partners II, 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right w:val="single" w:sz="8" w:color="0000FF"/>
            </w:tcBorders>
            <w:gridSpan w:val="2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0"/>
            <w:shd w:val="clear" w:color="auto" w:fill="0000FF"/>
          </w:tcPr>
          <w:p>
            <w:pPr>
              <w:spacing w:after="0" w:line="20" w:lineRule="exact"/>
              <w:rPr>
                <w:sz w:val="1"/>
                <w:szCs w:val="1"/>
                <w:color w:val="auto"/>
              </w:rPr>
            </w:pPr>
          </w:p>
        </w:tc>
        <w:tc>
          <w:tcPr>
            <w:tcW w:w="700" w:type="dxa"/>
            <w:vAlign w:val="bottom"/>
            <w:gridSpan w:val="14"/>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14"/>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80" w:type="dxa"/>
            <w:vAlign w:val="bottom"/>
            <w:tcBorders>
              <w:bottom w:val="single" w:sz="8" w:color="0000FF"/>
            </w:tcBorders>
            <w:gridSpan w:val="109"/>
          </w:tcPr>
          <w:p>
            <w:pPr>
              <w:spacing w:after="0" w:line="129" w:lineRule="exact"/>
              <w:rPr>
                <w:rFonts w:ascii="Arial" w:cs="Arial" w:eastAsia="Arial" w:hAnsi="Arial"/>
                <w:sz w:val="13"/>
                <w:szCs w:val="13"/>
                <w:color w:val="0000FF"/>
                <w:w w:val="97"/>
              </w:rPr>
            </w:pPr>
            <w:hyperlink r:id="rId65">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6">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Securities and Exchange Commission on December 30, 2021).</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3"/>
            <w:shd w:val="clear" w:color="auto" w:fill="0000FF"/>
          </w:tcPr>
          <w:p>
            <w:pPr>
              <w:spacing w:after="0" w:line="20" w:lineRule="exact"/>
              <w:rPr>
                <w:sz w:val="1"/>
                <w:szCs w:val="1"/>
                <w:color w:val="auto"/>
              </w:rPr>
            </w:pPr>
          </w:p>
        </w:tc>
        <w:tc>
          <w:tcPr>
            <w:tcW w:w="1220" w:type="dxa"/>
            <w:vAlign w:val="bottom"/>
            <w:tcBorders>
              <w:right w:val="single" w:sz="8" w:color="0000FF"/>
            </w:tcBorders>
            <w:gridSpan w:val="20"/>
            <w:shd w:val="clear" w:color="auto" w:fill="0000FF"/>
          </w:tcPr>
          <w:p>
            <w:pPr>
              <w:spacing w:after="0" w:line="20" w:lineRule="exact"/>
              <w:rPr>
                <w:sz w:val="1"/>
                <w:szCs w:val="1"/>
                <w:color w:val="auto"/>
              </w:rPr>
            </w:pPr>
          </w:p>
        </w:tc>
        <w:tc>
          <w:tcPr>
            <w:tcW w:w="700" w:type="dxa"/>
            <w:vAlign w:val="bottom"/>
            <w:gridSpan w:val="14"/>
            <w:shd w:val="clear" w:color="auto" w:fill="0000FF"/>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14"/>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1"/>
          </w:tcPr>
          <w:p>
            <w:pPr>
              <w:spacing w:after="0" w:line="119" w:lineRule="exact"/>
              <w:rPr>
                <w:rFonts w:ascii="Arial" w:cs="Arial" w:eastAsia="Arial" w:hAnsi="Arial"/>
                <w:sz w:val="13"/>
                <w:szCs w:val="13"/>
                <w:color w:val="0000FF"/>
              </w:rPr>
            </w:pPr>
            <w:hyperlink r:id="rId66">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3"/>
            <w:shd w:val="clear" w:color="auto" w:fill="0000FF"/>
          </w:tcPr>
          <w:p>
            <w:pPr>
              <w:spacing w:after="0" w:line="20" w:lineRule="exact"/>
              <w:rPr>
                <w:sz w:val="1"/>
                <w:szCs w:val="1"/>
                <w:color w:val="auto"/>
              </w:rPr>
            </w:pPr>
          </w:p>
        </w:tc>
        <w:tc>
          <w:tcPr>
            <w:tcW w:w="1220" w:type="dxa"/>
            <w:vAlign w:val="bottom"/>
            <w:tcBorders>
              <w:right w:val="single" w:sz="8" w:color="0000FF"/>
            </w:tcBorders>
            <w:gridSpan w:val="20"/>
            <w:shd w:val="clear" w:color="auto" w:fill="0000FF"/>
          </w:tcPr>
          <w:p>
            <w:pPr>
              <w:spacing w:after="0" w:line="20" w:lineRule="exact"/>
              <w:rPr>
                <w:sz w:val="1"/>
                <w:szCs w:val="1"/>
                <w:color w:val="auto"/>
              </w:rPr>
            </w:pPr>
          </w:p>
        </w:tc>
        <w:tc>
          <w:tcPr>
            <w:tcW w:w="1200" w:type="dxa"/>
            <w:vAlign w:val="bottom"/>
            <w:gridSpan w:val="21"/>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1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38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80" w:type="dxa"/>
            <w:vAlign w:val="bottom"/>
            <w:tcBorders>
              <w:bottom w:val="single" w:sz="8" w:color="0000FF"/>
            </w:tcBorders>
            <w:gridSpan w:val="109"/>
          </w:tcPr>
          <w:p>
            <w:pPr>
              <w:spacing w:after="0" w:line="129" w:lineRule="exact"/>
              <w:rPr>
                <w:rFonts w:ascii="Arial" w:cs="Arial" w:eastAsia="Arial" w:hAnsi="Arial"/>
                <w:sz w:val="13"/>
                <w:szCs w:val="13"/>
                <w:color w:val="0000FF"/>
                <w:w w:val="96"/>
              </w:rPr>
            </w:pPr>
            <w:hyperlink r:id="rId66">
              <w:r>
                <w:rPr>
                  <w:rFonts w:ascii="Arial" w:cs="Arial" w:eastAsia="Arial" w:hAnsi="Arial"/>
                  <w:sz w:val="13"/>
                  <w:szCs w:val="13"/>
                  <w:color w:val="0000FF"/>
                  <w:w w:val="96"/>
                </w:rPr>
                <w:t>Holdings, Inc. (incorporated by reference to Exhibit 4.3 to the Registrant’s Current Report on Form 8-K (File No. 001-41196)</w:t>
              </w:r>
            </w:hyperlink>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80" w:type="dxa"/>
            <w:vAlign w:val="bottom"/>
            <w:tcBorders>
              <w:bottom w:val="single" w:sz="8" w:color="0000FF"/>
            </w:tcBorders>
            <w:gridSpan w:val="68"/>
          </w:tcPr>
          <w:p>
            <w:pPr>
              <w:spacing w:after="0" w:line="129" w:lineRule="exact"/>
              <w:rPr>
                <w:rFonts w:ascii="Arial" w:cs="Arial" w:eastAsia="Arial" w:hAnsi="Arial"/>
                <w:sz w:val="13"/>
                <w:szCs w:val="13"/>
                <w:color w:val="0000FF"/>
                <w:w w:val="98"/>
              </w:rPr>
            </w:pPr>
            <w:hyperlink r:id="rId66">
              <w:r>
                <w:rPr>
                  <w:rFonts w:ascii="Arial" w:cs="Arial" w:eastAsia="Arial" w:hAnsi="Arial"/>
                  <w:sz w:val="13"/>
                  <w:szCs w:val="13"/>
                  <w:color w:val="0000FF"/>
                  <w:w w:val="98"/>
                </w:rPr>
                <w:t>filed with the Securities and Exchange Commission on December 30, 2021).</w:t>
              </w:r>
            </w:hyperlink>
          </w:p>
        </w:tc>
        <w:tc>
          <w:tcPr>
            <w:tcW w:w="2600" w:type="dxa"/>
            <w:vAlign w:val="bottom"/>
            <w:gridSpan w:val="4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tcBorders>
              <w:bottom w:val="single" w:sz="8" w:color="0000FF"/>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80" w:type="dxa"/>
            <w:vAlign w:val="bottom"/>
            <w:tcBorders>
              <w:bottom w:val="single" w:sz="8" w:color="0000FF"/>
            </w:tcBorders>
            <w:gridSpan w:val="109"/>
          </w:tcPr>
          <w:p>
            <w:pPr>
              <w:spacing w:after="0" w:line="129" w:lineRule="exact"/>
              <w:rPr>
                <w:rFonts w:ascii="Arial" w:cs="Arial" w:eastAsia="Arial" w:hAnsi="Arial"/>
                <w:sz w:val="13"/>
                <w:szCs w:val="13"/>
                <w:color w:val="0000FF"/>
                <w:w w:val="96"/>
              </w:rPr>
            </w:pPr>
            <w:hyperlink r:id="rId67">
              <w:r>
                <w:rPr>
                  <w:rFonts w:ascii="Arial" w:cs="Arial" w:eastAsia="Arial" w:hAnsi="Arial"/>
                  <w:sz w:val="13"/>
                  <w:szCs w:val="13"/>
                  <w:color w:val="0000FF"/>
                  <w:w w:val="96"/>
                </w:rPr>
                <w:t>Description of USCB Financial Holdings, Inc.’s securities (incorporated byreference to Exhibit 4.4 to the Registrant's Annual</w:t>
              </w:r>
            </w:hyperlink>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vMerge w:val="restart"/>
          </w:tcPr>
          <w:p>
            <w:pPr>
              <w:spacing w:after="0"/>
              <w:rPr>
                <w:sz w:val="11"/>
                <w:szCs w:val="11"/>
                <w:color w:val="auto"/>
              </w:rPr>
            </w:pPr>
          </w:p>
        </w:tc>
        <w:tc>
          <w:tcPr>
            <w:tcW w:w="260" w:type="dxa"/>
            <w:vAlign w:val="bottom"/>
            <w:gridSpan w:val="3"/>
            <w:vMerge w:val="restart"/>
          </w:tcPr>
          <w:p>
            <w:pPr>
              <w:jc w:val="center"/>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1"/>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Report on Form 10-K (File No. 001-41196) filed with the Securities and Exchange Commission on March 24, 2022)</w:t>
              </w:r>
            </w:hyperlink>
          </w:p>
        </w:tc>
        <w:tc>
          <w:tcPr>
            <w:tcW w:w="0" w:type="dxa"/>
            <w:vAlign w:val="bottom"/>
          </w:tcPr>
          <w:p>
            <w:pPr>
              <w:spacing w:after="0"/>
              <w:rPr>
                <w:sz w:val="1"/>
                <w:szCs w:val="1"/>
                <w:color w:val="auto"/>
              </w:rPr>
            </w:pPr>
          </w:p>
        </w:tc>
      </w:tr>
      <w:tr>
        <w:trPr>
          <w:trHeight w:val="119"/>
        </w:trPr>
        <w:tc>
          <w:tcPr>
            <w:tcW w:w="300" w:type="dxa"/>
            <w:vAlign w:val="bottom"/>
            <w:vMerge w:val="continue"/>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80" w:type="dxa"/>
            <w:vAlign w:val="bottom"/>
            <w:tcBorders>
              <w:top w:val="single" w:sz="8" w:color="0000FF"/>
            </w:tcBorders>
            <w:gridSpan w:val="101"/>
          </w:tcPr>
          <w:p>
            <w:pPr>
              <w:spacing w:after="0" w:line="11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5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7"/>
            <w:shd w:val="clear" w:color="auto" w:fill="0000FF"/>
          </w:tcPr>
          <w:p>
            <w:pPr>
              <w:spacing w:after="0" w:line="20" w:lineRule="exact"/>
              <w:rPr>
                <w:sz w:val="1"/>
                <w:szCs w:val="1"/>
                <w:color w:val="auto"/>
              </w:rPr>
            </w:pPr>
          </w:p>
        </w:tc>
        <w:tc>
          <w:tcPr>
            <w:tcW w:w="1780" w:type="dxa"/>
            <w:vAlign w:val="bottom"/>
            <w:tcBorders>
              <w:left w:val="single" w:sz="8" w:color="0000FF"/>
              <w:right w:val="single" w:sz="8" w:color="0000FF"/>
            </w:tcBorders>
            <w:gridSpan w:val="25"/>
            <w:shd w:val="clear" w:color="auto" w:fill="0000FF"/>
          </w:tcPr>
          <w:p>
            <w:pPr>
              <w:spacing w:after="0" w:line="20" w:lineRule="exact"/>
              <w:rPr>
                <w:sz w:val="1"/>
                <w:szCs w:val="1"/>
                <w:color w:val="auto"/>
              </w:rPr>
            </w:pPr>
          </w:p>
        </w:tc>
        <w:tc>
          <w:tcPr>
            <w:tcW w:w="10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80" w:type="dxa"/>
            <w:vAlign w:val="bottom"/>
            <w:tcBorders>
              <w:top w:val="single" w:sz="8" w:color="0000FF"/>
            </w:tcBorders>
            <w:gridSpan w:val="92"/>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100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7"/>
            <w:shd w:val="clear" w:color="auto" w:fill="0000FF"/>
          </w:tcPr>
          <w:p>
            <w:pPr>
              <w:spacing w:after="0" w:line="20" w:lineRule="exact"/>
              <w:rPr>
                <w:sz w:val="1"/>
                <w:szCs w:val="1"/>
                <w:color w:val="auto"/>
              </w:rPr>
            </w:pPr>
          </w:p>
        </w:tc>
        <w:tc>
          <w:tcPr>
            <w:tcW w:w="278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1"/>
          </w:tcPr>
          <w:p>
            <w:pPr>
              <w:spacing w:after="0" w:line="140" w:lineRule="exact"/>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7"/>
            <w:shd w:val="clear" w:color="auto" w:fill="0000FF"/>
          </w:tcPr>
          <w:p>
            <w:pPr>
              <w:spacing w:after="0" w:line="20" w:lineRule="exact"/>
              <w:rPr>
                <w:sz w:val="1"/>
                <w:szCs w:val="1"/>
                <w:color w:val="auto"/>
              </w:rPr>
            </w:pPr>
          </w:p>
        </w:tc>
        <w:tc>
          <w:tcPr>
            <w:tcW w:w="278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 w:type="dxa"/>
            <w:vAlign w:val="bottom"/>
          </w:tcPr>
          <w:p>
            <w:pPr>
              <w:spacing w:after="0"/>
              <w:rPr>
                <w:sz w:val="14"/>
                <w:szCs w:val="14"/>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auto"/>
              </w:rPr>
              <w:t>The following financial statements from the Company’s Quarterly Report on Form 10-Q for the quarter ended March 31,</w:t>
            </w:r>
          </w:p>
        </w:tc>
        <w:tc>
          <w:tcPr>
            <w:tcW w:w="0" w:type="dxa"/>
            <w:vAlign w:val="bottom"/>
          </w:tcPr>
          <w:p>
            <w:pPr>
              <w:spacing w:after="0"/>
              <w:rPr>
                <w:sz w:val="1"/>
                <w:szCs w:val="1"/>
                <w:color w:val="auto"/>
              </w:rPr>
            </w:pPr>
          </w:p>
        </w:tc>
      </w:tr>
      <w:tr>
        <w:trPr>
          <w:trHeight w:val="13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1"/>
          </w:tcPr>
          <w:p>
            <w:pPr>
              <w:spacing w:after="0" w:line="139" w:lineRule="exact"/>
              <w:rPr>
                <w:sz w:val="20"/>
                <w:szCs w:val="20"/>
                <w:color w:val="auto"/>
              </w:rPr>
            </w:pPr>
            <w:r>
              <w:rPr>
                <w:rFonts w:ascii="Arial" w:cs="Arial" w:eastAsia="Arial" w:hAnsi="Arial"/>
                <w:sz w:val="13"/>
                <w:szCs w:val="13"/>
                <w:color w:val="auto"/>
              </w:rPr>
              <w:t>2023 formatted in Inline XBRL: (i) Consolidated Balance Sheets (unaudited), (ii) Consolidated Statements of Operations</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auto"/>
                <w:w w:val="98"/>
              </w:rPr>
              <w:t>(unaudited), (iii) Consolidated Statements of Comprehensive Income (unaudited), (iv) Consolidated Statements of Changes</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auto"/>
              </w:rPr>
              <w:t>in Stockholders’ Equity (unaudited), (v) Consolidated  Statements of Cash Flows (unaudited), (vi) Notes to Consolidated</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1"/>
          </w:tcPr>
          <w:p>
            <w:pPr>
              <w:spacing w:after="0"/>
              <w:rPr>
                <w:sz w:val="20"/>
                <w:szCs w:val="20"/>
                <w:color w:val="auto"/>
              </w:rPr>
            </w:pPr>
            <w:r>
              <w:rPr>
                <w:rFonts w:ascii="Arial" w:cs="Arial" w:eastAsia="Arial" w:hAnsi="Arial"/>
                <w:sz w:val="13"/>
                <w:szCs w:val="13"/>
                <w:color w:val="auto"/>
              </w:rPr>
              <w:t>Financial Statements (unaudited).</w:t>
            </w:r>
          </w:p>
        </w:tc>
        <w:tc>
          <w:tcPr>
            <w:tcW w:w="0" w:type="dxa"/>
            <w:vAlign w:val="bottom"/>
          </w:tcPr>
          <w:p>
            <w:pPr>
              <w:spacing w:after="0"/>
              <w:rPr>
                <w:sz w:val="1"/>
                <w:szCs w:val="1"/>
                <w:color w:val="auto"/>
              </w:rPr>
            </w:pPr>
          </w:p>
        </w:tc>
      </w:tr>
    </w:tbl>
    <w:p>
      <w:pPr>
        <w:ind w:left="1280" w:right="2519" w:hanging="596"/>
        <w:spacing w:after="0" w:line="387" w:lineRule="auto"/>
        <w:tabs>
          <w:tab w:leader="none" w:pos="1483"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ind w:left="1480" w:hanging="262"/>
        <w:spacing w:after="0"/>
        <w:tabs>
          <w:tab w:leader="none" w:pos="14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Furnished herby.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080"/>
        <w:spacing w:after="0"/>
        <w:tabs>
          <w:tab w:leader="none" w:pos="26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ind w:left="660" w:right="699" w:firstLine="256"/>
        <w:spacing w:after="0" w:line="284"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USCB FINANCIAL HOLDINGS, INC.</w:t>
      </w:r>
    </w:p>
    <w:p>
      <w:pPr>
        <w:spacing w:after="0" w:line="20" w:lineRule="exact"/>
        <w:rPr>
          <w:sz w:val="20"/>
          <w:szCs w:val="20"/>
          <w:color w:val="auto"/>
        </w:rPr>
      </w:pPr>
    </w:p>
    <w:tbl>
      <w:tblPr>
        <w:tblLayout w:type="fixed"/>
        <w:tblInd w:w="78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69"/>
        </w:trPr>
        <w:tc>
          <w:tcPr>
            <w:tcW w:w="20" w:type="dxa"/>
            <w:vAlign w:val="bottom"/>
          </w:tcPr>
          <w:p>
            <w:pPr>
              <w:spacing w:after="0"/>
              <w:rPr>
                <w:sz w:val="24"/>
                <w:szCs w:val="24"/>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31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59"/>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May 12, 2023</w:t>
            </w:r>
          </w:p>
        </w:tc>
      </w:tr>
      <w:tr>
        <w:trPr>
          <w:trHeight w:val="172"/>
        </w:trPr>
        <w:tc>
          <w:tcPr>
            <w:tcW w:w="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52"/>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May 12, 2023</w:t>
            </w:r>
          </w:p>
        </w:tc>
      </w:tr>
      <w:tr>
        <w:trPr>
          <w:trHeight w:val="140"/>
        </w:trPr>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60"/>
              <w:spacing w:after="0" w:line="140"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tcPr>
          <w:p>
            <w:pPr>
              <w:ind w:left="60"/>
              <w:spacing w:after="0" w:line="140" w:lineRule="exact"/>
              <w:rPr>
                <w:sz w:val="20"/>
                <w:szCs w:val="20"/>
                <w:color w:val="auto"/>
              </w:rPr>
            </w:pPr>
            <w:r>
              <w:rPr>
                <w:rFonts w:ascii="Arial" w:cs="Arial" w:eastAsia="Arial" w:hAnsi="Arial"/>
                <w:sz w:val="14"/>
                <w:szCs w:val="14"/>
                <w:color w:val="auto"/>
              </w:rPr>
              <w:t>(Principal Financial Officer and Principal</w:t>
            </w: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940"/>
        <w:spacing w:after="0"/>
        <w:tabs>
          <w:tab w:leader="none" w:pos="26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  Q1 2023 Form 10-Q</w:t>
      </w:r>
    </w:p>
    <w:p>
      <w:pPr>
        <w:sectPr>
          <w:pgSz w:w="11900" w:h="16838" w:orient="portrait"/>
          <w:cols w:equalWidth="0" w:num="1">
            <w:col w:w="9019"/>
          </w:cols>
          <w:pgMar w:left="1440" w:top="481" w:right="1440" w:bottom="1440" w:gutter="0" w:footer="0" w:header="0"/>
        </w:sectPr>
      </w:pPr>
    </w:p>
    <w:bookmarkStart w:id="54" w:name="page55"/>
    <w:bookmarkEnd w:id="54"/>
    <w:p>
      <w:pPr>
        <w:jc w:val="center"/>
        <w:spacing w:after="0"/>
        <w:tabs>
          <w:tab w:leader="none" w:pos="260" w:val="left"/>
        </w:tabs>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59" w:lineRule="exact"/>
        <w:rPr>
          <w:sz w:val="20"/>
          <w:szCs w:val="20"/>
          <w:color w:val="auto"/>
        </w:rPr>
      </w:pPr>
    </w:p>
    <w:p>
      <w:pPr>
        <w:ind w:left="640" w:hanging="233"/>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69" w:lineRule="exact"/>
        <w:rPr>
          <w:rFonts w:ascii="Arial" w:cs="Arial" w:eastAsia="Arial" w:hAnsi="Arial"/>
          <w:sz w:val="14"/>
          <w:szCs w:val="14"/>
          <w:color w:val="auto"/>
        </w:rPr>
      </w:pPr>
    </w:p>
    <w:p>
      <w:pPr>
        <w:jc w:val="both"/>
        <w:ind w:left="660" w:right="659" w:hanging="253"/>
        <w:spacing w:after="0" w:line="26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4"/>
          <w:szCs w:val="14"/>
          <w:color w:val="auto"/>
        </w:rPr>
      </w:pPr>
    </w:p>
    <w:p>
      <w:pPr>
        <w:jc w:val="both"/>
        <w:ind w:left="660" w:right="659" w:hanging="253"/>
        <w:spacing w:after="0" w:line="26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4"/>
          <w:szCs w:val="14"/>
          <w:color w:val="auto"/>
        </w:rPr>
      </w:pPr>
    </w:p>
    <w:p>
      <w:pPr>
        <w:ind w:left="660" w:right="679" w:hanging="253"/>
        <w:spacing w:after="0" w:line="268"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31" w:lineRule="exact"/>
        <w:rPr>
          <w:rFonts w:ascii="Arial" w:cs="Arial" w:eastAsia="Arial" w:hAnsi="Arial"/>
          <w:sz w:val="14"/>
          <w:szCs w:val="14"/>
          <w:color w:val="auto"/>
        </w:rPr>
      </w:pPr>
    </w:p>
    <w:p>
      <w:pPr>
        <w:jc w:val="both"/>
        <w:ind w:left="1180" w:right="659" w:hanging="261"/>
        <w:spacing w:after="0" w:line="253"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4"/>
          <w:szCs w:val="14"/>
          <w:color w:val="auto"/>
        </w:rPr>
      </w:pPr>
    </w:p>
    <w:p>
      <w:pPr>
        <w:jc w:val="both"/>
        <w:ind w:left="1180" w:right="659" w:hanging="261"/>
        <w:spacing w:after="0" w:line="261"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4"/>
          <w:szCs w:val="14"/>
          <w:color w:val="auto"/>
        </w:rPr>
      </w:pPr>
    </w:p>
    <w:p>
      <w:pPr>
        <w:jc w:val="both"/>
        <w:ind w:left="1180" w:right="659" w:hanging="261"/>
        <w:spacing w:after="0" w:line="253"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4"/>
          <w:szCs w:val="14"/>
          <w:color w:val="auto"/>
        </w:rPr>
      </w:pPr>
    </w:p>
    <w:p>
      <w:pPr>
        <w:jc w:val="both"/>
        <w:ind w:left="660" w:right="679" w:hanging="253"/>
        <w:spacing w:after="0" w:line="26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4"/>
          <w:szCs w:val="14"/>
          <w:color w:val="auto"/>
        </w:rPr>
      </w:pPr>
    </w:p>
    <w:p>
      <w:pPr>
        <w:jc w:val="both"/>
        <w:ind w:left="1180" w:right="679" w:hanging="261"/>
        <w:spacing w:after="0" w:line="253" w:lineRule="auto"/>
        <w:tabs>
          <w:tab w:leader="none" w:pos="1169"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59" w:hanging="261"/>
        <w:spacing w:after="0" w:line="268" w:lineRule="auto"/>
        <w:tabs>
          <w:tab w:leader="none" w:pos="1181" w:val="left"/>
        </w:tabs>
        <w:numPr>
          <w:ilvl w:val="1"/>
          <w:numId w:val="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May 12, 2023</w:t>
      </w:r>
    </w:p>
    <w:p>
      <w:pPr>
        <w:sectPr>
          <w:pgSz w:w="11900" w:h="16838" w:orient="portrait"/>
          <w:cols w:equalWidth="0" w:num="1">
            <w:col w:w="9019"/>
          </w:cols>
          <w:pgMar w:left="1440" w:top="718" w:right="1440" w:bottom="1440" w:gutter="0" w:footer="0" w:header="0"/>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59" w:lineRule="exact"/>
        <w:rPr>
          <w:sz w:val="20"/>
          <w:szCs w:val="20"/>
          <w:color w:val="auto"/>
        </w:rPr>
      </w:pPr>
    </w:p>
    <w:p>
      <w:pPr>
        <w:ind w:left="660" w:hanging="253"/>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69" w:lineRule="exact"/>
        <w:rPr>
          <w:rFonts w:ascii="Arial" w:cs="Arial" w:eastAsia="Arial" w:hAnsi="Arial"/>
          <w:sz w:val="14"/>
          <w:szCs w:val="14"/>
          <w:color w:val="auto"/>
        </w:rPr>
      </w:pPr>
    </w:p>
    <w:p>
      <w:pPr>
        <w:jc w:val="both"/>
        <w:ind w:left="660" w:right="659" w:hanging="253"/>
        <w:spacing w:after="0" w:line="261"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4"/>
          <w:szCs w:val="14"/>
          <w:color w:val="auto"/>
        </w:rPr>
      </w:pPr>
    </w:p>
    <w:p>
      <w:pPr>
        <w:jc w:val="both"/>
        <w:ind w:left="660" w:right="659" w:hanging="253"/>
        <w:spacing w:after="0" w:line="261"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4"/>
          <w:szCs w:val="14"/>
          <w:color w:val="auto"/>
        </w:rPr>
      </w:pPr>
    </w:p>
    <w:p>
      <w:pPr>
        <w:ind w:left="660" w:right="679" w:hanging="253"/>
        <w:spacing w:after="0" w:line="268"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31" w:lineRule="exact"/>
        <w:rPr>
          <w:rFonts w:ascii="Arial" w:cs="Arial" w:eastAsia="Arial" w:hAnsi="Arial"/>
          <w:sz w:val="14"/>
          <w:szCs w:val="14"/>
          <w:color w:val="auto"/>
        </w:rPr>
      </w:pPr>
    </w:p>
    <w:p>
      <w:pPr>
        <w:jc w:val="both"/>
        <w:ind w:left="1180" w:right="659" w:hanging="261"/>
        <w:spacing w:after="0" w:line="253" w:lineRule="auto"/>
        <w:tabs>
          <w:tab w:leader="none" w:pos="11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4"/>
          <w:szCs w:val="14"/>
          <w:color w:val="auto"/>
        </w:rPr>
      </w:pPr>
    </w:p>
    <w:p>
      <w:pPr>
        <w:jc w:val="both"/>
        <w:ind w:left="1180" w:right="659" w:hanging="261"/>
        <w:spacing w:after="0" w:line="261" w:lineRule="auto"/>
        <w:tabs>
          <w:tab w:leader="none" w:pos="11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4"/>
          <w:szCs w:val="14"/>
          <w:color w:val="auto"/>
        </w:rPr>
      </w:pPr>
    </w:p>
    <w:p>
      <w:pPr>
        <w:jc w:val="both"/>
        <w:ind w:left="1180" w:right="659" w:hanging="261"/>
        <w:spacing w:after="0" w:line="253" w:lineRule="auto"/>
        <w:tabs>
          <w:tab w:leader="none" w:pos="11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4"/>
          <w:szCs w:val="14"/>
          <w:color w:val="auto"/>
        </w:rPr>
      </w:pPr>
    </w:p>
    <w:p>
      <w:pPr>
        <w:jc w:val="both"/>
        <w:ind w:left="660" w:right="679" w:hanging="253"/>
        <w:spacing w:after="0" w:line="261"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4"/>
          <w:szCs w:val="14"/>
          <w:color w:val="auto"/>
        </w:rPr>
      </w:pPr>
    </w:p>
    <w:p>
      <w:pPr>
        <w:jc w:val="both"/>
        <w:ind w:left="1180" w:right="679" w:hanging="261"/>
        <w:spacing w:after="0" w:line="253" w:lineRule="auto"/>
        <w:tabs>
          <w:tab w:leader="none" w:pos="1169"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59" w:hanging="261"/>
        <w:spacing w:after="0" w:line="268" w:lineRule="auto"/>
        <w:tabs>
          <w:tab w:leader="none" w:pos="1169" w:val="left"/>
        </w:tabs>
        <w:numPr>
          <w:ilvl w:val="1"/>
          <w:numId w:val="2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00" w:lineRule="exact"/>
        <w:rPr>
          <w:sz w:val="20"/>
          <w:szCs w:val="20"/>
          <w:color w:val="auto"/>
        </w:rPr>
      </w:pPr>
    </w:p>
    <w:p>
      <w:pPr>
        <w:spacing w:after="0" w:line="2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May 12, 2023</w:t>
      </w:r>
    </w:p>
    <w:p>
      <w:pPr>
        <w:sectPr>
          <w:pgSz w:w="11900" w:h="16838" w:orient="portrait"/>
          <w:cols w:equalWidth="0" w:num="1">
            <w:col w:w="9019"/>
          </w:cols>
          <w:pgMar w:left="1440" w:top="718" w:right="1440"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March 31, 2023, as filed with the Securities and Exchange Commission on the date hereof (the “Report”), I, Luis de la Aguilera, as President and Chief Executive Officer of the Company, certify, to the best of my knowledge, pursuant to 18 U.S.C. §1350, as adopted pursuant to Section 906 of the Sarbanes-Oxley Act of 2002, that:</w:t>
      </w:r>
    </w:p>
    <w:p>
      <w:pPr>
        <w:spacing w:after="0" w:line="132" w:lineRule="exact"/>
        <w:rPr>
          <w:sz w:val="20"/>
          <w:szCs w:val="20"/>
          <w:color w:val="auto"/>
        </w:rPr>
      </w:pPr>
    </w:p>
    <w:p>
      <w:pPr>
        <w:ind w:left="1440" w:right="679" w:hanging="265"/>
        <w:spacing w:after="0" w:line="284" w:lineRule="auto"/>
        <w:tabs>
          <w:tab w:leader="none" w:pos="1429"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09" w:lineRule="exact"/>
        <w:rPr>
          <w:rFonts w:ascii="Arial" w:cs="Arial" w:eastAsia="Arial" w:hAnsi="Arial"/>
          <w:sz w:val="14"/>
          <w:szCs w:val="14"/>
          <w:color w:val="auto"/>
        </w:rPr>
      </w:pPr>
    </w:p>
    <w:p>
      <w:pPr>
        <w:ind w:left="1440" w:right="679" w:hanging="265"/>
        <w:spacing w:after="0" w:line="284" w:lineRule="auto"/>
        <w:tabs>
          <w:tab w:leader="none" w:pos="1429"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May 12, 2023</w:t>
      </w:r>
    </w:p>
    <w:p>
      <w:pPr>
        <w:sectPr>
          <w:pgSz w:w="11900" w:h="16838" w:orient="portrait"/>
          <w:cols w:equalWidth="0" w:num="1">
            <w:col w:w="9019"/>
          </w:cols>
          <w:pgMar w:left="1440" w:top="718" w:right="1440" w:bottom="1440"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March 31, 2023,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32" w:lineRule="exact"/>
        <w:rPr>
          <w:sz w:val="20"/>
          <w:szCs w:val="20"/>
          <w:color w:val="auto"/>
        </w:rPr>
      </w:pPr>
    </w:p>
    <w:p>
      <w:pPr>
        <w:ind w:left="1440" w:right="679" w:hanging="265"/>
        <w:spacing w:after="0" w:line="284" w:lineRule="auto"/>
        <w:tabs>
          <w:tab w:leader="none" w:pos="142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09" w:lineRule="exact"/>
        <w:rPr>
          <w:rFonts w:ascii="Arial" w:cs="Arial" w:eastAsia="Arial" w:hAnsi="Arial"/>
          <w:sz w:val="14"/>
          <w:szCs w:val="14"/>
          <w:color w:val="auto"/>
        </w:rPr>
      </w:pPr>
    </w:p>
    <w:p>
      <w:pPr>
        <w:ind w:left="1440" w:right="679" w:hanging="265"/>
        <w:spacing w:after="0" w:line="284" w:lineRule="auto"/>
        <w:tabs>
          <w:tab w:leader="none" w:pos="142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May 12, 2023</w:t>
      </w:r>
    </w:p>
    <w:p>
      <w:pPr>
        <w:sectPr>
          <w:pgSz w:w="11900" w:h="16838" w:orient="portrait"/>
          <w:cols w:equalWidth="0" w:num="1">
            <w:col w:w="9019"/>
          </w:cols>
          <w:pgMar w:left="1440" w:top="718" w:right="1440"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04"/>
    </w:lvl>
    <w:lvl w:ilvl="1">
      <w:lvlJc w:val="left"/>
      <w:lvlText w:val="*"/>
      <w:numFmt w:val="bullet"/>
      <w:start w:val="1"/>
    </w:lvl>
  </w:abstractNum>
  <w:abstractNum w:abstractNumId="25">
    <w:nsid w:val="2CA88611"/>
    <w:multiLevelType w:val="hybridMultilevel"/>
    <w:lvl w:ilvl="0">
      <w:lvlJc w:val="left"/>
      <w:lvlText w:val="%1"/>
      <w:numFmt w:val="decimal"/>
      <w:start w:val="1"/>
    </w:lvl>
    <w:lvl w:ilvl="1">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61" Type="http://schemas.openxmlformats.org/officeDocument/2006/relationships/hyperlink" Target="http://www.sec.gov/Archives/edgar/data/0001901637/000119312521369812/d628417dex21.htm" TargetMode="External"/><Relationship Id="rId62" Type="http://schemas.openxmlformats.org/officeDocument/2006/relationships/hyperlink" Target="http://www.sec.gov/Archives/edgar/data/0001901637/000119312521369812/d628417dex31.htm" TargetMode="External"/><Relationship Id="rId63" Type="http://schemas.openxmlformats.org/officeDocument/2006/relationships/hyperlink" Target="http://www.sec.gov/Archives/edgar/data/0001901637/000119312521369812/d628417dex32.htm" TargetMode="External"/><Relationship Id="rId64" Type="http://schemas.openxmlformats.org/officeDocument/2006/relationships/hyperlink" Target="http://www.sec.gov/Archives/edgar/data/0001901637/000119312521369812/d628417dex41.htm" TargetMode="External"/><Relationship Id="rId65" Type="http://schemas.openxmlformats.org/officeDocument/2006/relationships/hyperlink" Target="http://www.sec.gov/Archives/edgar/data/0001901637/000119312521369812/d628417dex42.htm" TargetMode="External"/><Relationship Id="rId66" Type="http://schemas.openxmlformats.org/officeDocument/2006/relationships/hyperlink" Target="http://www.sec.gov/Archives/edgar/data/0001901637/000119312521369812/d628417dex43.htm" TargetMode="External"/><Relationship Id="rId67" Type="http://schemas.openxmlformats.org/officeDocument/2006/relationships/hyperlink" Target="http://www.sec.gov/Archives/edgar/data/1901637/000156276222000137/exhibit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2023-05-12T15:16:02Z</dcterms:created>
  <dcterms:modified xsi:type="dcterms:W3CDTF">2023-05-12T15:16:02Z</dcterms:modified>
</cp:coreProperties>
</file>