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eventMay 26, 2026</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reported)</w:t>
            </w:r>
          </w:p>
        </w:tc>
        <w:tc>
          <w:tcPr>
            <w:tcW w:w="460" w:type="dxa"/>
            <w:vAlign w:val="bottom"/>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516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001-41196</w:t>
            </w:r>
          </w:p>
        </w:tc>
        <w:tc>
          <w:tcPr>
            <w:tcW w:w="3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Pr>
          <w:p>
            <w:pPr>
              <w:spacing w:after="0"/>
              <w:rPr>
                <w:sz w:val="16"/>
                <w:szCs w:val="16"/>
                <w:color w:val="auto"/>
              </w:rPr>
            </w:pPr>
          </w:p>
        </w:tc>
        <w:tc>
          <w:tcPr>
            <w:tcW w:w="470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1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4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-1905</wp:posOffset>
            </wp:positionV>
            <wp:extent cx="4843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53"/>
        </w:trPr>
        <w:tc>
          <w:tcPr>
            <w:tcW w:w="1420" w:type="dxa"/>
            <w:vAlign w:val="bottom"/>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r>
      <w:tr>
        <w:trPr>
          <w:trHeight w:val="154"/>
        </w:trPr>
        <w:tc>
          <w:tcPr>
            <w:tcW w:w="142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tcPr>
          <w:p>
            <w:pPr>
              <w:spacing w:after="0"/>
              <w:rPr>
                <w:sz w:val="13"/>
                <w:szCs w:val="13"/>
                <w:color w:val="auto"/>
              </w:rPr>
            </w:pPr>
          </w:p>
        </w:tc>
        <w:tc>
          <w:tcPr>
            <w:tcW w:w="272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Trading</w:t>
            </w:r>
          </w:p>
        </w:tc>
        <w:tc>
          <w:tcPr>
            <w:tcW w:w="270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Name of each exchange on</w:t>
            </w:r>
          </w:p>
        </w:tc>
      </w:tr>
      <w:tr>
        <w:trPr>
          <w:trHeight w:val="251"/>
        </w:trPr>
        <w:tc>
          <w:tcPr>
            <w:tcW w:w="1420" w:type="dxa"/>
            <w:vAlign w:val="bottom"/>
            <w:tcBorders>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which registered</w:t>
            </w:r>
          </w:p>
        </w:tc>
      </w:tr>
      <w:tr>
        <w:trPr>
          <w:trHeight w:val="193"/>
        </w:trPr>
        <w:tc>
          <w:tcPr>
            <w:tcW w:w="1420" w:type="dxa"/>
            <w:vAlign w:val="bottom"/>
            <w:tcBorders>
              <w:right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27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USCB</w:t>
            </w:r>
          </w:p>
        </w:tc>
        <w:tc>
          <w:tcPr>
            <w:tcW w:w="2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720" w:val="left"/>
          <w:tab w:leader="none" w:pos="130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ind w:left="1320" w:right="20" w:hanging="528"/>
        <w:spacing w:after="0" w:line="282"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Meeting of Shareholders (the “Annual Meeting”) of USCB Financial Holdings Inc. (the “Company”) was held on May 26, 2026.</w:t>
      </w:r>
    </w:p>
    <w:p>
      <w:pPr>
        <w:spacing w:after="0" w:line="161" w:lineRule="exact"/>
        <w:rPr>
          <w:rFonts w:ascii="Times New Roman" w:cs="Times New Roman" w:eastAsia="Times New Roman" w:hAnsi="Times New Roman"/>
          <w:sz w:val="18"/>
          <w:szCs w:val="18"/>
          <w:color w:val="auto"/>
        </w:rPr>
      </w:pPr>
    </w:p>
    <w:p>
      <w:pPr>
        <w:jc w:val="both"/>
        <w:ind w:left="1320" w:hanging="533"/>
        <w:spacing w:after="0" w:line="266"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18,257,400 shares of Class A common stock, par value $1.00 per share, of the Company issued and outstanding and eligible to be voted at the Annual Meeting and 16,182,501 shares were represented in person or by proxy at the Annual Meeting, which constituted a quorum to conduct business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voted upon at the Annual Meeting and the votes for each proposal were as follows:</w:t>
      </w:r>
    </w:p>
    <w:p>
      <w:pPr>
        <w:spacing w:after="0" w:line="225" w:lineRule="exact"/>
        <w:rPr>
          <w:sz w:val="20"/>
          <w:szCs w:val="20"/>
          <w:color w:val="auto"/>
        </w:rPr>
      </w:pPr>
    </w:p>
    <w:p>
      <w:pPr>
        <w:ind w:left="1040" w:hanging="377"/>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for a one-year term ending in 2027 and until their successors are elected and qualified:</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38"/>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Ramon Abadin</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2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13,602,037</w:t>
            </w:r>
          </w:p>
        </w:tc>
        <w:tc>
          <w:tcPr>
            <w:tcW w:w="100" w:type="dxa"/>
            <w:vAlign w:val="bottom"/>
          </w:tcPr>
          <w:p>
            <w:pPr>
              <w:spacing w:after="0"/>
              <w:rPr>
                <w:sz w:val="16"/>
                <w:szCs w:val="16"/>
                <w:color w:val="auto"/>
              </w:rPr>
            </w:pPr>
          </w:p>
        </w:tc>
        <w:tc>
          <w:tcPr>
            <w:tcW w:w="2100" w:type="dxa"/>
            <w:vAlign w:val="bottom"/>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rPr>
              <w:t>1,812,579</w:t>
            </w:r>
          </w:p>
        </w:tc>
        <w:tc>
          <w:tcPr>
            <w:tcW w:w="100" w:type="dxa"/>
            <w:vAlign w:val="bottom"/>
          </w:tcPr>
          <w:p>
            <w:pPr>
              <w:spacing w:after="0"/>
              <w:rPr>
                <w:sz w:val="16"/>
                <w:szCs w:val="16"/>
                <w:color w:val="auto"/>
              </w:rPr>
            </w:pPr>
          </w:p>
        </w:tc>
        <w:tc>
          <w:tcPr>
            <w:tcW w:w="2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15,253,267</w:t>
            </w: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161,349</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Maria C. Alonso</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15,240,080</w:t>
            </w: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174,536</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Howard P. Feinglass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15,229,122</w:t>
            </w: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185,494</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Bernardo Fernandez, M.D.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15,319,826</w:t>
            </w: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94,790</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15,323,656</w:t>
            </w: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90,960</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Aida Levitan, Ph.D.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15,087,753</w:t>
            </w: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326,863</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Ramon A. Rodriguez</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15,322,858</w:t>
            </w:r>
          </w:p>
        </w:tc>
        <w:tc>
          <w:tcPr>
            <w:tcW w:w="22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91,758</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Ramon M. Rodriguez</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15,320,169</w:t>
            </w:r>
          </w:p>
        </w:tc>
        <w:tc>
          <w:tcPr>
            <w:tcW w:w="22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94,447</w:t>
            </w:r>
          </w:p>
        </w:tc>
        <w:tc>
          <w:tcPr>
            <w:tcW w:w="2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767,885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140" w:hanging="40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Crowe LLP as the Company’s independent registered public accounting firm for the year ending December 31, 2026.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8"/>
        </w:trPr>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16,042,785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135,886</w:t>
            </w:r>
          </w:p>
        </w:tc>
        <w:tc>
          <w:tcPr>
            <w:tcW w:w="200" w:type="dxa"/>
            <w:vAlign w:val="bottom"/>
          </w:tcPr>
          <w:p>
            <w:pPr>
              <w:spacing w:after="0"/>
              <w:rPr>
                <w:sz w:val="19"/>
                <w:szCs w:val="19"/>
                <w:color w:val="auto"/>
              </w:rPr>
            </w:pPr>
          </w:p>
        </w:tc>
        <w:tc>
          <w:tcPr>
            <w:tcW w:w="23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3,830</w:t>
            </w:r>
          </w:p>
        </w:tc>
        <w:tc>
          <w:tcPr>
            <w:tcW w:w="2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630"/>
        </w:trPr>
        <w:tc>
          <w:tcPr>
            <w:tcW w:w="52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 applicable.</w:t>
            </w: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 applicable.</w:t>
            </w: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91"/>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8.01</w:t>
            </w: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Other Events.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25"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On May 27, 2026, the Company announced that Raymond “Ray” M. Rodriguez was elected to the Board of Directors of the Company at the Annual Meeting. The press release announcing the election of Mr. Rodriguez to the Board is attached hereto as Exhibit 99.1 and is incorporated herein by reference thereto.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tabs>
          <w:tab w:leader="none" w:pos="820" w:val="left"/>
          <w:tab w:leader="none" w:pos="148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19685</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23" w:lineRule="exact"/>
        <w:rPr>
          <w:sz w:val="20"/>
          <w:szCs w:val="20"/>
          <w:color w:val="auto"/>
        </w:rPr>
      </w:pPr>
    </w:p>
    <w:p>
      <w:pPr>
        <w:ind w:left="1500" w:hanging="593"/>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500" w:hanging="598"/>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500" w:hanging="593"/>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500" w:hanging="598"/>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0"/>
                <w:szCs w:val="20"/>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9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May 27, 2026</w:t>
            </w:r>
          </w:p>
        </w:tc>
        <w:tc>
          <w:tcPr>
            <w:tcW w:w="4980" w:type="dxa"/>
            <w:vAlign w:val="bottom"/>
            <w:tcBorders>
              <w:top w:val="single" w:sz="8" w:color="auto"/>
            </w:tcBorders>
          </w:tcPr>
          <w:p>
            <w:pPr>
              <w:spacing w:after="0"/>
              <w:rPr>
                <w:sz w:val="14"/>
                <w:szCs w:val="14"/>
                <w:color w:val="auto"/>
              </w:rPr>
            </w:pPr>
          </w:p>
        </w:tc>
      </w:tr>
      <w:tr>
        <w:trPr>
          <w:trHeight w:val="23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320" w:top="576" w:right="131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9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45999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30861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MGuerra@uscentury.com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USCB Financial Holdings, Inc. and U.S. Century Bank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 New Director to Board</w:t>
      </w:r>
    </w:p>
    <w:p>
      <w:pPr>
        <w:spacing w:after="0" w:line="200" w:lineRule="exact"/>
        <w:rPr>
          <w:sz w:val="20"/>
          <w:szCs w:val="20"/>
          <w:color w:val="auto"/>
        </w:rPr>
      </w:pPr>
    </w:p>
    <w:p>
      <w:pPr>
        <w:spacing w:after="0" w:line="20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MIAMI — May 27, 2026— </w:t>
      </w:r>
      <w:r>
        <w:rPr>
          <w:rFonts w:ascii="Times New Roman" w:cs="Times New Roman" w:eastAsia="Times New Roman" w:hAnsi="Times New Roman"/>
          <w:sz w:val="18"/>
          <w:szCs w:val="18"/>
          <w:b w:val="1"/>
          <w:bCs w:val="1"/>
          <w:color w:val="auto"/>
        </w:rPr>
        <w:t>USCB Financial Holdings, Inc.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(NASDQ: USCB)</w:t>
      </w:r>
      <w:r>
        <w:rPr>
          <w:rFonts w:ascii="Times New Roman" w:cs="Times New Roman" w:eastAsia="Times New Roman" w:hAnsi="Times New Roman"/>
          <w:sz w:val="18"/>
          <w:szCs w:val="18"/>
          <w:color w:val="auto"/>
        </w:rPr>
        <w:t xml:space="preserve"> and its wholly owned subsidiary, U.S. Century Bank, (the “Bank”) announced today the election of Ramon M. Rodriguez by shareholders at the annual meeting of shareholders held on May 26, 2026 as an independent director of both the Company and the Bank.</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Rodriguez is a seasoned banking executive with nearly four decades of banking experience in South Florida’s financial services industry. He most recently served as the Market President, Miami-Dade County, for Seacoast Bank, Stuart, Florida from October 2022 until his retirement in October 2024. Under his direction, Seacoast entered the Miami-Dade market following its acquisition of Apollo Bank, where Rodriguez was president.</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“Ramon’s extensive experience in the South Florida banking market, spanning commercial and retail banking, real estate and construction lending, international banking and risk management, makes him an exceptional addition to our Board,” said Luis de la Aguilera, Chairman, President and CEO. “His proven leadership and deep understanding of our market will be invaluable as we continue to execute on our strategic priorities.”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joining Seacoast Bank, Rodriguez served as President of Apollo Bank where he led all commercial operations and played a key role in growing the institution from approximately $700 million to more than $1.1 billion in assets prior to its acquisition. Earlier in his career, he spent nearly two decades at TotalBank, beginning as Senior Vice President of Commercial Lending and later serving as Chief Lending Officer following the bank’s acquisition by Banco Popular Español. During his tenure, he was instrumental in driving significant asset growth and enhancing financial performance. He later served on the executive management team at City National Bank of Florida, overseeing Commercial Banking, Treasury Management and HOA Banking after it acquired Banco Popular Español.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180"/>
        <w:spacing w:after="0" w:line="282" w:lineRule="auto"/>
        <w:rPr>
          <w:sz w:val="20"/>
          <w:szCs w:val="20"/>
          <w:color w:val="auto"/>
        </w:rPr>
      </w:pPr>
      <w:r>
        <w:rPr>
          <w:rFonts w:ascii="Times New Roman" w:cs="Times New Roman" w:eastAsia="Times New Roman" w:hAnsi="Times New Roman"/>
          <w:sz w:val="18"/>
          <w:szCs w:val="18"/>
          <w:color w:val="auto"/>
        </w:rPr>
        <w:t>“I’m honored to join U.S. Century Bank at a time of continued momentum,” said Rodriguez. “And I look forward to leveraging my experience to support the Bank’s growth and its focus on serving clients throughout South Florida.”</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Rodriguez has been actively involved in the community, previously serving as a board member of Camillus House, a trustee for the Key Biscayne Police and Fire Pension Funds, and a board member of the Key Biscayne Yacht Club.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Rodriguez holds a Bachelor of Science in international finance and marketing from the University of Miami.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2026-05-27T16:15:35Z</dcterms:created>
  <dcterms:modified xsi:type="dcterms:W3CDTF">2026-05-27T16:15:35Z</dcterms:modified>
</cp:coreProperties>
</file>