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67" w:lineRule="exact"/>
        <w:rPr>
          <w:sz w:val="24"/>
          <w:szCs w:val="24"/>
          <w:color w:val="auto"/>
        </w:rPr>
      </w:pPr>
    </w:p>
    <w:p>
      <w:pPr>
        <w:jc w:val="center"/>
        <w:ind w:right="220"/>
        <w:spacing w:after="0"/>
        <w:rPr>
          <w:sz w:val="20"/>
          <w:szCs w:val="20"/>
          <w:color w:val="auto"/>
        </w:rPr>
      </w:pPr>
      <w:r>
        <w:rPr>
          <w:rFonts w:ascii="Arial" w:cs="Arial" w:eastAsia="Arial" w:hAnsi="Arial"/>
          <w:sz w:val="24"/>
          <w:szCs w:val="24"/>
          <w:b w:val="1"/>
          <w:bCs w:val="1"/>
          <w:color w:val="auto"/>
        </w:rPr>
        <w:t>Washington, D.C. 20549</w:t>
      </w:r>
    </w:p>
    <w:p>
      <w:pPr>
        <w:spacing w:after="0" w:line="77"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FORM 10-K</w:t>
      </w:r>
    </w:p>
    <w:p>
      <w:pPr>
        <w:spacing w:after="0" w:line="167" w:lineRule="exact"/>
        <w:rPr>
          <w:sz w:val="24"/>
          <w:szCs w:val="24"/>
          <w:color w:val="auto"/>
        </w:rPr>
      </w:pPr>
    </w:p>
    <w:p>
      <w:pPr>
        <w:ind w:left="1180" w:hanging="781"/>
        <w:spacing w:after="0"/>
        <w:tabs>
          <w:tab w:leader="none" w:pos="1180" w:val="left"/>
        </w:tabs>
        <w:numPr>
          <w:ilvl w:val="0"/>
          <w:numId w:val="1"/>
        </w:numPr>
        <w:rPr>
          <w:rFonts w:ascii="Segoe UI" w:cs="Segoe UI" w:eastAsia="Segoe UI" w:hAnsi="Segoe UI"/>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1080" w:hanging="729"/>
        <w:spacing w:after="0"/>
        <w:tabs>
          <w:tab w:leader="none" w:pos="1080" w:val="left"/>
        </w:tabs>
        <w:numPr>
          <w:ilvl w:val="0"/>
          <w:numId w:val="2"/>
        </w:numPr>
        <w:rPr>
          <w:rFonts w:ascii="Segoe UI" w:cs="Segoe UI" w:eastAsia="Segoe UI" w:hAnsi="Segoe UI"/>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For the transition period from _____to_____</w:t>
            </w: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rPr>
              <w:t>Commission File Number: 001-41196</w:t>
            </w: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9"/>
              </w:rPr>
              <w:t>USCB Financial Holdings, Inc.</w:t>
            </w: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9"/>
              </w:rPr>
              <w:t>(Exact name of registrant as specified in its charter)</w:t>
            </w: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80" w:type="dxa"/>
            <w:vAlign w:val="bottom"/>
          </w:tcPr>
          <w:p>
            <w:pPr>
              <w:spacing w:after="0"/>
              <w:rPr>
                <w:sz w:val="24"/>
                <w:szCs w:val="24"/>
                <w:color w:val="auto"/>
              </w:rPr>
            </w:pPr>
          </w:p>
        </w:tc>
        <w:tc>
          <w:tcPr>
            <w:tcW w:w="236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Florida</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87-4070846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40" w:type="dxa"/>
            <w:vAlign w:val="bottom"/>
            <w:gridSpan w:val="3"/>
          </w:tcPr>
          <w:p>
            <w:pPr>
              <w:jc w:val="center"/>
              <w:ind w:right="40"/>
              <w:spacing w:after="0"/>
              <w:rPr>
                <w:sz w:val="20"/>
                <w:szCs w:val="20"/>
                <w:color w:val="auto"/>
              </w:rPr>
            </w:pPr>
            <w:r>
              <w:rPr>
                <w:rFonts w:ascii="Arial" w:cs="Arial" w:eastAsia="Arial" w:hAnsi="Arial"/>
                <w:sz w:val="16"/>
                <w:szCs w:val="16"/>
                <w:i w:val="1"/>
                <w:iCs w:val="1"/>
                <w:color w:val="auto"/>
                <w:w w:val="99"/>
              </w:rPr>
              <w:t>(State or other jurisdiction of</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i w:val="1"/>
                <w:iCs w:val="1"/>
                <w:color w:val="auto"/>
              </w:rPr>
              <w:t>(I.R.S. Employer</w:t>
            </w:r>
          </w:p>
        </w:tc>
        <w:tc>
          <w:tcPr>
            <w:tcW w:w="0" w:type="dxa"/>
            <w:vAlign w:val="bottom"/>
          </w:tcPr>
          <w:p>
            <w:pPr>
              <w:spacing w:after="0"/>
              <w:rPr>
                <w:sz w:val="1"/>
                <w:szCs w:val="1"/>
                <w:color w:val="auto"/>
              </w:rPr>
            </w:pPr>
          </w:p>
        </w:tc>
      </w:tr>
      <w:tr>
        <w:trPr>
          <w:trHeight w:val="212"/>
        </w:trPr>
        <w:tc>
          <w:tcPr>
            <w:tcW w:w="3240" w:type="dxa"/>
            <w:vAlign w:val="bottom"/>
            <w:gridSpan w:val="3"/>
          </w:tcPr>
          <w:p>
            <w:pPr>
              <w:jc w:val="center"/>
              <w:ind w:right="20"/>
              <w:spacing w:after="0"/>
              <w:rPr>
                <w:sz w:val="20"/>
                <w:szCs w:val="20"/>
                <w:color w:val="auto"/>
              </w:rPr>
            </w:pPr>
            <w:r>
              <w:rPr>
                <w:rFonts w:ascii="Arial" w:cs="Arial" w:eastAsia="Arial" w:hAnsi="Arial"/>
                <w:sz w:val="16"/>
                <w:szCs w:val="16"/>
                <w:i w:val="1"/>
                <w:iCs w:val="1"/>
                <w:color w:val="auto"/>
              </w:rPr>
              <w:t>incorporation or organization)</w:t>
            </w:r>
          </w:p>
        </w:tc>
        <w:tc>
          <w:tcPr>
            <w:tcW w:w="3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9"/>
              </w:rPr>
              <w:t>2301 NW 87th Avenue, Doral, FL 33172</w:t>
            </w:r>
          </w:p>
        </w:tc>
        <w:tc>
          <w:tcPr>
            <w:tcW w:w="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i w:val="1"/>
                <w:iCs w:val="1"/>
                <w:color w:val="auto"/>
                <w:w w:val="99"/>
              </w:rPr>
              <w:t>Identification No.)</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9"/>
              </w:rPr>
              <w:t>(Address of principal executive offices) (zip code)</w:t>
            </w:r>
          </w:p>
        </w:tc>
        <w:tc>
          <w:tcPr>
            <w:tcW w:w="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20" w:type="dxa"/>
            <w:vAlign w:val="bottom"/>
            <w:gridSpan w:val="7"/>
          </w:tcPr>
          <w:p>
            <w:pPr>
              <w:jc w:val="center"/>
              <w:ind w:right="23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(305) 715-5200</w:t>
            </w:r>
          </w:p>
        </w:tc>
        <w:tc>
          <w:tcPr>
            <w:tcW w:w="0" w:type="dxa"/>
            <w:vAlign w:val="bottom"/>
          </w:tcPr>
          <w:p>
            <w:pPr>
              <w:spacing w:after="0"/>
              <w:rPr>
                <w:sz w:val="1"/>
                <w:szCs w:val="1"/>
                <w:color w:val="auto"/>
              </w:rPr>
            </w:pPr>
          </w:p>
        </w:tc>
      </w:tr>
      <w:tr>
        <w:trPr>
          <w:trHeight w:val="314"/>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20" w:type="dxa"/>
            <w:vAlign w:val="bottom"/>
            <w:gridSpan w:val="7"/>
          </w:tcPr>
          <w:p>
            <w:pPr>
              <w:jc w:val="center"/>
              <w:ind w:right="2380"/>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236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Title of each class</w:t>
            </w: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3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240" w:type="dxa"/>
            <w:vAlign w:val="bottom"/>
            <w:gridSpan w:val="3"/>
          </w:tcPr>
          <w:p>
            <w:pPr>
              <w:jc w:val="center"/>
              <w:spacing w:after="0"/>
              <w:rPr>
                <w:sz w:val="20"/>
                <w:szCs w:val="20"/>
                <w:color w:val="auto"/>
              </w:rPr>
            </w:pPr>
            <w:r>
              <w:rPr>
                <w:rFonts w:ascii="Arial" w:cs="Arial" w:eastAsia="Arial" w:hAnsi="Arial"/>
                <w:sz w:val="16"/>
                <w:szCs w:val="16"/>
                <w:color w:val="auto"/>
              </w:rPr>
              <w:t>Class A Common Stock, $1.00 par value per</w:t>
            </w:r>
          </w:p>
        </w:tc>
        <w:tc>
          <w:tcPr>
            <w:tcW w:w="1240" w:type="dxa"/>
            <w:vAlign w:val="bottom"/>
          </w:tcPr>
          <w:p>
            <w:pPr>
              <w:spacing w:after="0"/>
              <w:rPr>
                <w:sz w:val="19"/>
                <w:szCs w:val="19"/>
                <w:color w:val="auto"/>
              </w:rPr>
            </w:pPr>
          </w:p>
        </w:tc>
        <w:tc>
          <w:tcPr>
            <w:tcW w:w="2560" w:type="dxa"/>
            <w:vAlign w:val="bottom"/>
            <w:gridSpan w:val="2"/>
          </w:tcPr>
          <w:p>
            <w:pPr>
              <w:jc w:val="center"/>
              <w:ind w:right="1160"/>
              <w:spacing w:after="0"/>
              <w:rPr>
                <w:sz w:val="20"/>
                <w:szCs w:val="20"/>
                <w:color w:val="auto"/>
              </w:rPr>
            </w:pPr>
            <w:r>
              <w:rPr>
                <w:rFonts w:ascii="Arial" w:cs="Arial" w:eastAsia="Arial" w:hAnsi="Arial"/>
                <w:sz w:val="16"/>
                <w:szCs w:val="16"/>
                <w:color w:val="auto"/>
                <w:w w:val="98"/>
              </w:rPr>
              <w:t>USCB</w:t>
            </w:r>
          </w:p>
        </w:tc>
        <w:tc>
          <w:tcPr>
            <w:tcW w:w="60" w:type="dxa"/>
            <w:vAlign w:val="bottom"/>
          </w:tcPr>
          <w:p>
            <w:pPr>
              <w:spacing w:after="0"/>
              <w:rPr>
                <w:sz w:val="19"/>
                <w:szCs w:val="19"/>
                <w:color w:val="auto"/>
              </w:rPr>
            </w:pPr>
          </w:p>
        </w:tc>
        <w:tc>
          <w:tcPr>
            <w:tcW w:w="3380" w:type="dxa"/>
            <w:vAlign w:val="bottom"/>
            <w:gridSpan w:val="2"/>
          </w:tcPr>
          <w:p>
            <w:pPr>
              <w:jc w:val="center"/>
              <w:ind w:right="2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Arial" w:cs="Arial" w:eastAsia="Arial" w:hAnsi="Arial"/>
                <w:sz w:val="16"/>
                <w:szCs w:val="16"/>
                <w:color w:val="auto"/>
                <w:w w:val="99"/>
              </w:rPr>
              <w:t>share</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1931035</wp:posOffset>
            </wp:positionH>
            <wp:positionV relativeFrom="paragraph">
              <wp:posOffset>-2306320</wp:posOffset>
            </wp:positionV>
            <wp:extent cx="2713990"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3990" cy="336550"/>
                    </a:xfrm>
                    <a:prstGeom prst="rect">
                      <a:avLst/>
                    </a:prstGeom>
                    <a:noFill/>
                  </pic:spPr>
                </pic:pic>
              </a:graphicData>
            </a:graphic>
          </wp:anchor>
        </w:drawing>
      </w:r>
    </w:p>
    <w:p>
      <w:pPr>
        <w:spacing w:after="0" w:line="99"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51" w:lineRule="exact"/>
        <w:rPr>
          <w:sz w:val="24"/>
          <w:szCs w:val="24"/>
          <w:color w:val="auto"/>
        </w:rPr>
      </w:pPr>
    </w:p>
    <w:p>
      <w:pPr>
        <w:ind w:left="140" w:right="1060"/>
        <w:spacing w:after="0" w:line="383"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Segoe UI" w:cs="Segoe UI" w:eastAsia="Segoe UI" w:hAnsi="Segoe UI"/>
          <w:sz w:val="16"/>
          <w:szCs w:val="16"/>
          <w:color w:val="auto"/>
        </w:rPr>
        <w:t>տ</w:t>
      </w:r>
      <w:r>
        <w:rPr>
          <w:rFonts w:ascii="Arial" w:cs="Arial" w:eastAsia="Arial" w:hAnsi="Arial"/>
          <w:sz w:val="16"/>
          <w:szCs w:val="16"/>
          <w:color w:val="auto"/>
        </w:rPr>
        <w:t xml:space="preserve"> Yes No </w:t>
      </w:r>
      <w:r>
        <w:rPr>
          <w:rFonts w:ascii="Segoe UI" w:cs="Segoe UI" w:eastAsia="Segoe UI" w:hAnsi="Segoe UI"/>
          <w:sz w:val="16"/>
          <w:szCs w:val="16"/>
          <w:color w:val="auto"/>
        </w:rPr>
        <w:t>ց</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Segoe UI" w:cs="Segoe UI" w:eastAsia="Segoe UI" w:hAnsi="Segoe UI"/>
          <w:sz w:val="16"/>
          <w:szCs w:val="16"/>
          <w:color w:val="auto"/>
        </w:rPr>
        <w:t>տ</w:t>
      </w:r>
      <w:r>
        <w:rPr>
          <w:rFonts w:ascii="Arial" w:cs="Arial" w:eastAsia="Arial" w:hAnsi="Arial"/>
          <w:sz w:val="16"/>
          <w:szCs w:val="16"/>
          <w:color w:val="auto"/>
        </w:rPr>
        <w:t xml:space="preserve"> No </w:t>
      </w:r>
      <w:r>
        <w:rPr>
          <w:rFonts w:ascii="Segoe UI" w:cs="Segoe UI" w:eastAsia="Segoe UI" w:hAnsi="Segoe UI"/>
          <w:sz w:val="16"/>
          <w:szCs w:val="16"/>
          <w:color w:val="auto"/>
        </w:rPr>
        <w:t>ց</w:t>
      </w:r>
    </w:p>
    <w:p>
      <w:pPr>
        <w:spacing w:after="0" w:line="1" w:lineRule="exact"/>
        <w:rPr>
          <w:sz w:val="24"/>
          <w:szCs w:val="24"/>
          <w:color w:val="auto"/>
        </w:rPr>
      </w:pPr>
    </w:p>
    <w:p>
      <w:pPr>
        <w:jc w:val="both"/>
        <w:ind w:left="140"/>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such filing requirements for the past 90 days.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26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such files).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 w:lineRule="exact"/>
        <w:rPr>
          <w:sz w:val="24"/>
          <w:szCs w:val="24"/>
          <w:color w:val="auto"/>
        </w:rPr>
      </w:pPr>
    </w:p>
    <w:p>
      <w:pPr>
        <w:ind w:left="140"/>
        <w:spacing w:after="0"/>
        <w:tabs>
          <w:tab w:leader="none" w:pos="2060" w:val="left"/>
          <w:tab w:leader="none" w:pos="7460" w:val="left"/>
        </w:tabs>
        <w:rPr>
          <w:sz w:val="20"/>
          <w:szCs w:val="20"/>
          <w:color w:val="auto"/>
        </w:rPr>
      </w:pPr>
      <w:r>
        <w:rPr>
          <w:rFonts w:ascii="Arial" w:cs="Arial" w:eastAsia="Arial" w:hAnsi="Arial"/>
          <w:sz w:val="16"/>
          <w:szCs w:val="16"/>
          <w:color w:val="auto"/>
        </w:rPr>
        <w:t xml:space="preserve">Large accelerated filer </w:t>
      </w:r>
      <w:r>
        <w:rPr>
          <w:rFonts w:ascii="Segoe UI" w:cs="Segoe UI" w:eastAsia="Segoe UI" w:hAnsi="Segoe UI"/>
          <w:sz w:val="16"/>
          <w:szCs w:val="16"/>
          <w:color w:val="auto"/>
        </w:rPr>
        <w:t>տ</w:t>
      </w:r>
      <w:r>
        <w:rPr>
          <w:rFonts w:ascii="Arial" w:cs="Arial" w:eastAsia="Arial" w:hAnsi="Arial"/>
          <w:sz w:val="16"/>
          <w:szCs w:val="16"/>
          <w:color w:val="auto"/>
        </w:rPr>
        <w:tab/>
        <w:t xml:space="preserve">Accelerated filer </w:t>
      </w:r>
      <w:r>
        <w:rPr>
          <w:rFonts w:ascii="Segoe UI" w:cs="Segoe UI" w:eastAsia="Segoe UI" w:hAnsi="Segoe UI"/>
          <w:sz w:val="16"/>
          <w:szCs w:val="16"/>
          <w:color w:val="auto"/>
        </w:rPr>
        <w:t>ց</w:t>
      </w:r>
      <w:r>
        <w:rPr>
          <w:rFonts w:ascii="Arial" w:cs="Arial" w:eastAsia="Arial" w:hAnsi="Arial"/>
          <w:sz w:val="16"/>
          <w:szCs w:val="16"/>
          <w:color w:val="auto"/>
        </w:rPr>
        <w:t xml:space="preserve"> Non-accelerated filer </w:t>
      </w:r>
      <w:r>
        <w:rPr>
          <w:rFonts w:ascii="Segoe UI" w:cs="Segoe UI" w:eastAsia="Segoe UI" w:hAnsi="Segoe UI"/>
          <w:sz w:val="16"/>
          <w:szCs w:val="16"/>
          <w:color w:val="auto"/>
        </w:rPr>
        <w:t>տ</w:t>
      </w:r>
      <w:r>
        <w:rPr>
          <w:rFonts w:ascii="Arial" w:cs="Arial" w:eastAsia="Arial" w:hAnsi="Arial"/>
          <w:sz w:val="16"/>
          <w:szCs w:val="16"/>
          <w:color w:val="auto"/>
        </w:rPr>
        <w:t xml:space="preserve"> Smaller reporting company </w:t>
      </w:r>
      <w:r>
        <w:rPr>
          <w:rFonts w:ascii="Segoe UI" w:cs="Segoe UI" w:eastAsia="Segoe UI" w:hAnsi="Segoe UI"/>
          <w:sz w:val="16"/>
          <w:szCs w:val="16"/>
          <w:color w:val="auto"/>
        </w:rPr>
        <w:t>ց</w:t>
      </w:r>
      <w:r>
        <w:rPr>
          <w:rFonts w:ascii="Arial" w:cs="Arial" w:eastAsia="Arial" w:hAnsi="Arial"/>
          <w:sz w:val="16"/>
          <w:szCs w:val="16"/>
          <w:color w:val="auto"/>
        </w:rPr>
        <w:tab/>
        <w:t xml:space="preserve">Emerging growth company </w:t>
      </w:r>
      <w:r>
        <w:rPr>
          <w:rFonts w:ascii="Segoe UI" w:cs="Segoe UI" w:eastAsia="Segoe UI" w:hAnsi="Segoe UI"/>
          <w:sz w:val="16"/>
          <w:szCs w:val="16"/>
          <w:color w:val="auto"/>
        </w:rPr>
        <w:t>ց</w:t>
      </w:r>
    </w:p>
    <w:p>
      <w:pPr>
        <w:spacing w:after="0" w:line="153"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4"/>
          <w:szCs w:val="24"/>
          <w:color w:val="auto"/>
        </w:rPr>
      </w:pPr>
    </w:p>
    <w:p>
      <w:pPr>
        <w:jc w:val="both"/>
        <w:ind w:left="140"/>
        <w:spacing w:after="0" w:line="265"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prepared or issued its audit report.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Securities Exchange Act of 1934). Yes </w:t>
      </w:r>
      <w:r>
        <w:rPr>
          <w:rFonts w:ascii="Segoe UI" w:cs="Segoe UI" w:eastAsia="Segoe UI" w:hAnsi="Segoe UI"/>
          <w:sz w:val="16"/>
          <w:szCs w:val="16"/>
          <w:color w:val="auto"/>
        </w:rPr>
        <w:t>տ</w:t>
      </w:r>
      <w:r>
        <w:rPr>
          <w:rFonts w:ascii="Arial" w:cs="Arial" w:eastAsia="Arial" w:hAnsi="Arial"/>
          <w:sz w:val="16"/>
          <w:szCs w:val="16"/>
          <w:color w:val="auto"/>
        </w:rPr>
        <w:t xml:space="preserve"> No </w:t>
      </w:r>
      <w:r>
        <w:rPr>
          <w:rFonts w:ascii="Segoe UI" w:cs="Segoe UI" w:eastAsia="Segoe UI" w:hAnsi="Segoe UI"/>
          <w:sz w:val="16"/>
          <w:szCs w:val="16"/>
          <w:color w:val="auto"/>
        </w:rPr>
        <w:t>ց</w:t>
      </w:r>
    </w:p>
    <w:p>
      <w:pPr>
        <w:spacing w:after="0" w:line="99" w:lineRule="exact"/>
        <w:rPr>
          <w:sz w:val="24"/>
          <w:szCs w:val="24"/>
          <w:color w:val="auto"/>
        </w:rPr>
      </w:pPr>
    </w:p>
    <w:p>
      <w:pPr>
        <w:ind w:left="140" w:right="220"/>
        <w:spacing w:after="0" w:line="254" w:lineRule="auto"/>
        <w:rPr>
          <w:sz w:val="20"/>
          <w:szCs w:val="20"/>
          <w:color w:val="auto"/>
        </w:rPr>
      </w:pPr>
      <w:r>
        <w:rPr>
          <w:rFonts w:ascii="Arial" w:cs="Arial" w:eastAsia="Arial" w:hAnsi="Arial"/>
          <w:sz w:val="16"/>
          <w:szCs w:val="16"/>
          <w:color w:val="auto"/>
        </w:rPr>
        <w:t>The aggregate market value of the voting stock held by non-affiliates of the registrant based on the closing price of $12.83 per share on June 28, 2024, the last business day of the registrant’s second quarter, was approximately $132.3 million (19,630,632 shares issued and outstanding at such date less shares held by affiliates). Although directors and executive officers and their affiliates of the Registrant were assumed to be “affiliates” of the Registrant for purposes of the calculation, the classification is not to be interpreted as an admission of such status.</w:t>
      </w:r>
    </w:p>
    <w:p>
      <w:pPr>
        <w:spacing w:after="0" w:line="58" w:lineRule="exact"/>
        <w:rPr>
          <w:sz w:val="24"/>
          <w:szCs w:val="24"/>
          <w:color w:val="auto"/>
        </w:rPr>
      </w:pPr>
    </w:p>
    <w:p>
      <w:pPr>
        <w:ind w:left="140"/>
        <w:spacing w:after="0"/>
        <w:rPr>
          <w:sz w:val="20"/>
          <w:szCs w:val="20"/>
          <w:color w:val="auto"/>
        </w:rPr>
      </w:pPr>
      <w:r>
        <w:rPr>
          <w:rFonts w:ascii="Arial" w:cs="Arial" w:eastAsia="Arial" w:hAnsi="Arial"/>
          <w:sz w:val="16"/>
          <w:szCs w:val="16"/>
          <w:color w:val="auto"/>
        </w:rPr>
        <w:t>As of February 28, 2025, the registrant had had 20,053,025 shares of Class A Common Stock outstanding.</w:t>
      </w:r>
    </w:p>
    <w:p>
      <w:pPr>
        <w:spacing w:after="0" w:line="95"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3" w:lineRule="exact"/>
        <w:rPr>
          <w:sz w:val="24"/>
          <w:szCs w:val="24"/>
          <w:color w:val="auto"/>
        </w:rPr>
      </w:pPr>
    </w:p>
    <w:p>
      <w:pPr>
        <w:ind w:left="140"/>
        <w:spacing w:after="0" w:line="284" w:lineRule="auto"/>
        <w:rPr>
          <w:sz w:val="20"/>
          <w:szCs w:val="20"/>
          <w:color w:val="auto"/>
        </w:rPr>
      </w:pPr>
      <w:r>
        <w:rPr>
          <w:rFonts w:ascii="Arial" w:cs="Arial" w:eastAsia="Arial" w:hAnsi="Arial"/>
          <w:sz w:val="16"/>
          <w:szCs w:val="16"/>
          <w:color w:val="auto"/>
        </w:rPr>
        <w:t>Certain portions of the registrant’s Proxy Statement for the 2025 Annual Meeting of Shareholders (the “2025 Proxy Statement”) are incorporated by reference into Part III of this report.</w:t>
      </w:r>
    </w:p>
    <w:p>
      <w:pPr>
        <w:sectPr>
          <w:pgSz w:w="12240" w:h="15840" w:orient="portrait"/>
          <w:cols w:equalWidth="0" w:num="1">
            <w:col w:w="10580"/>
          </w:cols>
          <w:pgMar w:left="940" w:top="404" w:right="720" w:bottom="418" w:gutter="0" w:footer="0" w:header="0"/>
        </w:sectPr>
      </w:pPr>
    </w:p>
    <w:bookmarkStart w:id="1" w:name="page2"/>
    <w:bookmarkEnd w:id="1"/>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2638425</wp:posOffset>
            </wp:positionH>
            <wp:positionV relativeFrom="page">
              <wp:posOffset>457200</wp:posOffset>
            </wp:positionV>
            <wp:extent cx="2715895" cy="337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15895" cy="3371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20" w:type="dxa"/>
            <w:vAlign w:val="bottom"/>
            <w:gridSpan w:val="12"/>
          </w:tcPr>
          <w:p>
            <w:pPr>
              <w:jc w:val="center"/>
              <w:ind w:right="3780"/>
              <w:spacing w:after="0"/>
              <w:rPr>
                <w:sz w:val="20"/>
                <w:szCs w:val="20"/>
                <w:color w:val="auto"/>
              </w:rPr>
            </w:pPr>
            <w:r>
              <w:rPr>
                <w:rFonts w:ascii="Arial" w:cs="Arial" w:eastAsia="Arial" w:hAnsi="Arial"/>
                <w:sz w:val="20"/>
                <w:szCs w:val="20"/>
                <w:b w:val="1"/>
                <w:bCs w:val="1"/>
                <w:color w:val="auto"/>
              </w:rPr>
              <w:t>FORM 10-K</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gridSpan w:val="14"/>
          </w:tcPr>
          <w:p>
            <w:pPr>
              <w:jc w:val="center"/>
              <w:ind w:right="3500"/>
              <w:spacing w:after="0"/>
              <w:rPr>
                <w:sz w:val="20"/>
                <w:szCs w:val="20"/>
                <w:color w:val="auto"/>
              </w:rPr>
            </w:pPr>
            <w:r>
              <w:rPr>
                <w:rFonts w:ascii="Arial" w:cs="Arial" w:eastAsia="Arial" w:hAnsi="Arial"/>
                <w:sz w:val="20"/>
                <w:szCs w:val="20"/>
                <w:b w:val="1"/>
                <w:bCs w:val="1"/>
                <w:color w:val="auto"/>
                <w:w w:val="99"/>
              </w:rPr>
              <w:t>DECEMBER 31, 2024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gridSpan w:val="14"/>
          </w:tcPr>
          <w:p>
            <w:pPr>
              <w:jc w:val="center"/>
              <w:ind w:right="3500"/>
              <w:spacing w:after="0"/>
              <w:rPr>
                <w:sz w:val="20"/>
                <w:szCs w:val="20"/>
                <w:color w:val="auto"/>
              </w:rPr>
            </w:pPr>
            <w:r>
              <w:rPr>
                <w:rFonts w:ascii="Arial" w:cs="Arial" w:eastAsia="Arial" w:hAnsi="Arial"/>
                <w:sz w:val="20"/>
                <w:szCs w:val="20"/>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20" w:type="dxa"/>
            <w:vAlign w:val="bottom"/>
            <w:gridSpan w:val="28"/>
          </w:tcPr>
          <w:p>
            <w:pPr>
              <w:spacing w:after="0"/>
              <w:rPr>
                <w:sz w:val="20"/>
                <w:szCs w:val="20"/>
                <w:color w:val="auto"/>
              </w:rPr>
            </w:pPr>
            <w:r>
              <w:rPr>
                <w:rFonts w:ascii="Arial" w:cs="Arial" w:eastAsia="Arial" w:hAnsi="Arial"/>
                <w:sz w:val="18"/>
                <w:szCs w:val="18"/>
                <w:color w:val="1C2790"/>
              </w:rPr>
              <w:t>Cautionary Note Regarding Forward-Looking Statements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rPr>
                <w:sz w:val="20"/>
                <w:szCs w:val="20"/>
                <w:color w:val="auto"/>
              </w:rPr>
            </w:pPr>
            <w:r>
              <w:rPr>
                <w:rFonts w:ascii="Arial" w:cs="Arial" w:eastAsia="Arial" w:hAnsi="Arial"/>
                <w:sz w:val="18"/>
                <w:szCs w:val="18"/>
                <w:b w:val="1"/>
                <w:bCs w:val="1"/>
                <w:color w:val="1C2790"/>
                <w:w w:val="84"/>
              </w:rPr>
              <w:t>PART I</w:t>
            </w:r>
          </w:p>
        </w:tc>
        <w:tc>
          <w:tcPr>
            <w:tcW w:w="420" w:type="dxa"/>
            <w:vAlign w:val="bottom"/>
            <w:gridSpan w:val="6"/>
          </w:tcPr>
          <w:p>
            <w:pPr>
              <w:spacing w:after="0"/>
              <w:rPr>
                <w:sz w:val="24"/>
                <w:szCs w:val="24"/>
                <w:color w:val="auto"/>
              </w:rPr>
            </w:pPr>
          </w:p>
        </w:tc>
        <w:tc>
          <w:tcPr>
            <w:tcW w:w="740" w:type="dxa"/>
            <w:vAlign w:val="bottom"/>
            <w:tcBorders>
              <w:top w:val="single" w:sz="8" w:color="1C2790"/>
            </w:tcBorders>
          </w:tcPr>
          <w:p>
            <w:pPr>
              <w:spacing w:after="0"/>
              <w:rPr>
                <w:sz w:val="24"/>
                <w:szCs w:val="24"/>
                <w:color w:val="auto"/>
              </w:rPr>
            </w:pPr>
          </w:p>
        </w:tc>
        <w:tc>
          <w:tcPr>
            <w:tcW w:w="8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30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780" w:type="dxa"/>
            <w:vAlign w:val="bottom"/>
            <w:tcBorders>
              <w:top w:val="single" w:sz="8" w:color="1C2790"/>
            </w:tcBorders>
          </w:tcPr>
          <w:p>
            <w:pPr>
              <w:spacing w:after="0"/>
              <w:rPr>
                <w:sz w:val="24"/>
                <w:szCs w:val="24"/>
                <w:color w:val="auto"/>
              </w:rPr>
            </w:pPr>
          </w:p>
        </w:tc>
        <w:tc>
          <w:tcPr>
            <w:tcW w:w="380" w:type="dxa"/>
            <w:vAlign w:val="bottom"/>
            <w:tcBorders>
              <w:top w:val="single" w:sz="8" w:color="1C2790"/>
            </w:tcBorders>
          </w:tcPr>
          <w:p>
            <w:pPr>
              <w:spacing w:after="0"/>
              <w:rPr>
                <w:sz w:val="24"/>
                <w:szCs w:val="24"/>
                <w:color w:val="auto"/>
              </w:rPr>
            </w:pPr>
          </w:p>
        </w:tc>
        <w:tc>
          <w:tcPr>
            <w:tcW w:w="200" w:type="dxa"/>
            <w:vAlign w:val="bottom"/>
            <w:tcBorders>
              <w:top w:val="single" w:sz="8" w:color="1C2790"/>
            </w:tcBorders>
          </w:tcPr>
          <w:p>
            <w:pPr>
              <w:spacing w:after="0"/>
              <w:rPr>
                <w:sz w:val="24"/>
                <w:szCs w:val="24"/>
                <w:color w:val="auto"/>
              </w:rPr>
            </w:pPr>
          </w:p>
        </w:tc>
        <w:tc>
          <w:tcPr>
            <w:tcW w:w="80" w:type="dxa"/>
            <w:vAlign w:val="bottom"/>
            <w:tcBorders>
              <w:top w:val="single" w:sz="8" w:color="1C2790"/>
            </w:tcBorders>
          </w:tcPr>
          <w:p>
            <w:pPr>
              <w:spacing w:after="0"/>
              <w:rPr>
                <w:sz w:val="24"/>
                <w:szCs w:val="24"/>
                <w:color w:val="auto"/>
              </w:rPr>
            </w:pPr>
          </w:p>
        </w:tc>
        <w:tc>
          <w:tcPr>
            <w:tcW w:w="70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1C279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1C2790"/>
            </w:tcBorders>
            <w:shd w:val="clear" w:color="auto" w:fill="1C2790"/>
          </w:tcPr>
          <w:p>
            <w:pPr>
              <w:spacing w:after="0" w:line="20" w:lineRule="exact"/>
              <w:rPr>
                <w:sz w:val="1"/>
                <w:szCs w:val="1"/>
                <w:color w:val="auto"/>
              </w:rPr>
            </w:pPr>
          </w:p>
        </w:tc>
        <w:tc>
          <w:tcPr>
            <w:tcW w:w="100" w:type="dxa"/>
            <w:vAlign w:val="bottom"/>
            <w:tcBorders>
              <w:left w:val="single" w:sz="8" w:color="1C279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40" w:type="dxa"/>
            <w:vAlign w:val="bottom"/>
          </w:tcPr>
          <w:p>
            <w:pPr>
              <w:spacing w:after="0"/>
              <w:rPr>
                <w:sz w:val="20"/>
                <w:szCs w:val="20"/>
                <w:color w:val="auto"/>
              </w:rPr>
            </w:pPr>
            <w:r>
              <w:rPr>
                <w:rFonts w:ascii="Arial" w:cs="Arial" w:eastAsia="Arial" w:hAnsi="Arial"/>
                <w:sz w:val="18"/>
                <w:szCs w:val="18"/>
                <w:color w:val="1C2790"/>
                <w:w w:val="90"/>
              </w:rPr>
              <w:t>Item 1.</w:t>
            </w:r>
          </w:p>
        </w:tc>
        <w:tc>
          <w:tcPr>
            <w:tcW w:w="420" w:type="dxa"/>
            <w:vAlign w:val="bottom"/>
            <w:gridSpan w:val="6"/>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1C2790"/>
                <w:w w:val="98"/>
              </w:rPr>
              <w:t>Business</w:t>
            </w:r>
          </w:p>
        </w:tc>
        <w:tc>
          <w:tcPr>
            <w:tcW w:w="8480" w:type="dxa"/>
            <w:vAlign w:val="bottom"/>
            <w:gridSpan w:val="27"/>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1C279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1C279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C279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gridSpan w:val="7"/>
          </w:tcPr>
          <w:p>
            <w:pPr>
              <w:spacing w:after="0" w:line="187" w:lineRule="exact"/>
              <w:rPr>
                <w:sz w:val="20"/>
                <w:szCs w:val="20"/>
                <w:color w:val="auto"/>
              </w:rPr>
            </w:pPr>
            <w:r>
              <w:rPr>
                <w:rFonts w:ascii="Arial" w:cs="Arial" w:eastAsia="Arial" w:hAnsi="Arial"/>
                <w:sz w:val="18"/>
                <w:szCs w:val="18"/>
                <w:color w:val="1C2790"/>
              </w:rPr>
              <w:t>Item 1A.</w:t>
            </w: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Risk Factors</w:t>
            </w:r>
          </w:p>
        </w:tc>
        <w:tc>
          <w:tcPr>
            <w:tcW w:w="620" w:type="dxa"/>
            <w:vAlign w:val="bottom"/>
            <w:gridSpan w:val="5"/>
          </w:tcPr>
          <w:p>
            <w:pPr>
              <w:jc w:val="right"/>
              <w:spacing w:after="0" w:line="187" w:lineRule="exact"/>
              <w:rPr>
                <w:sz w:val="20"/>
                <w:szCs w:val="20"/>
                <w:color w:val="auto"/>
              </w:rPr>
            </w:pPr>
            <w:r>
              <w:rPr>
                <w:rFonts w:ascii="Arial" w:cs="Arial" w:eastAsia="Arial" w:hAnsi="Arial"/>
                <w:sz w:val="18"/>
                <w:szCs w:val="18"/>
                <w:color w:val="1C2790"/>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Borders>
              <w:top w:val="single" w:sz="8" w:color="1C2790"/>
              <w:bottom w:val="single" w:sz="8" w:color="1C2790"/>
            </w:tcBorders>
            <w:gridSpan w:val="5"/>
          </w:tcPr>
          <w:p>
            <w:pPr>
              <w:spacing w:after="0" w:line="187" w:lineRule="exact"/>
              <w:rPr>
                <w:sz w:val="20"/>
                <w:szCs w:val="20"/>
                <w:color w:val="auto"/>
              </w:rPr>
            </w:pPr>
            <w:r>
              <w:rPr>
                <w:rFonts w:ascii="Arial" w:cs="Arial" w:eastAsia="Arial" w:hAnsi="Arial"/>
                <w:sz w:val="18"/>
                <w:szCs w:val="18"/>
                <w:color w:val="1C2790"/>
              </w:rPr>
              <w:t>Item 1B.</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1C2790"/>
              <w:bottom w:val="single" w:sz="8" w:color="1C2790"/>
            </w:tcBorders>
            <w:gridSpan w:val="3"/>
          </w:tcPr>
          <w:p>
            <w:pPr>
              <w:spacing w:after="0" w:line="187" w:lineRule="exact"/>
              <w:rPr>
                <w:sz w:val="20"/>
                <w:szCs w:val="20"/>
                <w:color w:val="auto"/>
              </w:rPr>
            </w:pPr>
            <w:r>
              <w:rPr>
                <w:rFonts w:ascii="Arial" w:cs="Arial" w:eastAsia="Arial" w:hAnsi="Arial"/>
                <w:sz w:val="18"/>
                <w:szCs w:val="18"/>
                <w:color w:val="1C2790"/>
              </w:rPr>
              <w:t>Unresolved</w:t>
            </w:r>
          </w:p>
        </w:tc>
        <w:tc>
          <w:tcPr>
            <w:tcW w:w="1260" w:type="dxa"/>
            <w:vAlign w:val="bottom"/>
            <w:tcBorders>
              <w:bottom w:val="single" w:sz="8" w:color="1C2790"/>
            </w:tcBorders>
            <w:gridSpan w:val="8"/>
          </w:tcPr>
          <w:p>
            <w:pPr>
              <w:spacing w:after="0" w:line="187" w:lineRule="exact"/>
              <w:rPr>
                <w:sz w:val="20"/>
                <w:szCs w:val="20"/>
                <w:color w:val="auto"/>
              </w:rPr>
            </w:pPr>
            <w:r>
              <w:rPr>
                <w:rFonts w:ascii="Arial" w:cs="Arial" w:eastAsia="Arial" w:hAnsi="Arial"/>
                <w:sz w:val="18"/>
                <w:szCs w:val="18"/>
                <w:color w:val="1C2790"/>
                <w:w w:val="96"/>
              </w:rPr>
              <w:t>Staff Comments</w:t>
            </w:r>
          </w:p>
        </w:tc>
        <w:tc>
          <w:tcPr>
            <w:tcW w:w="6960" w:type="dxa"/>
            <w:vAlign w:val="bottom"/>
            <w:gridSpan w:val="17"/>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1C2790"/>
              <w:bottom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0" w:type="dxa"/>
            <w:vAlign w:val="bottom"/>
            <w:gridSpan w:val="7"/>
          </w:tcPr>
          <w:p>
            <w:pPr>
              <w:spacing w:after="0"/>
              <w:rPr>
                <w:sz w:val="20"/>
                <w:szCs w:val="20"/>
                <w:color w:val="auto"/>
              </w:rPr>
            </w:pPr>
            <w:r>
              <w:rPr>
                <w:rFonts w:ascii="Arial" w:cs="Arial" w:eastAsia="Arial" w:hAnsi="Arial"/>
                <w:sz w:val="18"/>
                <w:szCs w:val="18"/>
                <w:color w:val="1C2790"/>
              </w:rPr>
              <w:t>Item 1C.</w:t>
            </w:r>
          </w:p>
        </w:tc>
        <w:tc>
          <w:tcPr>
            <w:tcW w:w="9220" w:type="dxa"/>
            <w:vAlign w:val="bottom"/>
            <w:gridSpan w:val="28"/>
          </w:tcPr>
          <w:p>
            <w:pPr>
              <w:spacing w:after="0"/>
              <w:rPr>
                <w:sz w:val="20"/>
                <w:szCs w:val="20"/>
                <w:color w:val="auto"/>
              </w:rPr>
            </w:pPr>
            <w:r>
              <w:rPr>
                <w:rFonts w:ascii="Arial" w:cs="Arial" w:eastAsia="Arial" w:hAnsi="Arial"/>
                <w:sz w:val="18"/>
                <w:szCs w:val="18"/>
                <w:color w:val="1C2790"/>
              </w:rPr>
              <w:t>Cybersecurity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line="210" w:lineRule="exact"/>
              <w:rPr>
                <w:sz w:val="20"/>
                <w:szCs w:val="20"/>
                <w:color w:val="auto"/>
              </w:rPr>
            </w:pPr>
            <w:r>
              <w:rPr>
                <w:rFonts w:ascii="Arial" w:cs="Arial" w:eastAsia="Arial" w:hAnsi="Arial"/>
                <w:sz w:val="20"/>
                <w:szCs w:val="20"/>
                <w:color w:val="1C2790"/>
                <w:w w:val="80"/>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1C2790"/>
            </w:tcBorders>
            <w:gridSpan w:val="5"/>
          </w:tcPr>
          <w:p>
            <w:pPr>
              <w:spacing w:after="0" w:line="169" w:lineRule="exact"/>
              <w:rPr>
                <w:sz w:val="20"/>
                <w:szCs w:val="20"/>
                <w:color w:val="auto"/>
              </w:rPr>
            </w:pPr>
            <w:r>
              <w:rPr>
                <w:rFonts w:ascii="Arial" w:cs="Arial" w:eastAsia="Arial" w:hAnsi="Arial"/>
                <w:sz w:val="18"/>
                <w:szCs w:val="18"/>
                <w:color w:val="1C2790"/>
              </w:rPr>
              <w:t>Item 2.</w:t>
            </w:r>
          </w:p>
        </w:tc>
        <w:tc>
          <w:tcPr>
            <w:tcW w:w="20" w:type="dxa"/>
            <w:vAlign w:val="bottom"/>
            <w:tcBorders>
              <w:top w:val="single" w:sz="8" w:color="1C2790"/>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1C2790"/>
            </w:tcBorders>
            <w:gridSpan w:val="5"/>
          </w:tcPr>
          <w:p>
            <w:pPr>
              <w:spacing w:after="0" w:line="169" w:lineRule="exact"/>
              <w:rPr>
                <w:sz w:val="20"/>
                <w:szCs w:val="20"/>
                <w:color w:val="auto"/>
              </w:rPr>
            </w:pPr>
            <w:r>
              <w:rPr>
                <w:rFonts w:ascii="Arial" w:cs="Arial" w:eastAsia="Arial" w:hAnsi="Arial"/>
                <w:sz w:val="18"/>
                <w:szCs w:val="18"/>
                <w:color w:val="1C2790"/>
              </w:rPr>
              <w:t>Properties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1C2790"/>
            </w:tcBorders>
            <w:gridSpan w:val="3"/>
          </w:tcPr>
          <w:p>
            <w:pPr>
              <w:jc w:val="right"/>
              <w:spacing w:after="0" w:line="169" w:lineRule="exact"/>
              <w:rPr>
                <w:sz w:val="20"/>
                <w:szCs w:val="20"/>
                <w:color w:val="auto"/>
              </w:rPr>
            </w:pPr>
            <w:r>
              <w:rPr>
                <w:rFonts w:ascii="Arial" w:cs="Arial" w:eastAsia="Arial" w:hAnsi="Arial"/>
                <w:sz w:val="18"/>
                <w:szCs w:val="18"/>
                <w:color w:val="1C2790"/>
                <w:w w:val="99"/>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1C279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tcBorders>
              <w:right w:val="single" w:sz="8" w:color="1C2790"/>
            </w:tcBorders>
            <w:gridSpan w:val="2"/>
            <w:shd w:val="clear" w:color="auto" w:fill="1C279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 w:type="dxa"/>
            <w:vAlign w:val="bottom"/>
            <w:tcBorders>
              <w:bottom w:val="single" w:sz="8" w:color="1C2790"/>
            </w:tcBorders>
          </w:tcPr>
          <w:p>
            <w:pPr>
              <w:spacing w:after="0" w:line="187" w:lineRule="exact"/>
              <w:rPr>
                <w:sz w:val="20"/>
                <w:szCs w:val="20"/>
                <w:color w:val="auto"/>
              </w:rPr>
            </w:pPr>
            <w:r>
              <w:rPr>
                <w:rFonts w:ascii="Arial" w:cs="Arial" w:eastAsia="Arial" w:hAnsi="Arial"/>
                <w:sz w:val="18"/>
                <w:szCs w:val="18"/>
                <w:color w:val="1C2790"/>
                <w:w w:val="90"/>
              </w:rPr>
              <w:t>Item 3.</w:t>
            </w: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500" w:type="dxa"/>
            <w:vAlign w:val="bottom"/>
            <w:tcBorders>
              <w:bottom w:val="single" w:sz="8" w:color="1C2790"/>
            </w:tcBorders>
            <w:gridSpan w:val="7"/>
          </w:tcPr>
          <w:p>
            <w:pPr>
              <w:spacing w:after="0" w:line="187" w:lineRule="exact"/>
              <w:rPr>
                <w:sz w:val="20"/>
                <w:szCs w:val="20"/>
                <w:color w:val="auto"/>
              </w:rPr>
            </w:pPr>
            <w:r>
              <w:rPr>
                <w:rFonts w:ascii="Arial" w:cs="Arial" w:eastAsia="Arial" w:hAnsi="Arial"/>
                <w:sz w:val="18"/>
                <w:szCs w:val="18"/>
                <w:color w:val="1C2790"/>
                <w:w w:val="99"/>
              </w:rPr>
              <w:t>Legal Proceedings</w:t>
            </w:r>
          </w:p>
        </w:tc>
        <w:tc>
          <w:tcPr>
            <w:tcW w:w="7720" w:type="dxa"/>
            <w:vAlign w:val="bottom"/>
            <w:gridSpan w:val="21"/>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0" w:type="dxa"/>
            <w:vAlign w:val="bottom"/>
            <w:tcBorders>
              <w:bottom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49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Borders>
              <w:bottom w:val="single" w:sz="8" w:color="1C2790"/>
            </w:tcBorders>
          </w:tcPr>
          <w:p>
            <w:pPr>
              <w:spacing w:after="0" w:line="187" w:lineRule="exact"/>
              <w:rPr>
                <w:sz w:val="20"/>
                <w:szCs w:val="20"/>
                <w:color w:val="auto"/>
              </w:rPr>
            </w:pPr>
            <w:r>
              <w:rPr>
                <w:rFonts w:ascii="Arial" w:cs="Arial" w:eastAsia="Arial" w:hAnsi="Arial"/>
                <w:sz w:val="18"/>
                <w:szCs w:val="18"/>
                <w:color w:val="1C2790"/>
                <w:w w:val="90"/>
              </w:rPr>
              <w:t>Item 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1C2790"/>
            </w:tcBorders>
            <w:gridSpan w:val="9"/>
          </w:tcPr>
          <w:p>
            <w:pPr>
              <w:spacing w:after="0" w:line="187" w:lineRule="exact"/>
              <w:rPr>
                <w:sz w:val="20"/>
                <w:szCs w:val="20"/>
                <w:color w:val="auto"/>
              </w:rPr>
            </w:pPr>
            <w:r>
              <w:rPr>
                <w:rFonts w:ascii="Arial" w:cs="Arial" w:eastAsia="Arial" w:hAnsi="Arial"/>
                <w:sz w:val="18"/>
                <w:szCs w:val="18"/>
                <w:color w:val="1C2790"/>
                <w:w w:val="99"/>
              </w:rPr>
              <w:t>Mine Safety Disclosures</w:t>
            </w:r>
          </w:p>
        </w:tc>
        <w:tc>
          <w:tcPr>
            <w:tcW w:w="7280" w:type="dxa"/>
            <w:vAlign w:val="bottom"/>
            <w:gridSpan w:val="19"/>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bottom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960" w:type="dxa"/>
            <w:vAlign w:val="bottom"/>
            <w:gridSpan w:val="7"/>
          </w:tcPr>
          <w:p>
            <w:pPr>
              <w:spacing w:after="0"/>
              <w:rPr>
                <w:sz w:val="20"/>
                <w:szCs w:val="20"/>
                <w:color w:val="auto"/>
              </w:rPr>
            </w:pPr>
            <w:r>
              <w:rPr>
                <w:rFonts w:ascii="Arial" w:cs="Arial" w:eastAsia="Arial" w:hAnsi="Arial"/>
                <w:sz w:val="18"/>
                <w:szCs w:val="18"/>
                <w:b w:val="1"/>
                <w:bCs w:val="1"/>
                <w:color w:val="1C2790"/>
              </w:rPr>
              <w:t>PART 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1C2790"/>
              </w:rPr>
              <w:t>51</w:t>
            </w:r>
          </w:p>
        </w:tc>
        <w:tc>
          <w:tcPr>
            <w:tcW w:w="0" w:type="dxa"/>
            <w:vAlign w:val="bottom"/>
          </w:tcPr>
          <w:p>
            <w:pPr>
              <w:spacing w:after="0"/>
              <w:rPr>
                <w:sz w:val="1"/>
                <w:szCs w:val="1"/>
                <w:color w:val="auto"/>
              </w:rPr>
            </w:pPr>
          </w:p>
        </w:tc>
      </w:tr>
      <w:tr>
        <w:trPr>
          <w:trHeight w:val="373"/>
        </w:trPr>
        <w:tc>
          <w:tcPr>
            <w:tcW w:w="640" w:type="dxa"/>
            <w:vAlign w:val="bottom"/>
            <w:tcBorders>
              <w:top w:val="single" w:sz="8" w:color="1C2790"/>
            </w:tcBorders>
            <w:gridSpan w:val="2"/>
          </w:tcPr>
          <w:p>
            <w:pPr>
              <w:spacing w:after="0"/>
              <w:rPr>
                <w:sz w:val="20"/>
                <w:szCs w:val="20"/>
                <w:color w:val="auto"/>
              </w:rPr>
            </w:pPr>
            <w:r>
              <w:rPr>
                <w:rFonts w:ascii="Arial" w:cs="Arial" w:eastAsia="Arial" w:hAnsi="Arial"/>
                <w:sz w:val="18"/>
                <w:szCs w:val="18"/>
                <w:color w:val="1C2790"/>
              </w:rPr>
              <w:t>Item 5.</w:t>
            </w:r>
          </w:p>
        </w:tc>
        <w:tc>
          <w:tcPr>
            <w:tcW w:w="320" w:type="dxa"/>
            <w:vAlign w:val="bottom"/>
            <w:gridSpan w:val="5"/>
          </w:tcPr>
          <w:p>
            <w:pPr>
              <w:spacing w:after="0"/>
              <w:rPr>
                <w:sz w:val="24"/>
                <w:szCs w:val="24"/>
                <w:color w:val="auto"/>
              </w:rPr>
            </w:pPr>
          </w:p>
        </w:tc>
        <w:tc>
          <w:tcPr>
            <w:tcW w:w="9220" w:type="dxa"/>
            <w:vAlign w:val="bottom"/>
            <w:gridSpan w:val="28"/>
          </w:tcPr>
          <w:p>
            <w:pPr>
              <w:spacing w:after="0"/>
              <w:rPr>
                <w:sz w:val="20"/>
                <w:szCs w:val="20"/>
                <w:color w:val="auto"/>
              </w:rPr>
            </w:pPr>
            <w:r>
              <w:rPr>
                <w:rFonts w:ascii="Arial" w:cs="Arial" w:eastAsia="Arial" w:hAnsi="Arial"/>
                <w:sz w:val="18"/>
                <w:szCs w:val="18"/>
                <w:color w:val="1C2790"/>
              </w:rPr>
              <w:t>Market for Registrant’s Common Equity, Related Stockholder Matters and Issuer Purchases of Equity Securities</w:t>
            </w:r>
          </w:p>
        </w:tc>
        <w:tc>
          <w:tcPr>
            <w:tcW w:w="420" w:type="dxa"/>
            <w:vAlign w:val="bottom"/>
            <w:gridSpan w:val="3"/>
          </w:tcPr>
          <w:p>
            <w:pPr>
              <w:spacing w:after="0"/>
              <w:rPr>
                <w:sz w:val="24"/>
                <w:szCs w:val="24"/>
                <w:color w:val="auto"/>
              </w:rPr>
            </w:pPr>
          </w:p>
        </w:tc>
        <w:tc>
          <w:tcPr>
            <w:tcW w:w="200" w:type="dxa"/>
            <w:vAlign w:val="bottom"/>
            <w:tcBorders>
              <w:top w:val="single" w:sz="8" w:color="1C2790"/>
            </w:tcBorders>
            <w:gridSpan w:val="2"/>
          </w:tcPr>
          <w:p>
            <w:pPr>
              <w:jc w:val="right"/>
              <w:spacing w:after="0"/>
              <w:rPr>
                <w:sz w:val="20"/>
                <w:szCs w:val="20"/>
                <w:color w:val="auto"/>
              </w:rPr>
            </w:pPr>
            <w:r>
              <w:rPr>
                <w:rFonts w:ascii="Arial" w:cs="Arial" w:eastAsia="Arial" w:hAnsi="Arial"/>
                <w:sz w:val="18"/>
                <w:szCs w:val="18"/>
                <w:color w:val="1C2790"/>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0" w:type="dxa"/>
            <w:vAlign w:val="bottom"/>
            <w:tcBorders>
              <w:top w:val="single" w:sz="8" w:color="1C2790"/>
              <w:bottom w:val="single" w:sz="8" w:color="1C2790"/>
            </w:tcBorders>
          </w:tcPr>
          <w:p>
            <w:pPr>
              <w:spacing w:after="0" w:line="187" w:lineRule="exact"/>
              <w:rPr>
                <w:sz w:val="20"/>
                <w:szCs w:val="20"/>
                <w:color w:val="auto"/>
              </w:rPr>
            </w:pPr>
            <w:r>
              <w:rPr>
                <w:rFonts w:ascii="Arial" w:cs="Arial" w:eastAsia="Arial" w:hAnsi="Arial"/>
                <w:sz w:val="18"/>
                <w:szCs w:val="18"/>
                <w:color w:val="1C2790"/>
                <w:w w:val="90"/>
              </w:rPr>
              <w:t>Item 6.</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1C2790"/>
              <w:bottom w:val="single" w:sz="8" w:color="1C2790"/>
            </w:tcBorders>
            <w:gridSpan w:val="2"/>
          </w:tcPr>
          <w:p>
            <w:pPr>
              <w:spacing w:after="0" w:line="187" w:lineRule="exact"/>
              <w:rPr>
                <w:sz w:val="20"/>
                <w:szCs w:val="20"/>
                <w:color w:val="auto"/>
              </w:rPr>
            </w:pPr>
            <w:r>
              <w:rPr>
                <w:rFonts w:ascii="Arial" w:cs="Arial" w:eastAsia="Arial" w:hAnsi="Arial"/>
                <w:sz w:val="18"/>
                <w:szCs w:val="18"/>
                <w:color w:val="1C2790"/>
              </w:rPr>
              <w:t>Reserved</w:t>
            </w:r>
          </w:p>
        </w:tc>
        <w:tc>
          <w:tcPr>
            <w:tcW w:w="8080" w:type="dxa"/>
            <w:vAlign w:val="bottom"/>
            <w:tcBorders>
              <w:top w:val="single" w:sz="8" w:color="1C2790"/>
            </w:tcBorders>
            <w:gridSpan w:val="25"/>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top w:val="single" w:sz="8" w:color="1C2790"/>
              <w:bottom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line="187" w:lineRule="exact"/>
              <w:rPr>
                <w:sz w:val="20"/>
                <w:szCs w:val="20"/>
                <w:color w:val="auto"/>
              </w:rPr>
            </w:pPr>
            <w:r>
              <w:rPr>
                <w:rFonts w:ascii="Arial" w:cs="Arial" w:eastAsia="Arial" w:hAnsi="Arial"/>
                <w:sz w:val="18"/>
                <w:szCs w:val="18"/>
                <w:color w:val="1C2790"/>
                <w:w w:val="90"/>
              </w:rPr>
              <w:t>Item 7.</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Management's Discussion and Analysis of Financial Condition and Results of Operations</w:t>
            </w: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gridSpan w:val="2"/>
          </w:tcPr>
          <w:p>
            <w:pPr>
              <w:jc w:val="right"/>
              <w:spacing w:after="0" w:line="187" w:lineRule="exact"/>
              <w:rPr>
                <w:sz w:val="20"/>
                <w:szCs w:val="20"/>
                <w:color w:val="auto"/>
              </w:rPr>
            </w:pPr>
            <w:r>
              <w:rPr>
                <w:rFonts w:ascii="Arial" w:cs="Arial" w:eastAsia="Arial" w:hAnsi="Arial"/>
                <w:sz w:val="18"/>
                <w:szCs w:val="18"/>
                <w:color w:val="1C2790"/>
                <w:w w:val="89"/>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1C279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320" w:type="dxa"/>
            <w:vAlign w:val="bottom"/>
            <w:gridSpan w:val="2"/>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780" w:type="dxa"/>
            <w:vAlign w:val="bottom"/>
            <w:shd w:val="clear" w:color="auto" w:fill="1C2790"/>
          </w:tcPr>
          <w:p>
            <w:pPr>
              <w:spacing w:after="0" w:line="20" w:lineRule="exact"/>
              <w:rPr>
                <w:sz w:val="1"/>
                <w:szCs w:val="1"/>
                <w:color w:val="auto"/>
              </w:rPr>
            </w:pPr>
          </w:p>
        </w:tc>
        <w:tc>
          <w:tcPr>
            <w:tcW w:w="380" w:type="dxa"/>
            <w:vAlign w:val="bottom"/>
            <w:tcBorders>
              <w:left w:val="single" w:sz="8" w:color="1C2790"/>
            </w:tcBorders>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700" w:type="dxa"/>
            <w:vAlign w:val="bottom"/>
            <w:shd w:val="clear" w:color="auto" w:fill="1C2790"/>
          </w:tcPr>
          <w:p>
            <w:pPr>
              <w:spacing w:after="0" w:line="20" w:lineRule="exact"/>
              <w:rPr>
                <w:sz w:val="1"/>
                <w:szCs w:val="1"/>
                <w:color w:val="auto"/>
              </w:rPr>
            </w:pPr>
          </w:p>
        </w:tc>
        <w:tc>
          <w:tcPr>
            <w:tcW w:w="220" w:type="dxa"/>
            <w:vAlign w:val="bottom"/>
            <w:gridSpan w:val="2"/>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120" w:type="dxa"/>
            <w:vAlign w:val="bottom"/>
            <w:shd w:val="clear" w:color="auto" w:fill="1C2790"/>
          </w:tcPr>
          <w:p>
            <w:pPr>
              <w:spacing w:after="0" w:line="20" w:lineRule="exact"/>
              <w:rPr>
                <w:sz w:val="1"/>
                <w:szCs w:val="1"/>
                <w:color w:val="auto"/>
              </w:rPr>
            </w:pPr>
          </w:p>
        </w:tc>
        <w:tc>
          <w:tcPr>
            <w:tcW w:w="600" w:type="dxa"/>
            <w:vAlign w:val="bottom"/>
            <w:shd w:val="clear" w:color="auto" w:fill="1C2790"/>
          </w:tcPr>
          <w:p>
            <w:pPr>
              <w:spacing w:after="0" w:line="20" w:lineRule="exact"/>
              <w:rPr>
                <w:sz w:val="1"/>
                <w:szCs w:val="1"/>
                <w:color w:val="auto"/>
              </w:rPr>
            </w:pPr>
          </w:p>
        </w:tc>
        <w:tc>
          <w:tcPr>
            <w:tcW w:w="620" w:type="dxa"/>
            <w:vAlign w:val="bottom"/>
            <w:shd w:val="clear" w:color="auto" w:fill="1C2790"/>
          </w:tcPr>
          <w:p>
            <w:pPr>
              <w:spacing w:after="0" w:line="20" w:lineRule="exact"/>
              <w:rPr>
                <w:sz w:val="1"/>
                <w:szCs w:val="1"/>
                <w:color w:val="auto"/>
              </w:rPr>
            </w:pPr>
          </w:p>
        </w:tc>
        <w:tc>
          <w:tcPr>
            <w:tcW w:w="1000" w:type="dxa"/>
            <w:vAlign w:val="bottom"/>
            <w:shd w:val="clear" w:color="auto" w:fill="1C279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7"/>
          </w:tcPr>
          <w:p>
            <w:pPr>
              <w:spacing w:after="0" w:line="189" w:lineRule="exact"/>
              <w:rPr>
                <w:sz w:val="20"/>
                <w:szCs w:val="20"/>
                <w:color w:val="auto"/>
              </w:rPr>
            </w:pPr>
            <w:r>
              <w:rPr>
                <w:rFonts w:ascii="Arial" w:cs="Arial" w:eastAsia="Arial" w:hAnsi="Arial"/>
                <w:sz w:val="18"/>
                <w:szCs w:val="18"/>
                <w:color w:val="1C2790"/>
              </w:rPr>
              <w:t>Item 7A.</w:t>
            </w:r>
          </w:p>
        </w:tc>
        <w:tc>
          <w:tcPr>
            <w:tcW w:w="7080" w:type="dxa"/>
            <w:vAlign w:val="bottom"/>
            <w:gridSpan w:val="24"/>
          </w:tcPr>
          <w:p>
            <w:pPr>
              <w:spacing w:after="0" w:line="189" w:lineRule="exact"/>
              <w:rPr>
                <w:sz w:val="20"/>
                <w:szCs w:val="20"/>
                <w:color w:val="auto"/>
              </w:rPr>
            </w:pPr>
            <w:r>
              <w:rPr>
                <w:rFonts w:ascii="Arial" w:cs="Arial" w:eastAsia="Arial" w:hAnsi="Arial"/>
                <w:sz w:val="18"/>
                <w:szCs w:val="18"/>
                <w:color w:val="1C2790"/>
              </w:rPr>
              <w:t>Quantitative and Qualitative Disclosures About Market Risk</w:t>
            </w: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1C2790"/>
                <w:w w:val="89"/>
              </w:rPr>
              <w:t>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Borders>
              <w:top w:val="single" w:sz="8" w:color="1C2790"/>
            </w:tcBorders>
            <w:gridSpan w:val="4"/>
          </w:tcPr>
          <w:p>
            <w:pPr>
              <w:spacing w:after="0" w:line="187" w:lineRule="exact"/>
              <w:rPr>
                <w:sz w:val="20"/>
                <w:szCs w:val="20"/>
                <w:color w:val="auto"/>
              </w:rPr>
            </w:pPr>
            <w:r>
              <w:rPr>
                <w:rFonts w:ascii="Arial" w:cs="Arial" w:eastAsia="Arial" w:hAnsi="Arial"/>
                <w:sz w:val="18"/>
                <w:szCs w:val="18"/>
                <w:color w:val="1C2790"/>
              </w:rPr>
              <w:t>Item 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20" w:type="dxa"/>
            <w:vAlign w:val="bottom"/>
            <w:tcBorders>
              <w:top w:val="single" w:sz="8" w:color="1C2790"/>
            </w:tcBorders>
            <w:gridSpan w:val="19"/>
          </w:tcPr>
          <w:p>
            <w:pPr>
              <w:spacing w:after="0" w:line="187" w:lineRule="exact"/>
              <w:rPr>
                <w:sz w:val="20"/>
                <w:szCs w:val="20"/>
                <w:color w:val="auto"/>
              </w:rPr>
            </w:pPr>
            <w:r>
              <w:rPr>
                <w:rFonts w:ascii="Arial" w:cs="Arial" w:eastAsia="Arial" w:hAnsi="Arial"/>
                <w:sz w:val="18"/>
                <w:szCs w:val="18"/>
                <w:color w:val="1C2790"/>
              </w:rPr>
              <w:t>Financial Statements and Supplementary Data</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top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Borders>
              <w:top w:val="single" w:sz="8" w:color="1C2790"/>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Borders>
              <w:top w:val="single" w:sz="8" w:color="1C2790"/>
            </w:tcBorders>
            <w:gridSpan w:val="15"/>
          </w:tcPr>
          <w:p>
            <w:pPr>
              <w:spacing w:after="0" w:line="187" w:lineRule="exact"/>
              <w:rPr>
                <w:sz w:val="20"/>
                <w:szCs w:val="20"/>
                <w:color w:val="auto"/>
              </w:rPr>
            </w:pPr>
            <w:r>
              <w:rPr>
                <w:rFonts w:ascii="Arial" w:cs="Arial" w:eastAsia="Arial" w:hAnsi="Arial"/>
                <w:sz w:val="18"/>
                <w:szCs w:val="18"/>
                <w:color w:val="1C2790"/>
              </w:rPr>
              <w:t>Consolidated Balance Sheets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top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Borders>
              <w:top w:val="single" w:sz="8" w:color="1C2790"/>
            </w:tcBorders>
            <w:gridSpan w:val="12"/>
          </w:tcPr>
          <w:p>
            <w:pPr>
              <w:spacing w:after="0" w:line="187" w:lineRule="exact"/>
              <w:rPr>
                <w:sz w:val="20"/>
                <w:szCs w:val="20"/>
                <w:color w:val="auto"/>
              </w:rPr>
            </w:pPr>
            <w:r>
              <w:rPr>
                <w:rFonts w:ascii="Arial" w:cs="Arial" w:eastAsia="Arial" w:hAnsi="Arial"/>
                <w:sz w:val="18"/>
                <w:szCs w:val="18"/>
                <w:color w:val="1C2790"/>
              </w:rPr>
              <w:t>Consolidated Statements of</w:t>
            </w:r>
          </w:p>
        </w:tc>
        <w:tc>
          <w:tcPr>
            <w:tcW w:w="6860" w:type="dxa"/>
            <w:vAlign w:val="bottom"/>
            <w:gridSpan w:val="16"/>
          </w:tcPr>
          <w:p>
            <w:pPr>
              <w:spacing w:after="0" w:line="187" w:lineRule="exact"/>
              <w:rPr>
                <w:sz w:val="20"/>
                <w:szCs w:val="20"/>
                <w:color w:val="auto"/>
              </w:rPr>
            </w:pPr>
            <w:r>
              <w:rPr>
                <w:rFonts w:ascii="Arial" w:cs="Arial" w:eastAsia="Arial" w:hAnsi="Arial"/>
                <w:sz w:val="18"/>
                <w:szCs w:val="18"/>
                <w:color w:val="1C2790"/>
              </w:rPr>
              <w:t>Operations</w:t>
            </w: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top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320" w:type="dxa"/>
            <w:vAlign w:val="bottom"/>
            <w:gridSpan w:val="2"/>
            <w:shd w:val="clear" w:color="auto" w:fill="1C2790"/>
          </w:tcPr>
          <w:p>
            <w:pPr>
              <w:spacing w:after="0" w:line="20" w:lineRule="exact"/>
              <w:rPr>
                <w:sz w:val="1"/>
                <w:szCs w:val="1"/>
                <w:color w:val="auto"/>
              </w:rPr>
            </w:pPr>
          </w:p>
        </w:tc>
        <w:tc>
          <w:tcPr>
            <w:tcW w:w="1140" w:type="dxa"/>
            <w:vAlign w:val="bottom"/>
            <w:gridSpan w:val="3"/>
            <w:shd w:val="clear" w:color="auto" w:fill="1C279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40" w:type="dxa"/>
            <w:vAlign w:val="bottom"/>
            <w:tcBorders>
              <w:bottom w:val="single" w:sz="8" w:color="1C2790"/>
            </w:tcBorders>
            <w:gridSpan w:val="20"/>
          </w:tcPr>
          <w:p>
            <w:pPr>
              <w:spacing w:after="0" w:line="189" w:lineRule="exact"/>
              <w:rPr>
                <w:sz w:val="20"/>
                <w:szCs w:val="20"/>
                <w:color w:val="auto"/>
              </w:rPr>
            </w:pPr>
            <w:r>
              <w:rPr>
                <w:rFonts w:ascii="Arial" w:cs="Arial" w:eastAsia="Arial" w:hAnsi="Arial"/>
                <w:sz w:val="18"/>
                <w:szCs w:val="18"/>
                <w:color w:val="1C2790"/>
              </w:rPr>
              <w:t>Consolidated Statements of Comprehensive Income (Loss)</w:t>
            </w:r>
          </w:p>
        </w:tc>
        <w:tc>
          <w:tcPr>
            <w:tcW w:w="4480" w:type="dxa"/>
            <w:vAlign w:val="bottom"/>
            <w:gridSpan w:val="8"/>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0" w:type="dxa"/>
            <w:vAlign w:val="bottom"/>
            <w:tcBorders>
              <w:bottom w:val="single" w:sz="8" w:color="1C2790"/>
            </w:tcBorders>
            <w:gridSpan w:val="2"/>
          </w:tcPr>
          <w:p>
            <w:pPr>
              <w:jc w:val="right"/>
              <w:spacing w:after="0" w:line="189" w:lineRule="exact"/>
              <w:rPr>
                <w:sz w:val="20"/>
                <w:szCs w:val="20"/>
                <w:color w:val="auto"/>
              </w:rPr>
            </w:pPr>
            <w:r>
              <w:rPr>
                <w:rFonts w:ascii="Arial" w:cs="Arial" w:eastAsia="Arial" w:hAnsi="Arial"/>
                <w:sz w:val="18"/>
                <w:szCs w:val="18"/>
                <w:color w:val="1C2790"/>
                <w:w w:val="89"/>
              </w:rPr>
              <w:t>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Consolidated Statements of Changes in Stockholders’ Equity</w:t>
            </w: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gridSpan w:val="2"/>
          </w:tcPr>
          <w:p>
            <w:pPr>
              <w:jc w:val="right"/>
              <w:spacing w:after="0" w:line="187" w:lineRule="exact"/>
              <w:rPr>
                <w:sz w:val="20"/>
                <w:szCs w:val="20"/>
                <w:color w:val="auto"/>
              </w:rPr>
            </w:pPr>
            <w:r>
              <w:rPr>
                <w:rFonts w:ascii="Arial" w:cs="Arial" w:eastAsia="Arial" w:hAnsi="Arial"/>
                <w:sz w:val="18"/>
                <w:szCs w:val="18"/>
                <w:color w:val="1C2790"/>
                <w:w w:val="89"/>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60" w:type="dxa"/>
            <w:vAlign w:val="bottom"/>
            <w:tcBorders>
              <w:top w:val="single" w:sz="8" w:color="1C2790"/>
            </w:tcBorders>
            <w:gridSpan w:val="21"/>
          </w:tcPr>
          <w:p>
            <w:pPr>
              <w:spacing w:after="0" w:line="187" w:lineRule="exact"/>
              <w:rPr>
                <w:sz w:val="20"/>
                <w:szCs w:val="20"/>
                <w:color w:val="auto"/>
              </w:rPr>
            </w:pPr>
            <w:r>
              <w:rPr>
                <w:rFonts w:ascii="Arial" w:cs="Arial" w:eastAsia="Arial" w:hAnsi="Arial"/>
                <w:sz w:val="18"/>
                <w:szCs w:val="18"/>
                <w:color w:val="1C2790"/>
              </w:rPr>
              <w:t>Consolidated Statements of Cash Flows</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0" w:type="dxa"/>
            <w:vAlign w:val="bottom"/>
            <w:tcBorders>
              <w:top w:val="single" w:sz="8" w:color="1C2790"/>
            </w:tcBorders>
            <w:gridSpan w:val="2"/>
          </w:tcPr>
          <w:p>
            <w:pPr>
              <w:jc w:val="right"/>
              <w:spacing w:after="0" w:line="187" w:lineRule="exact"/>
              <w:rPr>
                <w:sz w:val="20"/>
                <w:szCs w:val="20"/>
                <w:color w:val="auto"/>
              </w:rPr>
            </w:pPr>
            <w:r>
              <w:rPr>
                <w:rFonts w:ascii="Arial" w:cs="Arial" w:eastAsia="Arial" w:hAnsi="Arial"/>
                <w:sz w:val="18"/>
                <w:szCs w:val="18"/>
                <w:color w:val="1C2790"/>
                <w:w w:val="89"/>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320" w:type="dxa"/>
            <w:vAlign w:val="bottom"/>
            <w:gridSpan w:val="2"/>
            <w:shd w:val="clear" w:color="auto" w:fill="1C2790"/>
          </w:tcPr>
          <w:p>
            <w:pPr>
              <w:spacing w:after="0" w:line="20" w:lineRule="exact"/>
              <w:rPr>
                <w:sz w:val="1"/>
                <w:szCs w:val="1"/>
                <w:color w:val="auto"/>
              </w:rPr>
            </w:pPr>
          </w:p>
        </w:tc>
        <w:tc>
          <w:tcPr>
            <w:tcW w:w="1140" w:type="dxa"/>
            <w:vAlign w:val="bottom"/>
            <w:gridSpan w:val="3"/>
            <w:shd w:val="clear" w:color="auto" w:fill="1C2790"/>
          </w:tcPr>
          <w:p>
            <w:pPr>
              <w:spacing w:after="0" w:line="20" w:lineRule="exact"/>
              <w:rPr>
                <w:sz w:val="1"/>
                <w:szCs w:val="1"/>
                <w:color w:val="auto"/>
              </w:rPr>
            </w:pPr>
          </w:p>
        </w:tc>
        <w:tc>
          <w:tcPr>
            <w:tcW w:w="380" w:type="dxa"/>
            <w:vAlign w:val="bottom"/>
            <w:tcBorders>
              <w:left w:val="single" w:sz="8" w:color="1C2790"/>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gridSpan w:val="7"/>
            <w:vMerge w:val="restart"/>
          </w:tcPr>
          <w:p>
            <w:pPr>
              <w:spacing w:after="0"/>
              <w:rPr>
                <w:sz w:val="20"/>
                <w:szCs w:val="20"/>
                <w:color w:val="auto"/>
              </w:rPr>
            </w:pPr>
            <w:r>
              <w:rPr>
                <w:rFonts w:ascii="Arial" w:cs="Arial" w:eastAsia="Arial" w:hAnsi="Arial"/>
                <w:sz w:val="18"/>
                <w:szCs w:val="18"/>
                <w:color w:val="1C2790"/>
              </w:rPr>
              <w:t>Item 9.</w:t>
            </w: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Notes to the Consolidated Financial Statements</w:t>
            </w:r>
          </w:p>
        </w:tc>
        <w:tc>
          <w:tcPr>
            <w:tcW w:w="32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0" w:type="dxa"/>
            <w:vAlign w:val="bottom"/>
            <w:gridSpan w:val="2"/>
          </w:tcPr>
          <w:p>
            <w:pPr>
              <w:jc w:val="right"/>
              <w:spacing w:after="0" w:line="187" w:lineRule="exact"/>
              <w:rPr>
                <w:sz w:val="20"/>
                <w:szCs w:val="20"/>
                <w:color w:val="auto"/>
              </w:rPr>
            </w:pPr>
            <w:r>
              <w:rPr>
                <w:rFonts w:ascii="Arial" w:cs="Arial" w:eastAsia="Arial" w:hAnsi="Arial"/>
                <w:sz w:val="18"/>
                <w:szCs w:val="18"/>
                <w:color w:val="1C2790"/>
                <w:w w:val="89"/>
              </w:rPr>
              <w:t>85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gridSpan w:val="7"/>
            <w:vMerge w:val="continue"/>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320" w:type="dxa"/>
            <w:vAlign w:val="bottom"/>
            <w:gridSpan w:val="2"/>
            <w:shd w:val="clear" w:color="auto" w:fill="1C2790"/>
          </w:tcPr>
          <w:p>
            <w:pPr>
              <w:spacing w:after="0" w:line="20" w:lineRule="exact"/>
              <w:rPr>
                <w:sz w:val="1"/>
                <w:szCs w:val="1"/>
                <w:color w:val="auto"/>
              </w:rPr>
            </w:pPr>
          </w:p>
        </w:tc>
        <w:tc>
          <w:tcPr>
            <w:tcW w:w="1140" w:type="dxa"/>
            <w:vAlign w:val="bottom"/>
            <w:gridSpan w:val="3"/>
            <w:shd w:val="clear" w:color="auto" w:fill="1C2790"/>
          </w:tcPr>
          <w:p>
            <w:pPr>
              <w:spacing w:after="0" w:line="20" w:lineRule="exact"/>
              <w:rPr>
                <w:sz w:val="1"/>
                <w:szCs w:val="1"/>
                <w:color w:val="auto"/>
              </w:rPr>
            </w:pPr>
          </w:p>
        </w:tc>
        <w:tc>
          <w:tcPr>
            <w:tcW w:w="380" w:type="dxa"/>
            <w:vAlign w:val="bottom"/>
            <w:tcBorders>
              <w:left w:val="single" w:sz="8" w:color="1C2790"/>
            </w:tcBorders>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5420" w:type="dxa"/>
            <w:vAlign w:val="bottom"/>
            <w:gridSpan w:val="12"/>
            <w:vMerge w:val="restart"/>
          </w:tcPr>
          <w:p>
            <w:pPr>
              <w:ind w:left="220"/>
              <w:spacing w:after="0"/>
              <w:rPr>
                <w:sz w:val="20"/>
                <w:szCs w:val="20"/>
                <w:color w:val="auto"/>
              </w:rPr>
            </w:pPr>
            <w:r>
              <w:rPr>
                <w:rFonts w:ascii="Arial" w:cs="Arial" w:eastAsia="Arial" w:hAnsi="Arial"/>
                <w:sz w:val="18"/>
                <w:szCs w:val="18"/>
                <w:color w:val="1C2790"/>
              </w:rPr>
              <w:t>on Accounting and Financial Disclosure</w:t>
            </w: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7"/>
            <w:vMerge w:val="continue"/>
          </w:tcPr>
          <w:p>
            <w:pPr>
              <w:spacing w:after="0"/>
              <w:rPr>
                <w:sz w:val="16"/>
                <w:szCs w:val="16"/>
                <w:color w:val="auto"/>
              </w:rPr>
            </w:pPr>
          </w:p>
        </w:tc>
        <w:tc>
          <w:tcPr>
            <w:tcW w:w="3800" w:type="dxa"/>
            <w:vAlign w:val="bottom"/>
            <w:gridSpan w:val="16"/>
          </w:tcPr>
          <w:p>
            <w:pPr>
              <w:spacing w:after="0" w:line="189" w:lineRule="exact"/>
              <w:rPr>
                <w:sz w:val="20"/>
                <w:szCs w:val="20"/>
                <w:color w:val="auto"/>
              </w:rPr>
            </w:pPr>
            <w:r>
              <w:rPr>
                <w:rFonts w:ascii="Arial" w:cs="Arial" w:eastAsia="Arial" w:hAnsi="Arial"/>
                <w:sz w:val="18"/>
                <w:szCs w:val="18"/>
                <w:color w:val="1C2790"/>
                <w:w w:val="95"/>
              </w:rPr>
              <w:t>Changes in and Disagreements With Accountants</w:t>
            </w:r>
          </w:p>
        </w:tc>
        <w:tc>
          <w:tcPr>
            <w:tcW w:w="5420" w:type="dxa"/>
            <w:vAlign w:val="bottom"/>
            <w:gridSpan w:val="12"/>
            <w:vMerge w:val="continue"/>
          </w:tcPr>
          <w:p>
            <w:pPr>
              <w:spacing w:after="0"/>
              <w:rPr>
                <w:sz w:val="16"/>
                <w:szCs w:val="16"/>
                <w:color w:val="auto"/>
              </w:rPr>
            </w:pPr>
          </w:p>
        </w:tc>
        <w:tc>
          <w:tcPr>
            <w:tcW w:w="620" w:type="dxa"/>
            <w:vAlign w:val="bottom"/>
            <w:gridSpan w:val="5"/>
          </w:tcPr>
          <w:p>
            <w:pPr>
              <w:jc w:val="right"/>
              <w:spacing w:after="0" w:line="189" w:lineRule="exact"/>
              <w:rPr>
                <w:sz w:val="20"/>
                <w:szCs w:val="20"/>
                <w:color w:val="auto"/>
              </w:rPr>
            </w:pPr>
            <w:r>
              <w:rPr>
                <w:rFonts w:ascii="Arial" w:cs="Arial" w:eastAsia="Arial" w:hAnsi="Arial"/>
                <w:sz w:val="18"/>
                <w:szCs w:val="18"/>
                <w:color w:val="1C2790"/>
              </w:rPr>
              <w:t>124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1C279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320" w:type="dxa"/>
            <w:vAlign w:val="bottom"/>
            <w:gridSpan w:val="2"/>
            <w:shd w:val="clear" w:color="auto" w:fill="1C2790"/>
          </w:tcPr>
          <w:p>
            <w:pPr>
              <w:spacing w:after="0" w:line="20" w:lineRule="exact"/>
              <w:rPr>
                <w:sz w:val="1"/>
                <w:szCs w:val="1"/>
                <w:color w:val="auto"/>
              </w:rPr>
            </w:pPr>
          </w:p>
        </w:tc>
        <w:tc>
          <w:tcPr>
            <w:tcW w:w="1140" w:type="dxa"/>
            <w:vAlign w:val="bottom"/>
            <w:gridSpan w:val="3"/>
            <w:shd w:val="clear" w:color="auto" w:fill="1C2790"/>
          </w:tcPr>
          <w:p>
            <w:pPr>
              <w:spacing w:after="0" w:line="20" w:lineRule="exact"/>
              <w:rPr>
                <w:sz w:val="1"/>
                <w:szCs w:val="1"/>
                <w:color w:val="auto"/>
              </w:rPr>
            </w:pPr>
          </w:p>
        </w:tc>
        <w:tc>
          <w:tcPr>
            <w:tcW w:w="380" w:type="dxa"/>
            <w:vAlign w:val="bottom"/>
            <w:tcBorders>
              <w:left w:val="single" w:sz="8" w:color="1C2790"/>
            </w:tcBorders>
            <w:shd w:val="clear" w:color="auto" w:fill="1C2790"/>
          </w:tcPr>
          <w:p>
            <w:pPr>
              <w:spacing w:after="0" w:line="20" w:lineRule="exact"/>
              <w:rPr>
                <w:sz w:val="1"/>
                <w:szCs w:val="1"/>
                <w:color w:val="auto"/>
              </w:rPr>
            </w:pPr>
          </w:p>
        </w:tc>
        <w:tc>
          <w:tcPr>
            <w:tcW w:w="980" w:type="dxa"/>
            <w:vAlign w:val="bottom"/>
            <w:gridSpan w:val="3"/>
            <w:shd w:val="clear" w:color="auto" w:fill="1C2790"/>
          </w:tcPr>
          <w:p>
            <w:pPr>
              <w:spacing w:after="0" w:line="20" w:lineRule="exact"/>
              <w:rPr>
                <w:sz w:val="1"/>
                <w:szCs w:val="1"/>
                <w:color w:val="auto"/>
              </w:rPr>
            </w:pPr>
          </w:p>
        </w:tc>
        <w:tc>
          <w:tcPr>
            <w:tcW w:w="960" w:type="dxa"/>
            <w:vAlign w:val="bottom"/>
            <w:gridSpan w:val="5"/>
            <w:shd w:val="clear" w:color="auto" w:fill="1C2790"/>
          </w:tcPr>
          <w:p>
            <w:pPr>
              <w:spacing w:after="0" w:line="20" w:lineRule="exact"/>
              <w:rPr>
                <w:sz w:val="1"/>
                <w:szCs w:val="1"/>
                <w:color w:val="auto"/>
              </w:rPr>
            </w:pPr>
          </w:p>
        </w:tc>
        <w:tc>
          <w:tcPr>
            <w:tcW w:w="620" w:type="dxa"/>
            <w:vAlign w:val="bottom"/>
            <w:shd w:val="clear" w:color="auto" w:fill="1C2790"/>
          </w:tcPr>
          <w:p>
            <w:pPr>
              <w:spacing w:after="0" w:line="20" w:lineRule="exact"/>
              <w:rPr>
                <w:sz w:val="1"/>
                <w:szCs w:val="1"/>
                <w:color w:val="auto"/>
              </w:rPr>
            </w:pPr>
          </w:p>
        </w:tc>
        <w:tc>
          <w:tcPr>
            <w:tcW w:w="1100" w:type="dxa"/>
            <w:vAlign w:val="bottom"/>
            <w:gridSpan w:val="2"/>
            <w:shd w:val="clear" w:color="auto" w:fill="1C279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4"/>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gridSpan w:val="7"/>
          </w:tcPr>
          <w:p>
            <w:pPr>
              <w:spacing w:after="0" w:line="187" w:lineRule="exact"/>
              <w:rPr>
                <w:sz w:val="20"/>
                <w:szCs w:val="20"/>
                <w:color w:val="auto"/>
              </w:rPr>
            </w:pPr>
            <w:r>
              <w:rPr>
                <w:rFonts w:ascii="Arial" w:cs="Arial" w:eastAsia="Arial" w:hAnsi="Arial"/>
                <w:sz w:val="18"/>
                <w:szCs w:val="18"/>
                <w:color w:val="1C2790"/>
              </w:rPr>
              <w:t>Item 9A.</w:t>
            </w:r>
          </w:p>
        </w:tc>
        <w:tc>
          <w:tcPr>
            <w:tcW w:w="7180" w:type="dxa"/>
            <w:vAlign w:val="bottom"/>
            <w:gridSpan w:val="25"/>
          </w:tcPr>
          <w:p>
            <w:pPr>
              <w:spacing w:after="0" w:line="187" w:lineRule="exact"/>
              <w:rPr>
                <w:sz w:val="20"/>
                <w:szCs w:val="20"/>
                <w:color w:val="auto"/>
              </w:rPr>
            </w:pPr>
            <w:r>
              <w:rPr>
                <w:rFonts w:ascii="Arial" w:cs="Arial" w:eastAsia="Arial" w:hAnsi="Arial"/>
                <w:sz w:val="18"/>
                <w:szCs w:val="18"/>
                <w:color w:val="1C2790"/>
              </w:rPr>
              <w:t>Controls and Procedures</w:t>
            </w:r>
          </w:p>
        </w:tc>
        <w:tc>
          <w:tcPr>
            <w:tcW w:w="8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00" w:type="dxa"/>
            <w:vAlign w:val="bottom"/>
            <w:gridSpan w:val="4"/>
          </w:tcPr>
          <w:p>
            <w:pPr>
              <w:jc w:val="right"/>
              <w:spacing w:after="0" w:line="187" w:lineRule="exact"/>
              <w:rPr>
                <w:sz w:val="20"/>
                <w:szCs w:val="20"/>
                <w:color w:val="auto"/>
              </w:rPr>
            </w:pPr>
            <w:r>
              <w:rPr>
                <w:rFonts w:ascii="Arial" w:cs="Arial" w:eastAsia="Arial" w:hAnsi="Arial"/>
                <w:sz w:val="18"/>
                <w:szCs w:val="18"/>
                <w:color w:val="1C2790"/>
                <w:w w:val="93"/>
              </w:rPr>
              <w:t>124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Borders>
              <w:top w:val="single" w:sz="8" w:color="1C2790"/>
            </w:tcBorders>
            <w:gridSpan w:val="5"/>
          </w:tcPr>
          <w:p>
            <w:pPr>
              <w:spacing w:after="0" w:line="187" w:lineRule="exact"/>
              <w:rPr>
                <w:sz w:val="20"/>
                <w:szCs w:val="20"/>
                <w:color w:val="auto"/>
              </w:rPr>
            </w:pPr>
            <w:r>
              <w:rPr>
                <w:rFonts w:ascii="Arial" w:cs="Arial" w:eastAsia="Arial" w:hAnsi="Arial"/>
                <w:sz w:val="18"/>
                <w:szCs w:val="18"/>
                <w:color w:val="1C2790"/>
              </w:rPr>
              <w:t>Item 9B.</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top w:val="single" w:sz="8" w:color="1C2790"/>
            </w:tcBorders>
            <w:gridSpan w:val="10"/>
          </w:tcPr>
          <w:p>
            <w:pPr>
              <w:spacing w:after="0" w:line="187" w:lineRule="exact"/>
              <w:rPr>
                <w:sz w:val="20"/>
                <w:szCs w:val="20"/>
                <w:color w:val="auto"/>
              </w:rPr>
            </w:pPr>
            <w:r>
              <w:rPr>
                <w:rFonts w:ascii="Arial" w:cs="Arial" w:eastAsia="Arial" w:hAnsi="Arial"/>
                <w:sz w:val="18"/>
                <w:szCs w:val="18"/>
                <w:color w:val="1C2790"/>
              </w:rPr>
              <w:t>Other Information</w:t>
            </w:r>
          </w:p>
        </w:tc>
        <w:tc>
          <w:tcPr>
            <w:tcW w:w="114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spacing w:after="0"/>
              <w:rPr>
                <w:sz w:val="16"/>
                <w:szCs w:val="16"/>
                <w:color w:val="auto"/>
              </w:rPr>
            </w:pPr>
          </w:p>
        </w:tc>
        <w:tc>
          <w:tcPr>
            <w:tcW w:w="96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3"/>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tcBorders>
            <w:gridSpan w:val="4"/>
          </w:tcPr>
          <w:p>
            <w:pPr>
              <w:jc w:val="right"/>
              <w:spacing w:after="0" w:line="187" w:lineRule="exact"/>
              <w:rPr>
                <w:sz w:val="20"/>
                <w:szCs w:val="20"/>
                <w:color w:val="auto"/>
              </w:rPr>
            </w:pPr>
            <w:r>
              <w:rPr>
                <w:rFonts w:ascii="Arial" w:cs="Arial" w:eastAsia="Arial" w:hAnsi="Arial"/>
                <w:sz w:val="18"/>
                <w:szCs w:val="18"/>
                <w:color w:val="1C2790"/>
                <w:w w:val="93"/>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1C2790"/>
          </w:tcPr>
          <w:p>
            <w:pPr>
              <w:spacing w:after="0" w:line="20" w:lineRule="exact"/>
              <w:rPr>
                <w:sz w:val="1"/>
                <w:szCs w:val="1"/>
                <w:color w:val="auto"/>
              </w:rPr>
            </w:pPr>
          </w:p>
        </w:tc>
        <w:tc>
          <w:tcPr>
            <w:tcW w:w="40" w:type="dxa"/>
            <w:vAlign w:val="bottom"/>
            <w:gridSpan w:val="2"/>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40" w:type="dxa"/>
            <w:vAlign w:val="bottom"/>
            <w:gridSpan w:val="4"/>
            <w:shd w:val="clear" w:color="auto" w:fill="1C2790"/>
          </w:tcPr>
          <w:p>
            <w:pPr>
              <w:spacing w:after="0" w:line="20" w:lineRule="exact"/>
              <w:rPr>
                <w:sz w:val="1"/>
                <w:szCs w:val="1"/>
                <w:color w:val="auto"/>
              </w:rPr>
            </w:pPr>
          </w:p>
        </w:tc>
        <w:tc>
          <w:tcPr>
            <w:tcW w:w="360" w:type="dxa"/>
            <w:vAlign w:val="bottom"/>
            <w:gridSpan w:val="2"/>
            <w:shd w:val="clear" w:color="auto" w:fill="1C279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4"/>
            <w:shd w:val="clear" w:color="auto" w:fill="1C279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 w:type="dxa"/>
            <w:vAlign w:val="bottom"/>
            <w:gridSpan w:val="5"/>
          </w:tcPr>
          <w:p>
            <w:pPr>
              <w:spacing w:after="0" w:line="187" w:lineRule="exact"/>
              <w:rPr>
                <w:sz w:val="20"/>
                <w:szCs w:val="20"/>
                <w:color w:val="auto"/>
              </w:rPr>
            </w:pPr>
            <w:r>
              <w:rPr>
                <w:rFonts w:ascii="Arial" w:cs="Arial" w:eastAsia="Arial" w:hAnsi="Arial"/>
                <w:sz w:val="18"/>
                <w:szCs w:val="18"/>
                <w:color w:val="1C2790"/>
                <w:w w:val="99"/>
              </w:rPr>
              <w:t>Item 9C.</w:t>
            </w:r>
          </w:p>
        </w:tc>
        <w:tc>
          <w:tcPr>
            <w:tcW w:w="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Disclosure Regarding Foreign Jurisdictions That Prevent Inspections</w:t>
            </w:r>
          </w:p>
        </w:tc>
        <w:tc>
          <w:tcPr>
            <w:tcW w:w="320" w:type="dxa"/>
            <w:vAlign w:val="bottom"/>
            <w:vMerge w:val="continue"/>
          </w:tcPr>
          <w:p>
            <w:pPr>
              <w:spacing w:after="0"/>
              <w:rPr>
                <w:sz w:val="16"/>
                <w:szCs w:val="16"/>
                <w:color w:val="auto"/>
              </w:rPr>
            </w:pPr>
          </w:p>
        </w:tc>
        <w:tc>
          <w:tcPr>
            <w:tcW w:w="300" w:type="dxa"/>
            <w:vAlign w:val="bottom"/>
            <w:gridSpan w:val="4"/>
          </w:tcPr>
          <w:p>
            <w:pPr>
              <w:jc w:val="right"/>
              <w:spacing w:after="0" w:line="187" w:lineRule="exact"/>
              <w:rPr>
                <w:sz w:val="20"/>
                <w:szCs w:val="20"/>
                <w:color w:val="auto"/>
              </w:rPr>
            </w:pPr>
            <w:r>
              <w:rPr>
                <w:rFonts w:ascii="Arial" w:cs="Arial" w:eastAsia="Arial" w:hAnsi="Arial"/>
                <w:sz w:val="18"/>
                <w:szCs w:val="18"/>
                <w:color w:val="1C2790"/>
                <w:w w:val="93"/>
              </w:rPr>
              <w:t>125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720" w:type="dxa"/>
            <w:vAlign w:val="bottom"/>
            <w:tcBorders>
              <w:top w:val="single" w:sz="8" w:color="1C2790"/>
              <w:bottom w:val="single" w:sz="8" w:color="1C2790"/>
            </w:tcBorders>
            <w:gridSpan w:val="6"/>
          </w:tcPr>
          <w:p>
            <w:pPr>
              <w:spacing w:after="0"/>
              <w:rPr>
                <w:sz w:val="20"/>
                <w:szCs w:val="20"/>
                <w:color w:val="auto"/>
              </w:rPr>
            </w:pPr>
            <w:r>
              <w:rPr>
                <w:rFonts w:ascii="Arial" w:cs="Arial" w:eastAsia="Arial" w:hAnsi="Arial"/>
                <w:sz w:val="18"/>
                <w:szCs w:val="18"/>
                <w:b w:val="1"/>
                <w:bCs w:val="1"/>
                <w:color w:val="1C2790"/>
              </w:rPr>
              <w:t>PART III</w:t>
            </w:r>
          </w:p>
        </w:tc>
        <w:tc>
          <w:tcPr>
            <w:tcW w:w="240" w:type="dxa"/>
            <w:vAlign w:val="bottom"/>
          </w:tcPr>
          <w:p>
            <w:pPr>
              <w:spacing w:after="0"/>
              <w:rPr>
                <w:sz w:val="24"/>
                <w:szCs w:val="24"/>
                <w:color w:val="auto"/>
              </w:rPr>
            </w:pPr>
          </w:p>
        </w:tc>
        <w:tc>
          <w:tcPr>
            <w:tcW w:w="740" w:type="dxa"/>
            <w:vAlign w:val="bottom"/>
            <w:tcBorders>
              <w:top w:val="single" w:sz="8" w:color="1C2790"/>
            </w:tcBorders>
          </w:tcPr>
          <w:p>
            <w:pPr>
              <w:spacing w:after="0"/>
              <w:rPr>
                <w:sz w:val="24"/>
                <w:szCs w:val="24"/>
                <w:color w:val="auto"/>
              </w:rPr>
            </w:pPr>
          </w:p>
        </w:tc>
        <w:tc>
          <w:tcPr>
            <w:tcW w:w="8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30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780" w:type="dxa"/>
            <w:vAlign w:val="bottom"/>
            <w:tcBorders>
              <w:top w:val="single" w:sz="8" w:color="1C2790"/>
            </w:tcBorders>
          </w:tcPr>
          <w:p>
            <w:pPr>
              <w:spacing w:after="0"/>
              <w:rPr>
                <w:sz w:val="24"/>
                <w:szCs w:val="24"/>
                <w:color w:val="auto"/>
              </w:rPr>
            </w:pPr>
          </w:p>
        </w:tc>
        <w:tc>
          <w:tcPr>
            <w:tcW w:w="380" w:type="dxa"/>
            <w:vAlign w:val="bottom"/>
            <w:tcBorders>
              <w:top w:val="single" w:sz="8" w:color="1C2790"/>
            </w:tcBorders>
          </w:tcPr>
          <w:p>
            <w:pPr>
              <w:spacing w:after="0"/>
              <w:rPr>
                <w:sz w:val="24"/>
                <w:szCs w:val="24"/>
                <w:color w:val="auto"/>
              </w:rPr>
            </w:pPr>
          </w:p>
        </w:tc>
        <w:tc>
          <w:tcPr>
            <w:tcW w:w="200" w:type="dxa"/>
            <w:vAlign w:val="bottom"/>
            <w:tcBorders>
              <w:top w:val="single" w:sz="8" w:color="1C2790"/>
            </w:tcBorders>
          </w:tcPr>
          <w:p>
            <w:pPr>
              <w:spacing w:after="0"/>
              <w:rPr>
                <w:sz w:val="24"/>
                <w:szCs w:val="24"/>
                <w:color w:val="auto"/>
              </w:rPr>
            </w:pPr>
          </w:p>
        </w:tc>
        <w:tc>
          <w:tcPr>
            <w:tcW w:w="80" w:type="dxa"/>
            <w:vAlign w:val="bottom"/>
            <w:tcBorders>
              <w:top w:val="single" w:sz="8" w:color="1C2790"/>
            </w:tcBorders>
          </w:tcPr>
          <w:p>
            <w:pPr>
              <w:spacing w:after="0"/>
              <w:rPr>
                <w:sz w:val="24"/>
                <w:szCs w:val="24"/>
                <w:color w:val="auto"/>
              </w:rPr>
            </w:pPr>
          </w:p>
        </w:tc>
        <w:tc>
          <w:tcPr>
            <w:tcW w:w="70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20" w:type="dxa"/>
            <w:vAlign w:val="bottom"/>
            <w:tcBorders>
              <w:top w:val="single" w:sz="8" w:color="1C2790"/>
            </w:tcBorders>
          </w:tcPr>
          <w:p>
            <w:pPr>
              <w:spacing w:after="0"/>
              <w:rPr>
                <w:sz w:val="24"/>
                <w:szCs w:val="24"/>
                <w:color w:val="auto"/>
              </w:rPr>
            </w:pPr>
          </w:p>
        </w:tc>
        <w:tc>
          <w:tcPr>
            <w:tcW w:w="120" w:type="dxa"/>
            <w:vAlign w:val="bottom"/>
            <w:tcBorders>
              <w:top w:val="single" w:sz="8" w:color="1C2790"/>
            </w:tcBorders>
          </w:tcPr>
          <w:p>
            <w:pPr>
              <w:spacing w:after="0"/>
              <w:rPr>
                <w:sz w:val="24"/>
                <w:szCs w:val="24"/>
                <w:color w:val="auto"/>
              </w:rPr>
            </w:pPr>
          </w:p>
        </w:tc>
        <w:tc>
          <w:tcPr>
            <w:tcW w:w="600" w:type="dxa"/>
            <w:vAlign w:val="bottom"/>
            <w:tcBorders>
              <w:top w:val="single" w:sz="8" w:color="1C2790"/>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1C2790"/>
              <w:bottom w:val="single" w:sz="8" w:color="1C2790"/>
            </w:tcBorders>
            <w:gridSpan w:val="4"/>
          </w:tcPr>
          <w:p>
            <w:pPr>
              <w:jc w:val="right"/>
              <w:spacing w:after="0"/>
              <w:rPr>
                <w:sz w:val="20"/>
                <w:szCs w:val="20"/>
                <w:color w:val="auto"/>
              </w:rPr>
            </w:pPr>
            <w:r>
              <w:rPr>
                <w:rFonts w:ascii="Arial" w:cs="Arial" w:eastAsia="Arial" w:hAnsi="Arial"/>
                <w:sz w:val="18"/>
                <w:szCs w:val="18"/>
                <w:color w:val="1C2790"/>
                <w:w w:val="93"/>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60" w:type="dxa"/>
            <w:vAlign w:val="bottom"/>
            <w:gridSpan w:val="7"/>
          </w:tcPr>
          <w:p>
            <w:pPr>
              <w:spacing w:after="0"/>
              <w:rPr>
                <w:sz w:val="20"/>
                <w:szCs w:val="20"/>
                <w:color w:val="auto"/>
              </w:rPr>
            </w:pPr>
            <w:r>
              <w:rPr>
                <w:rFonts w:ascii="Arial" w:cs="Arial" w:eastAsia="Arial" w:hAnsi="Arial"/>
                <w:sz w:val="18"/>
                <w:szCs w:val="18"/>
                <w:color w:val="1C2790"/>
              </w:rPr>
              <w:t>Item 10.</w:t>
            </w:r>
          </w:p>
        </w:tc>
        <w:tc>
          <w:tcPr>
            <w:tcW w:w="9220" w:type="dxa"/>
            <w:vAlign w:val="bottom"/>
            <w:gridSpan w:val="28"/>
          </w:tcPr>
          <w:p>
            <w:pPr>
              <w:spacing w:after="0"/>
              <w:rPr>
                <w:sz w:val="20"/>
                <w:szCs w:val="20"/>
                <w:color w:val="auto"/>
              </w:rPr>
            </w:pPr>
            <w:r>
              <w:rPr>
                <w:rFonts w:ascii="Arial" w:cs="Arial" w:eastAsia="Arial" w:hAnsi="Arial"/>
                <w:sz w:val="18"/>
                <w:szCs w:val="18"/>
                <w:color w:val="1C2790"/>
              </w:rPr>
              <w:t>Directors, Executive Officers and Corporate Governance</w:t>
            </w: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1C2790"/>
              </w:rPr>
              <w:t>126</w:t>
            </w:r>
          </w:p>
        </w:tc>
        <w:tc>
          <w:tcPr>
            <w:tcW w:w="0" w:type="dxa"/>
            <w:vAlign w:val="bottom"/>
          </w:tcPr>
          <w:p>
            <w:pPr>
              <w:spacing w:after="0"/>
              <w:rPr>
                <w:sz w:val="1"/>
                <w:szCs w:val="1"/>
                <w:color w:val="auto"/>
              </w:rPr>
            </w:pPr>
          </w:p>
        </w:tc>
      </w:tr>
      <w:tr>
        <w:trPr>
          <w:trHeight w:val="189"/>
        </w:trPr>
        <w:tc>
          <w:tcPr>
            <w:tcW w:w="660" w:type="dxa"/>
            <w:vAlign w:val="bottom"/>
            <w:tcBorders>
              <w:top w:val="single" w:sz="8" w:color="1C2790"/>
              <w:bottom w:val="single" w:sz="8" w:color="1C2790"/>
            </w:tcBorders>
            <w:gridSpan w:val="3"/>
          </w:tcPr>
          <w:p>
            <w:pPr>
              <w:spacing w:after="0" w:line="189" w:lineRule="exact"/>
              <w:rPr>
                <w:sz w:val="20"/>
                <w:szCs w:val="20"/>
                <w:color w:val="auto"/>
              </w:rPr>
            </w:pPr>
            <w:r>
              <w:rPr>
                <w:rFonts w:ascii="Arial" w:cs="Arial" w:eastAsia="Arial" w:hAnsi="Arial"/>
                <w:sz w:val="18"/>
                <w:szCs w:val="18"/>
                <w:color w:val="1C2790"/>
                <w:w w:val="98"/>
              </w:rPr>
              <w:t>Item 11.</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top w:val="single" w:sz="8" w:color="1C2790"/>
              <w:bottom w:val="single" w:sz="8" w:color="1C2790"/>
            </w:tcBorders>
            <w:gridSpan w:val="10"/>
          </w:tcPr>
          <w:p>
            <w:pPr>
              <w:spacing w:after="0" w:line="189" w:lineRule="exact"/>
              <w:rPr>
                <w:sz w:val="20"/>
                <w:szCs w:val="20"/>
                <w:color w:val="auto"/>
              </w:rPr>
            </w:pPr>
            <w:r>
              <w:rPr>
                <w:rFonts w:ascii="Arial" w:cs="Arial" w:eastAsia="Arial" w:hAnsi="Arial"/>
                <w:sz w:val="18"/>
                <w:szCs w:val="18"/>
                <w:color w:val="1C2790"/>
                <w:w w:val="99"/>
              </w:rPr>
              <w:t>Executive Compensation</w:t>
            </w:r>
          </w:p>
        </w:tc>
        <w:tc>
          <w:tcPr>
            <w:tcW w:w="2500" w:type="dxa"/>
            <w:vAlign w:val="bottom"/>
            <w:tcBorders>
              <w:top w:val="single" w:sz="8" w:color="1C2790"/>
            </w:tcBorders>
            <w:gridSpan w:val="7"/>
          </w:tcPr>
          <w:p>
            <w:pPr>
              <w:spacing w:after="0"/>
              <w:rPr>
                <w:sz w:val="16"/>
                <w:szCs w:val="16"/>
                <w:color w:val="auto"/>
              </w:rPr>
            </w:pPr>
          </w:p>
        </w:tc>
        <w:tc>
          <w:tcPr>
            <w:tcW w:w="1580" w:type="dxa"/>
            <w:vAlign w:val="bottom"/>
            <w:gridSpan w:val="6"/>
          </w:tcPr>
          <w:p>
            <w:pPr>
              <w:spacing w:after="0"/>
              <w:rPr>
                <w:sz w:val="16"/>
                <w:szCs w:val="16"/>
                <w:color w:val="auto"/>
              </w:rPr>
            </w:pPr>
          </w:p>
        </w:tc>
        <w:tc>
          <w:tcPr>
            <w:tcW w:w="1940" w:type="dxa"/>
            <w:vAlign w:val="bottom"/>
            <w:gridSpan w:val="3"/>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bottom w:val="single" w:sz="8" w:color="1C2790"/>
            </w:tcBorders>
            <w:gridSpan w:val="4"/>
          </w:tcPr>
          <w:p>
            <w:pPr>
              <w:jc w:val="right"/>
              <w:spacing w:after="0" w:line="189" w:lineRule="exact"/>
              <w:rPr>
                <w:sz w:val="20"/>
                <w:szCs w:val="20"/>
                <w:color w:val="auto"/>
              </w:rPr>
            </w:pPr>
            <w:r>
              <w:rPr>
                <w:rFonts w:ascii="Arial" w:cs="Arial" w:eastAsia="Arial" w:hAnsi="Arial"/>
                <w:sz w:val="18"/>
                <w:szCs w:val="18"/>
                <w:color w:val="1C2790"/>
                <w:w w:val="93"/>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gridSpan w:val="3"/>
          </w:tcPr>
          <w:p>
            <w:pPr>
              <w:spacing w:after="0" w:line="187" w:lineRule="exact"/>
              <w:rPr>
                <w:sz w:val="20"/>
                <w:szCs w:val="20"/>
                <w:color w:val="auto"/>
              </w:rPr>
            </w:pPr>
            <w:r>
              <w:rPr>
                <w:rFonts w:ascii="Arial" w:cs="Arial" w:eastAsia="Arial" w:hAnsi="Arial"/>
                <w:sz w:val="18"/>
                <w:szCs w:val="18"/>
                <w:color w:val="1C2790"/>
                <w:w w:val="98"/>
              </w:rPr>
              <w:t>Item 12.</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28"/>
          </w:tcPr>
          <w:p>
            <w:pPr>
              <w:spacing w:after="0" w:line="187" w:lineRule="exact"/>
              <w:rPr>
                <w:sz w:val="20"/>
                <w:szCs w:val="20"/>
                <w:color w:val="auto"/>
              </w:rPr>
            </w:pPr>
            <w:r>
              <w:rPr>
                <w:rFonts w:ascii="Arial" w:cs="Arial" w:eastAsia="Arial" w:hAnsi="Arial"/>
                <w:sz w:val="18"/>
                <w:szCs w:val="18"/>
                <w:color w:val="1C2790"/>
              </w:rPr>
              <w:t>Security Ownership of Certain Beneficial Owners and Management and Related Stockholder Matters</w:t>
            </w:r>
          </w:p>
        </w:tc>
        <w:tc>
          <w:tcPr>
            <w:tcW w:w="320" w:type="dxa"/>
            <w:vAlign w:val="bottom"/>
          </w:tcPr>
          <w:p>
            <w:pPr>
              <w:spacing w:after="0"/>
              <w:rPr>
                <w:sz w:val="16"/>
                <w:szCs w:val="16"/>
                <w:color w:val="auto"/>
              </w:rPr>
            </w:pPr>
          </w:p>
        </w:tc>
        <w:tc>
          <w:tcPr>
            <w:tcW w:w="300" w:type="dxa"/>
            <w:vAlign w:val="bottom"/>
            <w:gridSpan w:val="4"/>
          </w:tcPr>
          <w:p>
            <w:pPr>
              <w:jc w:val="right"/>
              <w:spacing w:after="0" w:line="187" w:lineRule="exact"/>
              <w:rPr>
                <w:sz w:val="20"/>
                <w:szCs w:val="20"/>
                <w:color w:val="auto"/>
              </w:rPr>
            </w:pPr>
            <w:r>
              <w:rPr>
                <w:rFonts w:ascii="Arial" w:cs="Arial" w:eastAsia="Arial" w:hAnsi="Arial"/>
                <w:sz w:val="18"/>
                <w:szCs w:val="18"/>
                <w:color w:val="1C2790"/>
                <w:w w:val="93"/>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Borders>
              <w:top w:val="single" w:sz="8" w:color="1C2790"/>
            </w:tcBorders>
            <w:gridSpan w:val="3"/>
          </w:tcPr>
          <w:p>
            <w:pPr>
              <w:spacing w:after="0" w:line="187" w:lineRule="exact"/>
              <w:rPr>
                <w:sz w:val="20"/>
                <w:szCs w:val="20"/>
                <w:color w:val="auto"/>
              </w:rPr>
            </w:pPr>
            <w:r>
              <w:rPr>
                <w:rFonts w:ascii="Arial" w:cs="Arial" w:eastAsia="Arial" w:hAnsi="Arial"/>
                <w:sz w:val="18"/>
                <w:szCs w:val="18"/>
                <w:color w:val="1C2790"/>
                <w:w w:val="98"/>
              </w:rPr>
              <w:t>Item 13.</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8020" w:type="dxa"/>
            <w:vAlign w:val="bottom"/>
            <w:tcBorders>
              <w:top w:val="single" w:sz="8" w:color="1C2790"/>
            </w:tcBorders>
            <w:gridSpan w:val="26"/>
          </w:tcPr>
          <w:p>
            <w:pPr>
              <w:spacing w:after="0" w:line="187" w:lineRule="exact"/>
              <w:rPr>
                <w:sz w:val="20"/>
                <w:szCs w:val="20"/>
                <w:color w:val="auto"/>
              </w:rPr>
            </w:pPr>
            <w:r>
              <w:rPr>
                <w:rFonts w:ascii="Arial" w:cs="Arial" w:eastAsia="Arial" w:hAnsi="Arial"/>
                <w:sz w:val="18"/>
                <w:szCs w:val="18"/>
                <w:color w:val="1C2790"/>
              </w:rPr>
              <w:t>Certain Relationships and Related Transactions, and Director Independence</w:t>
            </w: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tcBorders>
            <w:gridSpan w:val="4"/>
          </w:tcPr>
          <w:p>
            <w:pPr>
              <w:jc w:val="right"/>
              <w:spacing w:after="0" w:line="187" w:lineRule="exact"/>
              <w:rPr>
                <w:sz w:val="20"/>
                <w:szCs w:val="20"/>
                <w:color w:val="auto"/>
              </w:rPr>
            </w:pPr>
            <w:r>
              <w:rPr>
                <w:rFonts w:ascii="Arial" w:cs="Arial" w:eastAsia="Arial" w:hAnsi="Arial"/>
                <w:sz w:val="18"/>
                <w:szCs w:val="18"/>
                <w:color w:val="1C2790"/>
                <w:w w:val="93"/>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Borders>
              <w:top w:val="single" w:sz="8" w:color="1C2790"/>
            </w:tcBorders>
            <w:gridSpan w:val="3"/>
          </w:tcPr>
          <w:p>
            <w:pPr>
              <w:spacing w:after="0" w:line="187" w:lineRule="exact"/>
              <w:rPr>
                <w:sz w:val="20"/>
                <w:szCs w:val="20"/>
                <w:color w:val="auto"/>
              </w:rPr>
            </w:pPr>
            <w:r>
              <w:rPr>
                <w:rFonts w:ascii="Arial" w:cs="Arial" w:eastAsia="Arial" w:hAnsi="Arial"/>
                <w:sz w:val="18"/>
                <w:szCs w:val="18"/>
                <w:color w:val="1C2790"/>
                <w:w w:val="98"/>
              </w:rPr>
              <w:t>Item 14.</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tcBorders>
              <w:top w:val="single" w:sz="8" w:color="1C2790"/>
            </w:tcBorders>
            <w:gridSpan w:val="23"/>
          </w:tcPr>
          <w:p>
            <w:pPr>
              <w:spacing w:after="0" w:line="187" w:lineRule="exact"/>
              <w:rPr>
                <w:sz w:val="20"/>
                <w:szCs w:val="20"/>
                <w:color w:val="auto"/>
              </w:rPr>
            </w:pPr>
            <w:r>
              <w:rPr>
                <w:rFonts w:ascii="Arial" w:cs="Arial" w:eastAsia="Arial" w:hAnsi="Arial"/>
                <w:sz w:val="18"/>
                <w:szCs w:val="18"/>
                <w:color w:val="1C2790"/>
              </w:rPr>
              <w:t>Principal Accountant Fees and Services</w:t>
            </w:r>
          </w:p>
        </w:tc>
        <w:tc>
          <w:tcPr>
            <w:tcW w:w="314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tcBorders>
            <w:gridSpan w:val="4"/>
          </w:tcPr>
          <w:p>
            <w:pPr>
              <w:jc w:val="right"/>
              <w:spacing w:after="0" w:line="187" w:lineRule="exact"/>
              <w:rPr>
                <w:sz w:val="20"/>
                <w:szCs w:val="20"/>
                <w:color w:val="auto"/>
              </w:rPr>
            </w:pPr>
            <w:r>
              <w:rPr>
                <w:rFonts w:ascii="Arial" w:cs="Arial" w:eastAsia="Arial" w:hAnsi="Arial"/>
                <w:sz w:val="18"/>
                <w:szCs w:val="18"/>
                <w:color w:val="1C2790"/>
                <w:w w:val="93"/>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1C279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C2790"/>
          </w:tcPr>
          <w:p>
            <w:pPr>
              <w:spacing w:after="0" w:line="20" w:lineRule="exact"/>
              <w:rPr>
                <w:sz w:val="1"/>
                <w:szCs w:val="1"/>
                <w:color w:val="auto"/>
              </w:rPr>
            </w:pPr>
          </w:p>
        </w:tc>
        <w:tc>
          <w:tcPr>
            <w:tcW w:w="80" w:type="dxa"/>
            <w:vAlign w:val="bottom"/>
            <w:tcBorders>
              <w:right w:val="single" w:sz="8" w:color="1C2790"/>
            </w:tcBorders>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780" w:type="dxa"/>
            <w:vAlign w:val="bottom"/>
            <w:shd w:val="clear" w:color="auto" w:fill="1C279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20" w:type="dxa"/>
            <w:vAlign w:val="bottom"/>
            <w:tcBorders>
              <w:bottom w:val="single" w:sz="8" w:color="1C2790"/>
            </w:tcBorders>
            <w:gridSpan w:val="6"/>
          </w:tcPr>
          <w:p>
            <w:pPr>
              <w:spacing w:after="0"/>
              <w:rPr>
                <w:sz w:val="20"/>
                <w:szCs w:val="20"/>
                <w:color w:val="auto"/>
              </w:rPr>
            </w:pPr>
            <w:r>
              <w:rPr>
                <w:rFonts w:ascii="Arial" w:cs="Arial" w:eastAsia="Arial" w:hAnsi="Arial"/>
                <w:sz w:val="18"/>
                <w:szCs w:val="18"/>
                <w:b w:val="1"/>
                <w:bCs w:val="1"/>
                <w:color w:val="1C2790"/>
                <w:w w:val="98"/>
              </w:rPr>
              <w:t>PART IV</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1C2790"/>
            </w:tcBorders>
            <w:gridSpan w:val="4"/>
          </w:tcPr>
          <w:p>
            <w:pPr>
              <w:jc w:val="right"/>
              <w:spacing w:after="0"/>
              <w:rPr>
                <w:sz w:val="20"/>
                <w:szCs w:val="20"/>
                <w:color w:val="auto"/>
              </w:rPr>
            </w:pPr>
            <w:r>
              <w:rPr>
                <w:rFonts w:ascii="Arial" w:cs="Arial" w:eastAsia="Arial" w:hAnsi="Arial"/>
                <w:sz w:val="18"/>
                <w:szCs w:val="18"/>
                <w:color w:val="1C2790"/>
                <w:w w:val="93"/>
              </w:rPr>
              <w:t>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60" w:type="dxa"/>
            <w:vAlign w:val="bottom"/>
            <w:gridSpan w:val="7"/>
          </w:tcPr>
          <w:p>
            <w:pPr>
              <w:spacing w:after="0"/>
              <w:rPr>
                <w:sz w:val="20"/>
                <w:szCs w:val="20"/>
                <w:color w:val="auto"/>
              </w:rPr>
            </w:pPr>
            <w:r>
              <w:rPr>
                <w:rFonts w:ascii="Arial" w:cs="Arial" w:eastAsia="Arial" w:hAnsi="Arial"/>
                <w:sz w:val="18"/>
                <w:szCs w:val="18"/>
                <w:color w:val="1C2790"/>
              </w:rPr>
              <w:t>Item 15.</w:t>
            </w:r>
          </w:p>
        </w:tc>
        <w:tc>
          <w:tcPr>
            <w:tcW w:w="9220" w:type="dxa"/>
            <w:vAlign w:val="bottom"/>
            <w:gridSpan w:val="28"/>
          </w:tcPr>
          <w:p>
            <w:pPr>
              <w:spacing w:after="0"/>
              <w:rPr>
                <w:sz w:val="20"/>
                <w:szCs w:val="20"/>
                <w:color w:val="auto"/>
              </w:rPr>
            </w:pPr>
            <w:r>
              <w:rPr>
                <w:rFonts w:ascii="Arial" w:cs="Arial" w:eastAsia="Arial" w:hAnsi="Arial"/>
                <w:sz w:val="18"/>
                <w:szCs w:val="18"/>
                <w:color w:val="1C2790"/>
              </w:rPr>
              <w:t>Exhibits and Financial Statement Schedules</w:t>
            </w: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1C2790"/>
              </w:rPr>
              <w:t>127</w:t>
            </w:r>
          </w:p>
        </w:tc>
        <w:tc>
          <w:tcPr>
            <w:tcW w:w="0" w:type="dxa"/>
            <w:vAlign w:val="bottom"/>
          </w:tcPr>
          <w:p>
            <w:pPr>
              <w:spacing w:after="0"/>
              <w:rPr>
                <w:sz w:val="1"/>
                <w:szCs w:val="1"/>
                <w:color w:val="auto"/>
              </w:rPr>
            </w:pPr>
          </w:p>
        </w:tc>
      </w:tr>
      <w:tr>
        <w:trPr>
          <w:trHeight w:val="189"/>
        </w:trPr>
        <w:tc>
          <w:tcPr>
            <w:tcW w:w="660" w:type="dxa"/>
            <w:vAlign w:val="bottom"/>
            <w:tcBorders>
              <w:top w:val="single" w:sz="8" w:color="1C2790"/>
            </w:tcBorders>
            <w:gridSpan w:val="3"/>
          </w:tcPr>
          <w:p>
            <w:pPr>
              <w:spacing w:after="0" w:line="189" w:lineRule="exact"/>
              <w:rPr>
                <w:sz w:val="20"/>
                <w:szCs w:val="20"/>
                <w:color w:val="auto"/>
              </w:rPr>
            </w:pPr>
            <w:r>
              <w:rPr>
                <w:rFonts w:ascii="Arial" w:cs="Arial" w:eastAsia="Arial" w:hAnsi="Arial"/>
                <w:sz w:val="18"/>
                <w:szCs w:val="18"/>
                <w:color w:val="1C2790"/>
                <w:w w:val="98"/>
              </w:rPr>
              <w:t>Item 16.</w:t>
            </w:r>
          </w:p>
        </w:tc>
        <w:tc>
          <w:tcPr>
            <w:tcW w:w="300" w:type="dxa"/>
            <w:vAlign w:val="bottom"/>
            <w:gridSpan w:val="4"/>
          </w:tcPr>
          <w:p>
            <w:pPr>
              <w:spacing w:after="0"/>
              <w:rPr>
                <w:sz w:val="16"/>
                <w:szCs w:val="16"/>
                <w:color w:val="auto"/>
              </w:rPr>
            </w:pPr>
          </w:p>
        </w:tc>
        <w:tc>
          <w:tcPr>
            <w:tcW w:w="3520" w:type="dxa"/>
            <w:vAlign w:val="bottom"/>
            <w:tcBorders>
              <w:top w:val="single" w:sz="8" w:color="1C2790"/>
            </w:tcBorders>
            <w:gridSpan w:val="14"/>
          </w:tcPr>
          <w:p>
            <w:pPr>
              <w:spacing w:after="0" w:line="189" w:lineRule="exact"/>
              <w:rPr>
                <w:sz w:val="20"/>
                <w:szCs w:val="20"/>
                <w:color w:val="auto"/>
              </w:rPr>
            </w:pPr>
            <w:r>
              <w:rPr>
                <w:rFonts w:ascii="Arial" w:cs="Arial" w:eastAsia="Arial" w:hAnsi="Arial"/>
                <w:sz w:val="18"/>
                <w:szCs w:val="18"/>
                <w:color w:val="1C2790"/>
              </w:rPr>
              <w:t>Form 10-K Summary</w:t>
            </w:r>
          </w:p>
        </w:tc>
        <w:tc>
          <w:tcPr>
            <w:tcW w:w="5700" w:type="dxa"/>
            <w:vAlign w:val="bottom"/>
            <w:gridSpan w:val="14"/>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tcBorders>
            <w:gridSpan w:val="4"/>
          </w:tcPr>
          <w:p>
            <w:pPr>
              <w:jc w:val="right"/>
              <w:spacing w:after="0" w:line="189" w:lineRule="exact"/>
              <w:rPr>
                <w:sz w:val="20"/>
                <w:szCs w:val="20"/>
                <w:color w:val="auto"/>
              </w:rPr>
            </w:pPr>
            <w:r>
              <w:rPr>
                <w:rFonts w:ascii="Arial" w:cs="Arial" w:eastAsia="Arial" w:hAnsi="Arial"/>
                <w:sz w:val="18"/>
                <w:szCs w:val="18"/>
                <w:color w:val="1C2790"/>
                <w:w w:val="93"/>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 w:type="dxa"/>
            <w:vAlign w:val="bottom"/>
            <w:tcBorders>
              <w:top w:val="single" w:sz="8" w:color="1C2790"/>
            </w:tcBorders>
          </w:tcPr>
          <w:p>
            <w:pPr>
              <w:spacing w:after="0"/>
              <w:rPr>
                <w:sz w:val="16"/>
                <w:szCs w:val="16"/>
                <w:color w:val="auto"/>
              </w:rPr>
            </w:pPr>
          </w:p>
        </w:tc>
        <w:tc>
          <w:tcPr>
            <w:tcW w:w="100" w:type="dxa"/>
            <w:vAlign w:val="bottom"/>
            <w:tcBorders>
              <w:top w:val="single" w:sz="8" w:color="1C2790"/>
            </w:tcBorders>
          </w:tcPr>
          <w:p>
            <w:pPr>
              <w:spacing w:after="0"/>
              <w:rPr>
                <w:sz w:val="16"/>
                <w:szCs w:val="16"/>
                <w:color w:val="auto"/>
              </w:rPr>
            </w:pPr>
          </w:p>
        </w:tc>
        <w:tc>
          <w:tcPr>
            <w:tcW w:w="20" w:type="dxa"/>
            <w:vAlign w:val="bottom"/>
            <w:tcBorders>
              <w:top w:val="single" w:sz="8" w:color="1C279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top w:val="single" w:sz="8" w:color="1C2790"/>
              <w:bottom w:val="single" w:sz="8" w:color="1C2790"/>
            </w:tcBorders>
            <w:gridSpan w:val="4"/>
          </w:tcPr>
          <w:p>
            <w:pPr>
              <w:spacing w:after="0" w:line="187" w:lineRule="exact"/>
              <w:rPr>
                <w:sz w:val="20"/>
                <w:szCs w:val="20"/>
                <w:color w:val="auto"/>
              </w:rPr>
            </w:pPr>
            <w:r>
              <w:rPr>
                <w:rFonts w:ascii="Arial" w:cs="Arial" w:eastAsia="Arial" w:hAnsi="Arial"/>
                <w:sz w:val="18"/>
                <w:szCs w:val="18"/>
                <w:color w:val="1C2790"/>
                <w:w w:val="98"/>
              </w:rPr>
              <w:t>Exhibit Index</w:t>
            </w:r>
          </w:p>
        </w:tc>
        <w:tc>
          <w:tcPr>
            <w:tcW w:w="640" w:type="dxa"/>
            <w:vAlign w:val="bottom"/>
            <w:tcBorders>
              <w:top w:val="single" w:sz="8" w:color="1C2790"/>
            </w:tcBorders>
            <w:gridSpan w:val="4"/>
          </w:tcPr>
          <w:p>
            <w:pPr>
              <w:spacing w:after="0"/>
              <w:rPr>
                <w:sz w:val="16"/>
                <w:szCs w:val="16"/>
                <w:color w:val="auto"/>
              </w:rPr>
            </w:pPr>
          </w:p>
        </w:tc>
        <w:tc>
          <w:tcPr>
            <w:tcW w:w="7540" w:type="dxa"/>
            <w:vAlign w:val="bottom"/>
            <w:gridSpan w:val="20"/>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1C2790"/>
              <w:bottom w:val="single" w:sz="8" w:color="1C2790"/>
            </w:tcBorders>
            <w:gridSpan w:val="4"/>
          </w:tcPr>
          <w:p>
            <w:pPr>
              <w:jc w:val="right"/>
              <w:spacing w:after="0" w:line="187" w:lineRule="exact"/>
              <w:rPr>
                <w:sz w:val="20"/>
                <w:szCs w:val="20"/>
                <w:color w:val="auto"/>
              </w:rPr>
            </w:pPr>
            <w:r>
              <w:rPr>
                <w:rFonts w:ascii="Arial" w:cs="Arial" w:eastAsia="Arial" w:hAnsi="Arial"/>
                <w:sz w:val="18"/>
                <w:szCs w:val="18"/>
                <w:color w:val="1C2790"/>
                <w:w w:val="93"/>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1C2790"/>
        </w:rPr>
        <w:t>Signatures</w:t>
      </w:r>
    </w:p>
    <w:p>
      <w:pPr>
        <w:sectPr>
          <w:pgSz w:w="12240" w:h="15840" w:orient="portrait"/>
          <w:cols w:equalWidth="0" w:num="1">
            <w:col w:w="10800"/>
          </w:cols>
          <w:pgMar w:left="720" w:top="1440" w:right="72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(“Exchange Act”). The words “may,” “will,” “anticipate,” “could,” “should,” “would,” “believe,” “contemplate,” “expect,” “aim,” “plan,” “estimate,” “continue,” and “intend,” as well as other similar words and expressions of the future, are intended to identify forward- looking statements. These forward- 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8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49" w:lineRule="exact"/>
        <w:rPr>
          <w:sz w:val="20"/>
          <w:szCs w:val="20"/>
          <w:color w:val="auto"/>
        </w:rPr>
      </w:pPr>
    </w:p>
    <w:p>
      <w:pPr>
        <w:ind w:left="720" w:hanging="360"/>
        <w:spacing w:after="0" w:line="25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strength of the United States economy in general and the strength of the local economies in which we conduct operations;</w:t>
      </w:r>
    </w:p>
    <w:p>
      <w:pPr>
        <w:ind w:left="720" w:hanging="360"/>
        <w:spacing w:after="0"/>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successfully manage interest rate risk, credit risk, liquidity risk, and other risks inherent to our industry;</w:t>
      </w:r>
    </w:p>
    <w:p>
      <w:pPr>
        <w:spacing w:after="0" w:line="11" w:lineRule="exact"/>
        <w:rPr>
          <w:rFonts w:ascii="Arial" w:cs="Arial" w:eastAsia="Arial" w:hAnsi="Arial"/>
          <w:sz w:val="19"/>
          <w:szCs w:val="19"/>
          <w:color w:val="auto"/>
        </w:rPr>
      </w:pPr>
    </w:p>
    <w:p>
      <w:pPr>
        <w:ind w:left="720" w:hanging="360"/>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accuracy of our financial statement estimates and assumptions, including the estimates used for our credit loss reserve and deferred tax asset valuation allowance;</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efficiency and effectiveness of our internal control environment;</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the extensive laws and regulations to which we are subject, including the laws for each jurisdiction where we operate;</w:t>
      </w:r>
    </w:p>
    <w:p>
      <w:pPr>
        <w:ind w:left="720" w:hanging="360"/>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adverse changes or conditions in the capital and financial markets, including actual or potential stresses in the banking industry;</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deposit attrition and the level of our uninsured deposits;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legislative or regulatory changes and changes in accounting principles, policies, practices or guidelines, including the on-going effects of the implementation of the Current Expected Credit Losses (“CECL”);</w:t>
      </w:r>
    </w:p>
    <w:p>
      <w:pPr>
        <w:jc w:val="both"/>
        <w:ind w:left="720" w:hanging="361"/>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climate change;</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concentration of ownership of our common stock;</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of our common stock;</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fund or access the capital markets at attractive rates and terms and manage our growth, both organic growth as well as growth through other means, such as future acquisitions;</w:t>
      </w:r>
    </w:p>
    <w:p>
      <w:pPr>
        <w:ind w:left="720" w:hanging="361"/>
        <w:spacing w:after="0" w:line="238"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inflation, interest rate, unemployment rate, market, and monetary fluctuations;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impacts of international hostilities and geopolitical events;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increased competition and its effect on the pricing of our products and services as well as our net interest rate spread and net interest margin;</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loss of key employees;</w:t>
      </w:r>
    </w:p>
    <w:p>
      <w:pPr>
        <w:ind w:left="720" w:hanging="361"/>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effectiveness of our risk management strategies, including operational risks, including, but not limited to, client, employee, or third-party fraud and cybersecurity breaches; and</w:t>
      </w:r>
    </w:p>
    <w:p>
      <w:pPr>
        <w:ind w:left="720" w:hanging="361"/>
        <w:spacing w:after="0" w:line="25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other risks described in this Annual Report on Form 10-K and other filings we make with the Securities and Exchange Commission (“SEC”).</w:t>
      </w:r>
    </w:p>
    <w:p>
      <w:pPr>
        <w:spacing w:after="0" w:line="17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USCB Financial Holdings, Inc. has filed or will file with the SEC and, for periods prior to the completion of the bank holding company reorganization in 2021, U.S. Century Bank filed with the Federal Deposit Insurance Corporation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697" w:right="720" w:bottom="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USCB Financial Holdings, Inc., a Florida corporation (the “Company”), was formed on December 17, 2021, to serve as the holding company for U.S. Century Bank, a Florida state-chartered bank, and is a bank holding company (a “BHC”) registered with the Board of Governors of the Federal Reserve System (the “Federal Reserve”) under the Bank Holding Company Act of 1956, as amended (the “BHC Act”). The Company is headquartered in Miami, Florida, and, through the Bank, its sole direct subsidiary, operates 10 banking centers in South Florida providing a wide range of personal and business banking products and services. As of December 31, 2024, the Company had total consolidated assets of $2.6 billion.</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U.S. Century Bank (the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7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8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8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Prior to the Reorganization, the Company had no material assets and had not conducted any business or operations except for activities related to its incorporation and the Reorganization.</w:t>
      </w:r>
    </w:p>
    <w:p>
      <w:pPr>
        <w:spacing w:after="0" w:line="149"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20"/>
          <w:szCs w:val="20"/>
          <w:color w:val="auto"/>
        </w:rPr>
        <w:t>Our strategy in becoming a publicly traded company and forming a BHC was to continue pursuing organic growth as well as strategic acquisitions if the opportunity arises, which efforts will be further facilitated by access to public capital and the added flexibility provided by a holding company structure.</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this Annual Report on Form 10-K, unless the context indicated otherwise, references to “we,” “us,”, and “our” refer to the Company and the Bank, as the context dictates. However, if the discussion relates to a period before the Effective Date, the terms refer only to the Bank.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and Services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Lending Services</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Our mission is to provide high value, relationship-based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9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2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76" w:lineRule="exact"/>
        <w:rPr>
          <w:sz w:val="20"/>
          <w:szCs w:val="20"/>
          <w:color w:val="auto"/>
        </w:rPr>
      </w:pPr>
    </w:p>
    <w:p>
      <w:pPr>
        <w:jc w:val="both"/>
        <w:ind w:left="1080" w:hanging="360"/>
        <w:spacing w:after="0" w:line="243" w:lineRule="auto"/>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Small Business Administration (“SBA”) lending: </w:t>
      </w:r>
      <w:r>
        <w:rPr>
          <w:rFonts w:ascii="Arial" w:cs="Arial" w:eastAsia="Arial" w:hAnsi="Arial"/>
          <w:sz w:val="20"/>
          <w:szCs w:val="20"/>
          <w:color w:val="auto"/>
        </w:rPr>
        <w:t>Our SBA platform originates loans under Sections 7(a)</w:t>
      </w:r>
      <w:r>
        <w:rPr>
          <w:rFonts w:ascii="Arial" w:cs="Arial" w:eastAsia="Arial" w:hAnsi="Arial"/>
          <w:sz w:val="20"/>
          <w:szCs w:val="20"/>
          <w:b w:val="1"/>
          <w:bCs w:val="1"/>
          <w:color w:val="auto"/>
        </w:rPr>
        <w:t xml:space="preserve"> </w:t>
      </w:r>
      <w:r>
        <w:rPr>
          <w:rFonts w:ascii="Arial" w:cs="Arial" w:eastAsia="Arial" w:hAnsi="Arial"/>
          <w:sz w:val="20"/>
          <w:szCs w:val="20"/>
          <w:color w:val="auto"/>
        </w:rPr>
        <w:t>and 504 of the SBA program. The 7(a) loan program, SBA's most common loan program, includes financial help for small businesses with special requirements while the 504 loan program provides long-term, fixed 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2024, the Bank continued to be a Preferred Lending Partner with the SBA which allows us to offer the full range of SBA loan products and to exercise lending authority at the local bank level, allowing us to make timely credit decisions for prospective clients.</w:t>
      </w:r>
    </w:p>
    <w:p>
      <w:pPr>
        <w:spacing w:after="0" w:line="3" w:lineRule="exact"/>
        <w:rPr>
          <w:rFonts w:ascii="Arial" w:cs="Arial" w:eastAsia="Arial" w:hAnsi="Arial"/>
          <w:sz w:val="20"/>
          <w:szCs w:val="20"/>
          <w:color w:val="auto"/>
        </w:rPr>
      </w:pPr>
    </w:p>
    <w:p>
      <w:pPr>
        <w:jc w:val="both"/>
        <w:ind w:left="1080" w:hanging="360"/>
        <w:spacing w:after="0"/>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Yacht lending: </w:t>
      </w:r>
      <w:r>
        <w:rPr>
          <w:rFonts w:ascii="Arial" w:cs="Arial" w:eastAsia="Arial" w:hAnsi="Arial"/>
          <w:sz w:val="20"/>
          <w:szCs w:val="20"/>
          <w:color w:val="auto"/>
        </w:rPr>
        <w:t>Our yacht lending vertical provides yacht financing for larger vessels; transactions range from</w:t>
      </w:r>
      <w:r>
        <w:rPr>
          <w:rFonts w:ascii="Arial" w:cs="Arial" w:eastAsia="Arial" w:hAnsi="Arial"/>
          <w:sz w:val="20"/>
          <w:szCs w:val="20"/>
          <w:b w:val="1"/>
          <w:bCs w:val="1"/>
          <w:color w:val="auto"/>
        </w:rPr>
        <w:t xml:space="preserve"> </w:t>
      </w:r>
      <w:r>
        <w:rPr>
          <w:rFonts w:ascii="Arial" w:cs="Arial" w:eastAsia="Arial" w:hAnsi="Arial"/>
          <w:sz w:val="20"/>
          <w:szCs w:val="20"/>
          <w:color w:val="auto"/>
        </w:rPr>
        <w:t>$750 thousand to $7.5 million. We target high net-worth clients, in one of the most active yacht markets in the country.</w:t>
      </w:r>
    </w:p>
    <w:p>
      <w:pPr>
        <w:spacing w:after="0" w:line="1" w:lineRule="exact"/>
        <w:rPr>
          <w:rFonts w:ascii="Arial" w:cs="Arial" w:eastAsia="Arial" w:hAnsi="Arial"/>
          <w:sz w:val="20"/>
          <w:szCs w:val="20"/>
          <w:color w:val="auto"/>
        </w:rPr>
      </w:pPr>
    </w:p>
    <w:p>
      <w:pPr>
        <w:jc w:val="both"/>
        <w:ind w:left="1080" w:hanging="360"/>
        <w:spacing w:after="0" w:line="239" w:lineRule="auto"/>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Homeowner Association (“HOA”) services: </w:t>
      </w:r>
      <w:r>
        <w:rPr>
          <w:rFonts w:ascii="Arial" w:cs="Arial" w:eastAsia="Arial" w:hAnsi="Arial"/>
          <w:sz w:val="20"/>
          <w:szCs w:val="20"/>
          <w:color w:val="auto"/>
        </w:rPr>
        <w:t>We provide banking services to HOAs and property managers,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3" w:lineRule="exact"/>
        <w:rPr>
          <w:rFonts w:ascii="Arial" w:cs="Arial" w:eastAsia="Arial" w:hAnsi="Arial"/>
          <w:sz w:val="20"/>
          <w:szCs w:val="20"/>
          <w:color w:val="auto"/>
        </w:rPr>
      </w:pPr>
    </w:p>
    <w:p>
      <w:pPr>
        <w:jc w:val="both"/>
        <w:ind w:left="1080" w:hanging="360"/>
        <w:spacing w:after="0" w:line="253" w:lineRule="auto"/>
        <w:tabs>
          <w:tab w:leader="none" w:pos="108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Jurist Advantage and Private Client Group services: </w:t>
      </w:r>
      <w:r>
        <w:rPr>
          <w:rFonts w:ascii="Arial" w:cs="Arial" w:eastAsia="Arial" w:hAnsi="Arial"/>
          <w:sz w:val="19"/>
          <w:szCs w:val="19"/>
          <w:color w:val="auto"/>
        </w:rPr>
        <w:t>Our Jurist Advantage and Private Client Group vertical</w:t>
      </w:r>
      <w:r>
        <w:rPr>
          <w:rFonts w:ascii="Arial" w:cs="Arial" w:eastAsia="Arial" w:hAnsi="Arial"/>
          <w:sz w:val="19"/>
          <w:szCs w:val="19"/>
          <w:b w:val="1"/>
          <w:bCs w:val="1"/>
          <w:color w:val="auto"/>
        </w:rPr>
        <w:t xml:space="preserve"> </w:t>
      </w:r>
      <w:r>
        <w:rPr>
          <w:rFonts w:ascii="Arial" w:cs="Arial" w:eastAsia="Arial" w:hAnsi="Arial"/>
          <w:sz w:val="19"/>
          <w:szCs w:val="19"/>
          <w:color w:val="auto"/>
        </w:rPr>
        <w:t>provides customized banking solutions for law firms as well as their partners, associates, staff, and high net worth clients. We also leverage our relationships with our law firm clients to generate personal deposit accounts.</w:t>
      </w:r>
    </w:p>
    <w:p>
      <w:pPr>
        <w:jc w:val="both"/>
        <w:ind w:left="1080" w:hanging="360"/>
        <w:spacing w:after="0"/>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Correspondent Banking services: </w:t>
      </w:r>
      <w:r>
        <w:rPr>
          <w:rFonts w:ascii="Arial" w:cs="Arial" w:eastAsia="Arial" w:hAnsi="Arial"/>
          <w:sz w:val="20"/>
          <w:szCs w:val="20"/>
          <w:color w:val="auto"/>
        </w:rPr>
        <w:t>Our Global Banking vertical provides correspondent banking services for</w:t>
      </w:r>
      <w:r>
        <w:rPr>
          <w:rFonts w:ascii="Arial" w:cs="Arial" w:eastAsia="Arial" w:hAnsi="Arial"/>
          <w:sz w:val="20"/>
          <w:szCs w:val="20"/>
          <w:b w:val="1"/>
          <w:bCs w:val="1"/>
          <w:color w:val="auto"/>
        </w:rPr>
        <w:t xml:space="preserve"> </w:t>
      </w:r>
      <w:r>
        <w:rPr>
          <w:rFonts w:ascii="Arial" w:cs="Arial" w:eastAsia="Arial" w:hAnsi="Arial"/>
          <w:sz w:val="20"/>
          <w:szCs w:val="20"/>
          <w:color w:val="auto"/>
        </w:rPr>
        <w:t>banks headquartered in certain Latin America and the Caribbean countries. We also cross-sell our correspondent banking relationships to generate international personal banking clients for our Bank. Our compliance team is experienced in issues related to correspondent banking, and we have frequent and regular open communication with our correspondent bank clients to ensure proper compliance controls are maintained at such institutions.</w:t>
      </w:r>
    </w:p>
    <w:p>
      <w:pPr>
        <w:jc w:val="both"/>
        <w:ind w:left="1080" w:hanging="360"/>
        <w:spacing w:after="0" w:line="246" w:lineRule="auto"/>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Medical Advantage: </w:t>
      </w:r>
      <w:r>
        <w:rPr>
          <w:rFonts w:ascii="Arial" w:cs="Arial" w:eastAsia="Arial" w:hAnsi="Arial"/>
          <w:sz w:val="20"/>
          <w:szCs w:val="20"/>
          <w:i w:val="1"/>
          <w:iCs w:val="1"/>
          <w:color w:val="auto"/>
        </w:rPr>
        <w:t>MD</w:t>
      </w:r>
      <w:r>
        <w:rPr>
          <w:rFonts w:ascii="Arial" w:cs="Arial" w:eastAsia="Arial" w:hAnsi="Arial"/>
          <w:sz w:val="20"/>
          <w:szCs w:val="20"/>
          <w:color w:val="auto"/>
        </w:rPr>
        <w:t>Advantage was launched in 2024; this vertical provides concierge-level banking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services to physicians, dentists, and veterinarians. </w:t>
      </w:r>
      <w:r>
        <w:rPr>
          <w:rFonts w:ascii="Arial" w:cs="Arial" w:eastAsia="Arial" w:hAnsi="Arial"/>
          <w:sz w:val="20"/>
          <w:szCs w:val="20"/>
          <w:i w:val="1"/>
          <w:iCs w:val="1"/>
          <w:color w:val="auto"/>
        </w:rPr>
        <w:t>MD</w:t>
      </w:r>
      <w:r>
        <w:rPr>
          <w:rFonts w:ascii="Arial" w:cs="Arial" w:eastAsia="Arial" w:hAnsi="Arial"/>
          <w:sz w:val="20"/>
          <w:szCs w:val="20"/>
          <w:color w:val="auto"/>
        </w:rPr>
        <w:t>Advantage products and services were designed to cater to the complex banking requirements of medical professionals.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Credit Practices</w:t>
      </w:r>
    </w:p>
    <w:p>
      <w:pPr>
        <w:spacing w:after="0" w:line="22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7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We manage our credit risk by analyzing metrics related to our different lines of business, which allows us to maintain a conservative and well- diversified loan portfolio reflective of our assessment of various industry sectors. Based upon our aggregate exposure to any given borrower relationship, we undertake a scaled review of loan originations that may involve senior credit officers, our Chief Credit Officer, our Credit Committee or, ultimately, our Board of Directors (“Board”).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Deposit Products</w:t>
      </w:r>
    </w:p>
    <w:p>
      <w:pPr>
        <w:spacing w:after="0" w:line="22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insured cash sweep (“ICS”) and certificate of deposit account registry service (“CDARS”) deposit products that are FDIC-insured for our clients. Furthermore, we offer deposit products for municipalities and other public entities. Our deposit products are mainly offered across our primary geographic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Title Services</w:t>
      </w:r>
    </w:p>
    <w:p>
      <w:pPr>
        <w:spacing w:after="0" w:line="22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Florida Peninsula Title LLC is a subsidiary of the Bank that offers our clients title insurance policies for real estate transactions closed at the Bank. Licensed in the State of Florida and approved by the Florida Department of Insurance Regulation, Florida Peninsula Title LLC began operations in 2021. Our title service business not only provides diversification for non-interest income but also provides our clients with access to tile insurance services.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do not believe our business to be seasonal in nature.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primary banking market is South Florida. South Florida has rapidly emerged as a top destination for financial institutions, driven by a combination of factors that foster economic growth and stability. The region offers a low-tax environment, a robust business infrastructure, and access to a diverse talent pool. With a thriving real estate market, strong international trade connections, and an increasing concentration of tech and finance sectors, South Florida provides a dynamic ecosystem for financial services. Additionally, the region's strategic location as a gateway to Latin America further enhances its appeal for corporations looking to strengthen global connectivity and investment opportunities.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8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According to the United States Census Bureau’s estimate, Florida was the third most populous state in the country in 2024 and the three largest population centers were in Miami-Dade, Broward, and Palm Beach counties (all located in South Florida). According to estimates from the United States Census Bureau, Florida’s population increased to 23.4 million residents, an increase of 1.8 million new residents or 8.5% from April 2020 to July 2024.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7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w:t>
      </w:r>
    </w:p>
    <w:p>
      <w:pPr>
        <w:spacing w:after="0" w:line="23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83"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We will remain an EGC until the earliest to occur of (i) the end of the fiscal year following the fifth anniversary of the completion of the Bank’s initial public offering in 2021, (ii) the last day of the first fiscal year in which the Company's annual</w:t>
      </w: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 w:name="page7"/>
    <w:bookmarkEnd w:id="6"/>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gross revenues exceed $1.235 billion, (iii) the date that the Company becomes a “large accelerated filer” as defined in Rule 12b-2 under the Exchange Act which would occur if the market value of the Company's common stock that is held by non-affiliates exceeds $700 million as of the last business day of the Company’s most recently completed second fiscal quarter (June 30th for the Company), or (iv) the date on which the Company has issued more than $1 billion in non-convertible debt during the preceding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respect the values and diversity exhibited throughout our organization and the community. Diversity is an integral part of our organization’s culture. We seek the active engagement and participation of people with diverse backgrounds. We are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human capital objectives include attracting, developing and retaining the best available talent from a diverse pool of candidates for the Company. To do so, we strive to maintain competitive pay and benefits, regularly updating our compensation structure and periodically reviewing our compensation and benefits programs. Additionally, the Company identifies opportunities and paths for the development of our staff, and we seek to, whenever possible, fill positions by promotion within. The Company recognizes that the skills and knowledge of its employees are critical to the success of the organization, and promotes training and continuing education as an ongoing function for employees.</w:t>
      </w:r>
    </w:p>
    <w:p>
      <w:pPr>
        <w:spacing w:after="0" w:line="18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We recognize the importance of our employee's financial health and well-being, and offer benefits such as a 401(k) retirement savings plan and make both matching and profit-sharing contributions to that plan. Benefit programs available to eligible employees include, in addition to the 401(k) retirement savings plan, health and life insurance, employee paid holidays and other benefits.</w:t>
      </w:r>
    </w:p>
    <w:p>
      <w:pPr>
        <w:spacing w:after="0" w:line="17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We value and promote diversity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religion, sex, gender, sexual orientation, ancestry, pregnancy, medical condition, age, marital status, national origin, citizenship status, disability veteran status, gender identity, genetic information, or any other status protected by law.</w:t>
      </w:r>
    </w:p>
    <w:p>
      <w:pPr>
        <w:spacing w:after="0" w:line="18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At December 31, 2024, we had 199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and Supervision</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Bank holding companies, banks, and their affiliates are extensively regulated under federal and state law and regulation. These laws and regulations have a material effect on the operations of USCB Financial Holdings, Inc. and its direct and indirect subsidiaries, including U.S. Century Bank.</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8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the Bank and Company.</w:t>
      </w:r>
    </w:p>
    <w:p>
      <w:pPr>
        <w:spacing w:after="0" w:line="176"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The material statutory and regulatory requirements that are applicable to us are summarized below. The description below is not intended to summarize all laws and regulations applicable to us. These summary descriptions are not intended to be a complete explanation of such laws and regulations and their effects on USCB Financial Holdings, Inc. and U.S.</w:t>
      </w:r>
    </w:p>
    <w:p>
      <w:pPr>
        <w:spacing w:after="0" w:line="200" w:lineRule="exact"/>
        <w:rPr>
          <w:sz w:val="20"/>
          <w:szCs w:val="20"/>
          <w:color w:val="auto"/>
        </w:rPr>
      </w:pPr>
    </w:p>
    <w:p>
      <w:pPr>
        <w:spacing w:after="0" w:line="32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Century Bank and are qualified in their entirety by reference to the actual laws and regulations. You should refer to the full text of the statutes, regulations, and corresponding guidance for more information.</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2018 Regulatory Reform</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In May 2018 the Economic Growth, Regulatory Relief and Consumer Protection Act (the “2018 Act”), was enacted to modify or remove certain financial reform rules and regulations, including some of those implemented under the Dodd-Frank Wall Street Reform and Consumer Protection Act (“Dodd-Frank Act”) enacted in 2010. While the 2018 Act maintains most of the regulatory structure established by the Dodd-Frank Act, it amends certain aspects of the regulatory framework for small depository institutions with assets of less than $10.0 billion and for large banks with assets of more than $50.0 billion. Many of these changes resulted in meaningful regulatory relief for community banks such as U.S. Century Bank.</w:t>
      </w:r>
    </w:p>
    <w:p>
      <w:pPr>
        <w:spacing w:after="0" w:line="169"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2018 Act, among other matters, expanded the definition of “qualified mortgages” which may be held by a financial institution and simplified the regulatory capital rules for financial institutions and their holding companies with total consolidated assets of less than $10.0 billion by instructing (as described below) the federal banking regulators to establish a single “Community Bank Leverage Ratio” of between 8 and 10 percent to replace the leverage and risk-based regulatory capital ratios. The 2018 Act also expanded the category of holding companies that may rely on the “Small Bank Holding Company and Savings and Loan Holding Company Policy Statement” (the “SBHC Policy”) by raising the maximum amount of assets a qualifying holding company may have from $1.0 billion to $3.0 billion. This expansion also excluded such holding companies from the minimum capital requirements of the Dodd-Frank Act. In addition, the 2018 Act included regulatory relief for community banks regarding regulatory examination cycles, call reports, the Volcker Rule (proprietary trading prohibitions), mortgage disclosures and risk weights for certain high-risk commercial real estate loans.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Bank and Bank Holding Company Regulation</w:t>
      </w:r>
    </w:p>
    <w:p>
      <w:pPr>
        <w:spacing w:after="0" w:line="227"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As a Florida-chartered state bank, U.S. Century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(the “DIF”) administered by the FDIC to the maximum extent permitted by law, and the FDIC has certain supervisory and enforcement powers over us.</w:t>
      </w:r>
    </w:p>
    <w:p>
      <w:pPr>
        <w:spacing w:after="0" w:line="18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Any entity that directly or indirectly controls a bank must be approved by the Federal Reserve under the Bank Holding Company Act of 1956 (the “BHC Act”) to become a bank holding company. Bank holding companies are subject to regulation, inspection, examination, supervision and enforcement by the Federal Reserve under the BHC Act. The Federal Reserve's jurisdiction also extends to any company that is directly or indirectly controlled by a bank holding company.</w:t>
      </w:r>
    </w:p>
    <w:p>
      <w:pPr>
        <w:spacing w:after="0" w:line="163"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USCB Financial Holdings, Inc., which controls U.S. Century Bank, is a bank holding company and, as such, is subject to ongoing and comprehensive supervision, regulation, examination and enforcement by the Federal Reserve.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Notice and Approval Requirements Related to Control</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Banking laws impose notice, approval, and ongoing regulatory requirements on any person or entity that seeks to acquire direct or indirect “control” of an FDIC-insured depository institution. These laws include the BHC Act and the Change in Bank Control Act. Among other things, these laws require regulatory filings by individuals or entities that seek to acquire direct or indirect "control" of an FDIC- insured depository institution. The determination of whether an investor "controls" a depository institution is based on all of the facts and circumstances surrounding the investment. As a general matter, a party is deemed to conclusively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bank holding companies are prohibited from acquiring, without prior approval, control of any other bank or bank holding company or substantially all the assets thereof or more than 5% of the voting shares of a bank or bank holding company which is not already a subsidiary.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Source of Strength</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All companies, including bank holding companies, that directly or indirectly control an insured depository institution, are required to serve as a source of strength for the institution. Furthermore, the Federal Reserve policy is that a bank holding company should stand ready to use available resources to provide adequate capital to its subsidiary banks during periods</w:t>
      </w:r>
    </w:p>
    <w:p>
      <w:pPr>
        <w:spacing w:after="0" w:line="29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of financial stress or adversity and should maintain the financial flexibility and capital-raising capacity to obtain additional resources for assisting its subsidiary banks. Under this requirement, USCB Financial Holdings, Inc. in the future could be required to provide financial assistance to U.S. Century Bank should it experience financial distress. Such support may be required at times when, absent this statutory and Federal Reserve policy requirement, a bank holding company may not be inclined or able to provide it. A bank holding company’s failure to meet its obligations to serve as a source of strength to its subsidiary banks will generally be considered by the Federal Reserve to be an unsafe and unsound banking practice or a violation of the Federal Reserve’s regulations, or both.</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Safety and Soundness Regulation</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the FOFR.</w:t>
      </w:r>
    </w:p>
    <w:p>
      <w:pPr>
        <w:spacing w:after="0" w:line="183"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federal banking agencies have also adopted guidelines establishing safety and soundness standards for all insured depository institutions including U.S. Century Bank. The safety and soundness guidelines relate to, among other things, our internal controls, information systems, cybersecurity, internal audit systems,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20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Permissible Activities and Investments</w:t>
      </w:r>
    </w:p>
    <w:p>
      <w:pPr>
        <w:spacing w:after="0" w:line="227"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20"/>
          <w:szCs w:val="20"/>
          <w:color w:val="auto"/>
        </w:rPr>
        <w:t>Banking laws generally restrict the ability of USCB Financial Holdings, Inc. to engage in activities other than those determined by the Federal Reserve to be so closely related to banking as to be a proper incident thereto. The Federal Reserve has determined by regulation that certain activities are closely related to banking including operating a mortgage company, finance company, credit card company, factoring company, trust company or savings association; performing certain data processing operations; providing limited securities brokerage services; acting as an investment or financial advisor; acting as an insurance agent for certain types of credit-related insurance; leasing personal property on a full- payout, non-operating basis; providing tax planning and preparation services; operating a collection agency; and providing certain courier services. In addition, the Gramm- Leach-Bliley Act (the “GLB Act”) expanded the scope of permissible activities for a bank holding company that qualifies as a financial holding company. Under the regulations implementing the GLB Act, a financial holding company may engage in additional activities that are financial in nature or incidental or complementary to a financial activity such as securities underwriting, insurance underwriting and merchant banking. USCB Financial Holdings, Inc. is not a financial holding company.</w:t>
      </w:r>
    </w:p>
    <w:p>
      <w:pPr>
        <w:spacing w:after="0" w:line="200" w:lineRule="exact"/>
        <w:rPr>
          <w:sz w:val="20"/>
          <w:szCs w:val="20"/>
          <w:color w:val="auto"/>
        </w:rPr>
      </w:pPr>
    </w:p>
    <w:p>
      <w:pPr>
        <w:spacing w:after="0" w:line="36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addition, as a general matter, the establishment or acquisition by USCB Financial Holdings, Inc. of a non- bank entity, or the initiation of a non-banking activity, requires prior regulatory approval. In approving acquisitions or the addition of activities, the Federal Reserve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Regulatory Capital Requirements</w:t>
      </w:r>
    </w:p>
    <w:p>
      <w:pPr>
        <w:spacing w:after="0" w:line="227" w:lineRule="exact"/>
        <w:rPr>
          <w:sz w:val="20"/>
          <w:szCs w:val="20"/>
          <w:color w:val="auto"/>
        </w:rPr>
      </w:pPr>
    </w:p>
    <w:p>
      <w:pPr>
        <w:jc w:val="both"/>
        <w:ind w:firstLine="361"/>
        <w:spacing w:after="0" w:line="244" w:lineRule="auto"/>
        <w:rPr>
          <w:sz w:val="20"/>
          <w:szCs w:val="20"/>
          <w:color w:val="auto"/>
        </w:rPr>
      </w:pPr>
      <w:r>
        <w:rPr>
          <w:rFonts w:ascii="Arial" w:cs="Arial" w:eastAsia="Arial" w:hAnsi="Arial"/>
          <w:sz w:val="20"/>
          <w:szCs w:val="20"/>
          <w:color w:val="auto"/>
        </w:rPr>
        <w:t>The federal banking regulators have adopted risk -based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89"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19"/>
          <w:szCs w:val="19"/>
          <w:color w:val="auto"/>
        </w:rPr>
        <w:t>In computing total risk -weighted assets, bank and bank holding company assets are given risk-weights of 0%, 20%, 50%, 100% and 150%. In addition, certain off -balance sheet items are given similar credit conversion factors to convert them to asset equivalent amounts to which an appropriate risk -weight will apply. Most loans will be assigned to the 100% risk category, except for performing first mortgage loans fully secured by 1-to-4 family or certain multi-family residential properties, which carry a 50% risk rating, and certain past due loans which are assigned a 150%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78"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20"/>
          <w:szCs w:val="20"/>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 -weighted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Risk-Weighted Assets is less than 7.0% — then capital distributions and discretionary bonus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9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capital regulations may also impact the treatment of accumulated other comprehensive income (“AOCI”) for regulatory capital purposes. Under the rules, AOCI generally flows through to regulatory capital; however, community banks and their holding companies (if any) were allowed to make a one-time irrevocable opt -out election to continue to treat AOCI the same as under the old regulations for regulatory capital purposes. This election was required to be made on the first call report filed after January 1, 2015. We made the opt-out election. Additionally, the rules also permit community banks with less than $15.0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 At December 31, 2024, we had no such investments.</w:t>
      </w:r>
    </w:p>
    <w:p>
      <w:pPr>
        <w:spacing w:after="0" w:line="187"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In May 2016, amendments to the Federal Reserve’s SBHC Policy became effective which increased the asset threshold to qualify to utilize the provisions of the SBHC Policy from $500.0 million to $1.0 billion. Subsequently, as part of the 2018 Act, the threshold was increased to $3.0 billion. Bank holding companies which are subject to the SBHC Policy are not</w:t>
      </w:r>
    </w:p>
    <w:p>
      <w:pPr>
        <w:spacing w:after="0" w:line="291"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subject to compliance with the regulatory capital requirements described above until they exceed $3.0 billion in assets. As a consequence, as of December 31, 2024, USCB Financial Holdings, Inc. was not required to comply with the requirements set forth above and will not be subject to such requirements until such time that its consolidated total assets exceed $3.0 billion or the Federal Reserve determines that USCB Financial Holdings, Inc. is no longer deemed to be a small bank holding company. However, if USCB Financial Holdings, Inc. had been subject to the requirements, it would have been in compliance with such requirements.</w:t>
      </w:r>
    </w:p>
    <w:p>
      <w:pPr>
        <w:spacing w:after="0" w:line="18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In September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below in this Form 10-K and will not be required to report or calculate risk-based capital. In order to qualify for the CBLR framework, a community banking organization must have a tier 1 leverage ratio of greater than 9%, less than $10.0 billion in total consolidated assets, off-balance sheet exposures of 25% or less of total consolidated assets, and trading assets and liabilities of 5% or less of total consolidated assets. Although U.S. Century Bank is a qualifying community banking organization, U.S. Century Bank has elected not to opt in to the CBLR framework at this time and will continue to follow the Basel III capital requirements as described above.</w:t>
      </w:r>
    </w:p>
    <w:p>
      <w:pPr>
        <w:spacing w:after="0" w:line="19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December 31, 2024 and 2023, the U.S. Century Bank qualified as a “well capitalized” institution. See Note 15 “Regulatory Matters” of the Consolidated Financial Statements included in Item 8 of this Annual Report on Form 10-K for further details.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Prompt Corrective Action</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83" w:lineRule="exact"/>
        <w:rPr>
          <w:sz w:val="20"/>
          <w:szCs w:val="20"/>
          <w:color w:val="auto"/>
        </w:rPr>
      </w:pPr>
    </w:p>
    <w:p>
      <w:pPr>
        <w:jc w:val="both"/>
        <w:ind w:firstLine="361"/>
        <w:spacing w:after="0" w:line="242" w:lineRule="auto"/>
        <w:rPr>
          <w:sz w:val="20"/>
          <w:szCs w:val="20"/>
          <w:color w:val="auto"/>
        </w:rPr>
      </w:pPr>
      <w:r>
        <w:rPr>
          <w:rFonts w:ascii="Arial" w:cs="Arial" w:eastAsia="Arial" w:hAnsi="Arial"/>
          <w:sz w:val="20"/>
          <w:szCs w:val="20"/>
          <w:color w:val="auto"/>
        </w:rPr>
        <w:t>An insured depository institution is deemed to be "well capitalized" if it has a total risk-based capital ratio of 10.0% or greater, a tier 1 risk-based capital ratio of 8.0% or greater, a Common Equity Tier 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 is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Under specified circumstances, a federal banking agency may reclassify a “well-capitalized” institution as adequately capitalized and may require an adequately capitalized institution or an undercapitalized institution to comply with supervisory actions as if it were in the next lower category (except that the FDIC may not reclassify a significantly undercapitalized institution as critically undercapitalized).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20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At December 31, 2024, U.S. Century Bank was deemed to be a “well-capitalized” institution for purposes of the prompt corrective action regulations and as such is not subject to the above mentioned restrictions.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Commercial Real Estate Concentration Guidelines</w:t>
      </w:r>
    </w:p>
    <w:p>
      <w:pPr>
        <w:spacing w:after="0" w:line="22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as defined in the banking agencies guidance,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32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1" w:name="page12"/>
    <w:bookmarkEnd w:id="11"/>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As of December 31, 2024, our ratio of construction loans to total risk-based capital was 23%, and therefore, we were under the 100% threshold set forth in clause (iii) in the paragraph above. However, with respect to clause (iv) in the paragraph above, as of December 31, 2024, our ratio of total commercial real estate loans to total risk -based capital was 366% and the outstanding balance of the institution’s commercial real estate portfolio increased by 50% or more in the prior 36 months. As a result, we are deemed to have a concentration in commercial real estate lending under applicable regulatory guidelines.</w:t>
      </w:r>
    </w:p>
    <w:p>
      <w:pPr>
        <w:spacing w:after="0" w:line="18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the Bank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Payment of Dividends and Share Repurchases</w:t>
      </w:r>
    </w:p>
    <w:p>
      <w:pPr>
        <w:spacing w:after="0" w:line="22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ability of the board of directors of an insured depository institution to declare a cash dividend or other distribution with respect to capital is subject to federal and state statutory and regulatory restrictions that limit the amount available for such distribution depending upon earnings, financial condition, including whether the institution has negative retained earnings,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because U.S. Century Bank has negative retained earnings, it must obtain the prior approval of the FDIC before effecting a cash dividend or other capital distribution.</w:t>
      </w:r>
    </w:p>
    <w:p>
      <w:pPr>
        <w:spacing w:after="0" w:line="20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A Federal Reserve policy statement on the payment of cash dividends states that a bank holding company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Reserve’s policy statement also provides that it would be inappropriate for a company experiencing serious financial problems to borrow funds to pay dividends. Furthermore, under the federal prompt corrective action regulations, the Federal Reserve may prohibit a bank holding company from paying any dividends if the holding company’s bank subsidiary is classified as “undercapitalized.” See “- Prompt Corrective Action” above.</w:t>
      </w:r>
    </w:p>
    <w:p>
      <w:pPr>
        <w:spacing w:after="0" w:line="17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Section 225.4(b)(1) of Regulation Y promulgated by the Federal Reserve requires that a bank holding company that is not “well-capitalized” or “well-managed”, or that is subject to any unresolved supervisory issues, provide prior notice to the Federal Reserve for any repurchase or redemption of its equity securities for cash or other value that would reduce by 10 percent or more the bank holding company’s consolidated net worth aggregated over the preceding 12-month period.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As of December 31, 2024, the Company was not subject to any formal supervisory restrictions on its ability to pay dividends but will notify the Federal Reserve in advance of any proposed dividend to the Company's shareholders in light of the Bank's negative retained earnings. In addition, we will provide prior notification to the Federal Reserve prior to effecting proposed share repurchases.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Incentive Compensation</w:t>
      </w:r>
    </w:p>
    <w:p>
      <w:pPr>
        <w:spacing w:after="0" w:line="22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In June 2010, the federal banking agencies jointly adopted the Guidance on Sound Incentive Compensation Policies, or GSICP. The GSICP was intended to ensure that banking organizations do not undermine the safety and soundness of such organizations by encouraging excessive risk -taking.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 The GSICP Guidance provides that enforcement actions may be taken against a banking organization if its incentive compensation arrangements or related risk- management control or governance processes pose a risk to the organization’s safety and soundness and the organization is not taking prompt and effective measures to correct the deficiencies.</w:t>
      </w:r>
    </w:p>
    <w:p>
      <w:pPr>
        <w:spacing w:after="0" w:line="184"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$1.0 billion in average total consolidated assets.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of such policies is not known at this time.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Limits on Transactions with Affiliates and Insiders</w:t>
      </w:r>
    </w:p>
    <w:p>
      <w:pPr>
        <w:spacing w:after="0" w:line="22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Transactions between insured financial institutions and any affiliate are governed by Sections 23A and 23B of the Federal Reserve Act. An affiliate of an insured financial institution is any company or entity which controls, is controlled by or is under common control with the insured financial institution. In a bank holding company context, the bank holding company of an insured financial institution (such as the Company) and any companies which are controlled by such holding company are affiliates of the insured financial institution. Generally, Section 23A limits the extent to which the insured financial institution or its subsidiaries may engage in “covered transactions” with any one affiliate to an amount equal to 10% of such institution’s capital stock and surplus, and contains an aggregate limit on all such transactions with all affiliates to an amount equal to 20% of such capital stock and surplus. Section 23B applies to “covered transactions” as well as certain other transactions and requires that all transactions be on terms substantially the same, or at least as favorable to the insured financial institution, as those provided to a non-affiliate. The term “covered transaction” includes the making of loans to, purchase of assets from and issuance of a guarantee to an affiliate and similar transactions. Section 23B transactions also include the provision of services and the sale of assets by an insured financial institution to an affiliate. In addition, loans or other extensions of credit by the financial institution to the affiliate are to be collateralized in accordance with the requirements set for in Section 23 of the Federal Reserve Act.</w:t>
      </w:r>
    </w:p>
    <w:p>
      <w:pPr>
        <w:spacing w:after="0" w:line="19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Sections 22(g) and (h) of the Federal Reserve Act place restrictions on loans to executive officers, directors and principal stockholders. Under Section 22(h), loans to a director, an executive officer and to a greater than 10% stockholder of an insured financial institution, and certain affiliated interests of either, may not exceed, together with all other outstanding loans to such person and affiliated interests, the insured financial institution’s loans to one borrower limit (generally equal to 15% of the institution’s unimpaired capital and surplus). Section 22(h) also requires that loans to directors, executive officers and principal stockholders be made on terms substantially the same as offered in comparable transactions to other persons unless the loans are made pursuant to a benefit or compensation program that (i) is widely available to employees of the institution and (ii) does not give preference to any director, executive officer or principal stockholder, or certain affiliated interests thereof, over other employees of the insured financial institution. Section 22(h) also requires prior board approval for the issuance of certain loans. In addition, the aggregate amount of extensions of credit by an insured financial institution to all insiders cannot exceed the institution’s unimpaired capital and surplus. Furthermore, Section 22(g) places additional restrictions on loans to executive officers. At December 31, 2024, the Bank was in compliance with the above restrictions.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FDIC Deposit Insurance</w:t>
      </w:r>
    </w:p>
    <w:p>
      <w:pPr>
        <w:spacing w:after="0" w:line="225"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The FDIC is an independent federal agency that insures the deposits of federally insured depository institutions up to applicable limits. The FDIC also has certain regulatory, examination and enforcement powers with respect to FDIC-insured</w:t>
      </w: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institutions. The deposits are insured by the FDIC up to applicable limits. As a general matter, the maximum deposit insurance amount is $250 thousand per depositor.</w:t>
      </w:r>
    </w:p>
    <w:p>
      <w:pPr>
        <w:spacing w:after="0" w:line="1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8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 Assessment rates for most insured depository institutions with less than $10.0 billion of assets range from 2.5 to 32 basis points of each institution’s total assets less tangible capital.</w:t>
      </w:r>
    </w:p>
    <w:p>
      <w:pPr>
        <w:spacing w:after="0" w:line="1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In October 2022, the FDIC finalized a rule that increased the initial base deposit insurance assessment rates by 2 basis points, beginning with the first quarterly assessment period of 2023 (January 1, 2023 through March 31, 2023). The FDIC, as required under the FDIA, established a plan in September 2020 (the “Restoration Plan”) to restore the DIF reserve ratio to meet or exceed the statutory minimum of 1.35% within eight years. The Restoration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also concurrently maintained the Designated Reserve Ratio (“DDR”) for the DIF at 2% for 2023. The new assessment rate schedules will remain in effect unless and until the reserve ratio meets or exceeds 2% in order to support growth in the DIF in progressing toward the FDIC’s long-term goal of a 2% DRR. Progressively lower assessment rate schedules will take effect when the reserve ratio reaches 2%, and again when it reaches 2.5%. The revised assessment rate schedule will remain in effect unless and until the reserve ratio meets or exceeds 2%, absent further action by the FDIC.</w:t>
      </w:r>
    </w:p>
    <w:p>
      <w:pPr>
        <w:spacing w:after="0" w:line="18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Depositor Preference</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U.S. Century Bank, with respect to any extensions of credit they have made to such insured depository institution.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Overdraft Fee Regulation</w:t>
      </w:r>
    </w:p>
    <w:p>
      <w:pPr>
        <w:spacing w:after="0" w:line="22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Federal Reserve System and Federal Home Loan Bank System</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We are a member of the Federal Home Loan Bank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29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a member of the FHLB of Atlanta, we are required to own capital stock in the FHLB in an amount at least equal to 0.07% (or 7 basis points), which is subject to annual adjustments, of the Bank’s total assets at the end of each calendar year (up to a maximum of $18.0 million), plus 4.75% of our outstanding advances (borrowings) from the FHLB of Atlanta under the activity-based stock ownership requirement.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Anti-Money Laundering Regulation</w:t>
      </w:r>
    </w:p>
    <w:p>
      <w:pPr>
        <w:spacing w:after="0" w:line="22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FDIC Section 326.8 of the FDIC’s regulations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transactions that meet certain dollar amount thresholds as well as any suspicious transactions. Laws, such as the USA PATRIOT Act enacted in 2001, as described below, provide law enforcement authorities with increased access to financial information maintained by banks.</w:t>
      </w:r>
    </w:p>
    <w:p>
      <w:pPr>
        <w:spacing w:after="0" w:line="177"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USA PATRIOT Act</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USA PATRIOT Act became effective in October 2001 and amended the BSA. The USA PATRIOT Act requires banks to establish anti-money laundering programs that include, at a minimum:</w:t>
      </w:r>
    </w:p>
    <w:p>
      <w:pPr>
        <w:spacing w:after="0" w:line="151" w:lineRule="exact"/>
        <w:rPr>
          <w:sz w:val="20"/>
          <w:szCs w:val="20"/>
          <w:color w:val="auto"/>
        </w:rPr>
      </w:pPr>
    </w:p>
    <w:p>
      <w:pPr>
        <w:jc w:val="both"/>
        <w:ind w:left="720" w:hanging="360"/>
        <w:spacing w:after="0" w:line="246"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2"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designated compliance officer;</w:t>
      </w:r>
    </w:p>
    <w:p>
      <w:pPr>
        <w:ind w:left="720" w:hanging="360"/>
        <w:spacing w:after="0" w:line="238"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employee training for bank employees;</w:t>
      </w: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 independent audit function to test the efficacy of the bank’s anti-money laundering program;</w:t>
      </w: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procedures to verify the identity of each bank customer upon the opening of accounts;</w:t>
      </w:r>
    </w:p>
    <w:p>
      <w:pPr>
        <w:ind w:left="720" w:hanging="361"/>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heightened due diligence policies, procedures and controls applicable to certain foreign accounts and relationships; and</w:t>
      </w:r>
    </w:p>
    <w:p>
      <w:pPr>
        <w:ind w:left="720" w:hanging="361"/>
        <w:spacing w:after="0" w:line="255"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required reports to law enforcement and/or financial regulators to assist in the deterrence and prevention of money laundering activities.</w:t>
      </w:r>
    </w:p>
    <w:p>
      <w:pPr>
        <w:spacing w:after="0" w:line="17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In May 2018, the U.S. Treasury’s Financial Crimes Enforcement Network, or FinCEN, issued a final rule under the BSA requiring banks to identify and verify the identity of the natural persons behind their customers that are legal entities—the beneficial owners. The Anti-Money Laundering Act of 2020 (the “AML Act”) and within the AML Act, the Corporate Transparency Act (the “CTA”), was enacted in January 2021. The AML Act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 The CTA establishes</w:t>
      </w:r>
    </w:p>
    <w:p>
      <w:pPr>
        <w:spacing w:after="0" w:line="32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uniform beneficial ownership reporting requirements for corporations, limited liability companies, and other similar entities formed or registered to do business in the United States. The CTA authorizes FinCEN to collect that information and share it with authorized government authorities and financial institutions, subject to effective safeguards and controls. In December 2024, a nationwide injunction was granted, blocking the enforcement of the CTA pending the adjudication of the constitutionality of the CTA. In late January 2025, the United States Supreme Court reversed the U.S. district court’s preliminary injunction staying the CTA. However, a separate nationwide stay of the CTA issued earlier in January 2025 by another U.S. district court was not affected by the Supreme Court’s action. In mid-February 2025, the U.S. district court stayed the preliminary relief granted in its early January 2025, order, including the nationwide stay of the CTA. On February 19, 2025, FinCEN published an updated alert stating that, in view of the U.S. district court’s decision, beneficial ownership information reporting requirements under the CTA will be in effect. FinCEN generally extended the deadline for most reporting companies filing initial, updated and corrected beneficial ownership reports to March 21, 2025 (30 calendar days from February 19, 2025). Subsequently, on March 2, 2025, the U.S. Treasury announced that it was suspending enforcement of the CTA against domestic reporting companies and their beneficial owners. The U.S. Treasury also announced that it would be proposing revised rules applicable to foreign reporting companies only. In December 2023, FinCEN issued regulations regarding access to the beneficial ownership information collected under the CTA. We and our affiliates have adopted policies, procedures and controls designed to comply with the BSA, the AML Act, the CTA and the USA PATRIOT Act.</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Office of Foreign Assets Control</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Such persons are referred to as “sanctioned” persons.</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Consumer Laws and Regulations</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76" w:lineRule="exact"/>
        <w:rPr>
          <w:sz w:val="20"/>
          <w:szCs w:val="20"/>
          <w:color w:val="auto"/>
        </w:rPr>
      </w:pPr>
    </w:p>
    <w:p>
      <w:pPr>
        <w:jc w:val="both"/>
        <w:ind w:left="720" w:hanging="360"/>
        <w:spacing w:after="0" w:line="24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Truth-In-Lending Act (“TILA”), and Regulation Z, governing disclosures of credit and servicing terms to consumer borrowers and including substantial new requirements for mortgage lending and servicing, as mandated by the Dodd-Frank Act</w:t>
      </w:r>
    </w:p>
    <w:p>
      <w:pPr>
        <w:spacing w:after="0" w:line="1" w:lineRule="exact"/>
        <w:rPr>
          <w:rFonts w:ascii="Arial" w:cs="Arial" w:eastAsia="Arial" w:hAnsi="Arial"/>
          <w:sz w:val="20"/>
          <w:szCs w:val="20"/>
          <w:color w:val="auto"/>
        </w:rPr>
      </w:pPr>
    </w:p>
    <w:p>
      <w:pPr>
        <w:jc w:val="both"/>
        <w:ind w:left="720" w:hanging="360"/>
        <w:spacing w:after="0" w:line="23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Equal Credit Opportunity Act and Regulation B, prohibiting discrimination on the basis of race, color, religion, or other prohibited factors in extending credit;</w:t>
      </w:r>
    </w:p>
    <w:p>
      <w:pPr>
        <w:jc w:val="both"/>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20"/>
          <w:szCs w:val="20"/>
          <w:color w:val="auto"/>
        </w:rPr>
      </w:pPr>
    </w:p>
    <w:p>
      <w:pPr>
        <w:ind w:left="720" w:hanging="360"/>
        <w:spacing w:after="0" w:line="23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Fair Debt Collection Practices Act and Regulation F, governing the manner in which consumer debts may be collected by collection agencies; and</w:t>
      </w:r>
    </w:p>
    <w:p>
      <w:pPr>
        <w:ind w:left="720" w:hanging="360"/>
        <w:spacing w:after="0" w:line="255"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Real Estate Settlement Procedures Act, (“RESPA”), and Regulation X, which governs aspects of the settlement process for residential mortgage loans.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deposit operations are also subject to federal laws, such as:</w:t>
      </w:r>
    </w:p>
    <w:p>
      <w:pPr>
        <w:spacing w:after="0" w:line="229" w:lineRule="exact"/>
        <w:rPr>
          <w:sz w:val="20"/>
          <w:szCs w:val="20"/>
          <w:color w:val="auto"/>
        </w:rPr>
      </w:pPr>
    </w:p>
    <w:p>
      <w:pPr>
        <w:ind w:left="720" w:hanging="360"/>
        <w:spacing w:after="0" w:line="25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FDIA, which, among other things, limits the amount of deposit insurance available per account to $250,000 and imposes other limits on deposit-taking;</w:t>
      </w:r>
    </w:p>
    <w:p>
      <w:pPr>
        <w:ind w:left="720" w:hanging="361"/>
        <w:spacing w:after="0" w:line="255"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Right to Financial Privacy Act, which imposes a duty to maintain the confidentiality of consumer financial records and prescribes procedures for complying with administrative subpoenas of financial records;</w:t>
      </w:r>
    </w:p>
    <w:p>
      <w:pPr>
        <w:spacing w:after="0" w:line="31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left="720" w:hanging="360"/>
        <w:spacing w:after="0" w:line="25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Clearing for the 21st Century Act (also known as “Check 21”), which gives “substitute checks,” such as digital check images and copies made from that image, the same legal standing as the original paper check;</w:t>
      </w:r>
    </w:p>
    <w:p>
      <w:pPr>
        <w:jc w:val="both"/>
        <w:ind w:left="720" w:hanging="360"/>
        <w:spacing w:after="0" w:line="23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1" w:lineRule="exact"/>
        <w:rPr>
          <w:rFonts w:ascii="Arial" w:cs="Arial" w:eastAsia="Arial" w:hAnsi="Arial"/>
          <w:sz w:val="20"/>
          <w:szCs w:val="20"/>
          <w:color w:val="auto"/>
        </w:rPr>
      </w:pPr>
    </w:p>
    <w:p>
      <w:pPr>
        <w:ind w:left="720" w:hanging="360"/>
        <w:spacing w:after="0" w:line="255"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Truth in Savings Act and Regulation DD, which requires depository institutions to provide disclosures so that consumers can make meaningful comparisons about depository institutions and accounts.</w:t>
      </w:r>
    </w:p>
    <w:p>
      <w:pPr>
        <w:spacing w:after="0" w:line="17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Financial Privacy and Cybersecurity</w:t>
      </w: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Banking organizations are subject to many federal and state laws and regulations governing the collection, use and protection of customer information. Under the privacy protection provisions of the GLB Act and related laws and regulations, including Florida laws, we are limited in our ability to disclose non-public information about consumers to nonaffiliated third parties. These limitations require disclosure of privacy policies to consumers and, in some circumstances, require us to allow consumers to prevent disclosure of certain personal information to a nonaffiliated third party and to not disclose account numbers or access codes to non-affiliated third parties for marketing purposes. Federal banking agencies, including the FDIC, have adopted guidelines for establishing information security standards and cybersecurity programs for implementing safeguards. These guidelines, along with related regulatory materials, increasingly focus on risk management and processes related to information technology and the use of third parties in the provision of financial services.</w:t>
      </w:r>
    </w:p>
    <w:p>
      <w:pPr>
        <w:spacing w:after="0" w:line="17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In addition, the federal banking agencies have adopted a rule to establish computer-security incident notification requirements for bank holding companies, banks and their service providers. Under the rule, banking organizations are required to notify their primary federal regulators within 36 hours of any incident that has materially disrupted or degraded, or is reasonably likely to materially disrupt or degrade, the banking organization’s ability to deliver banking services to a material portion of its client base, jeopardize the viability of key operations, or impact the financial stability of the financial sector. The rule also imposes certain notification requirements on third-party bank service providers when they experience a computer- security incident that has caused, or is likely to cause a material service disruption or degradation for four or more hours. In such case, the service provider is required to notify its bank-designated point of contact as soon as possible upon discovery of the incident.</w:t>
      </w:r>
    </w:p>
    <w:p>
      <w:pPr>
        <w:spacing w:after="0" w:line="18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Consumer Financial Protection Bureau</w:t>
      </w:r>
    </w:p>
    <w:p>
      <w:pPr>
        <w:spacing w:after="0" w:line="22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$10.0 billion in assets for compliance with federal consumer laws. The authority to supervise and examine depository institutions with $10.0 billion or less in assets, such as U.S. Century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U.S. Century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Volcker Rule</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2024, we are not subject to the Volcker Rule because of our asset size, which is below the $10.0 billion Volcker Rule threshold.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Community Reinvestment Act and Fair Lending Requirements</w:t>
      </w:r>
    </w:p>
    <w:p>
      <w:pPr>
        <w:spacing w:after="0" w:line="22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78"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branches or mergers. We are also 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2023. In addition to substantive penalties and corrective measures that may be required for a violation of certain fair lending laws, the federal banking agencies may take 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 block any such transaction. The regulatory agency's assessment of the institution's record is made available to the public at www.ffiec.gov/craratings. Following its most recent CRA performance evaluation in April 2023, the Bank received an overall rating of "Satisfactory."</w:t>
      </w:r>
    </w:p>
    <w:p>
      <w:pPr>
        <w:spacing w:after="0" w:line="192"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9"/>
          <w:szCs w:val="19"/>
          <w:color w:val="auto"/>
        </w:rPr>
        <w:t>In October 2023, the federal banking agencies jointly issued a final rule to revise the regulations implementing the CRA. The final rule took effect on April 1, 2024, with staggered compliance dates; the applicability date for most of the provisions is January 1, 2026. The changes are designed to encourage banks to expand access to credit, investment and banking services in low and moderate income communities, adapt to changes in the banking industry including mobile and internet banking, provide greater clarity and consistency in the application of the CRA regulations and tailor CRA evaluations and data collection to bank size and type. The final rule implements a revised regulatory framework that, like the current framework, is based on bank asset size and business model. Under the final rule, a new “Retail Lending Test” is established except with banks with total assets of less than $600.0 million as of December 31 in either of the prior two calendar years have the option to maintain the current CRA evaluation framework, referred to in the final rule as the “Small Bank Lending Test,” or opt into the Retail Lending Test. The Retail Lending Test evaluates a bank’s record of helping to meet the credit needs of its community through the origination and purchase of residential mortgage, multi-family, small business, small farm and, in certain cases, automobile loans. Banks of all sizes will maintain the option to elect to be evaluated under a strategic plan with the final rule updating the standards for obtaining approval for such plan. The final rule continues the current approach of requiring banks to delineate specific “facility-based assessment areas,” which comprise the areas around a bank’s main office, branches, and deposit-taking remote service facilities (e.g., ATMs) . The final rule allows banks to receive CRA credit for any qualified community development activity, regardless of location.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Call Reports and Examination Cycle</w:t>
      </w:r>
    </w:p>
    <w:p>
      <w:pPr>
        <w:spacing w:after="0" w:line="22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 billion that do not engage in certain complex or international activities to file the most streamlined version of the quarterly call report, and to reduce data reportable on certain streamlined call report submissions.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Effect of Governmental Monetary Policies</w:t>
      </w:r>
    </w:p>
    <w:p>
      <w:pPr>
        <w:spacing w:after="0" w:line="227"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The commercial banking business is affected not only by general economic conditions, but also by the monetary policies of the Federal Reserve. Changes in the discount rate on member bank borrowing, availability of borrowing at the “discount</w:t>
      </w:r>
    </w:p>
    <w:p>
      <w:pPr>
        <w:spacing w:after="0" w:line="26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and to a lesser degree by short- term and long-term changes in the international trade balance and in the fiscal policies of the U.S. government. Future changes in monetary policy and the effect of such changes on our business and earnings in the future cannot be predicted.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Future Legislation and Regulation</w:t>
      </w:r>
    </w:p>
    <w:p>
      <w:pPr>
        <w:spacing w:after="0" w:line="22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Federal Securities Laws and the Sarbanes-Oxley Act</w:t>
      </w:r>
    </w:p>
    <w:p>
      <w:pPr>
        <w:spacing w:after="0" w:line="22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USCB Financial Holdings, Inc.’s Class A common stock is registered with the SEC under Section 12(b) of the Securities Exchange Act of 1934. USCB Financial Holdings, Inc. is subject to the proxy and tender offer rules, insider trading reporting requirements and restrictions, and certain other requirements under the Exchange Act.</w:t>
      </w:r>
    </w:p>
    <w:p>
      <w:pPr>
        <w:spacing w:after="0" w:line="17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As a public company, USCB Financial Holdings, Inc. is also subject to the Sarbanes-Oxley Act of 2002 (“SOA”), which is applicable to all companies, both U.S. and non-U.S., that file periodic reports under the Exchange Act. The stated goals of the SOA were to increase corporate responsibility, to provide for enhanced penalties for accounting and auditing improprieties at publicly traded companies and to protect investors by improving the accuracy and reliability of corporate disclosures pursuant to the securities laws. The SEC is responsible for establishing rules to implement various provisions of the SOA. The SOA includes specific disclosure requirements and corporate governance rules, requires the SEC and securities exchanges to adopt extensive additional disclosure, corporate governance and other related rules and mandates further studies of certain issues by the SEC. The SOA represents significant regulation of the accounting profession and corporate governance practices, such as the relationship between a board of directors and management and between a board of directors and its committees.</w:t>
      </w:r>
    </w:p>
    <w:p>
      <w:pPr>
        <w:spacing w:after="0" w:line="19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As directed by the SOA, USCB Financial Holdings, Inc.’s principal executive officer and principal financial officer are required to certify that the Company’s quarterly and annual reports do not contain any untrue statement of a material fact. The rules adopted by the SEC under the SOA have several requirements, including having these officers certify that: they are responsible for establishing, maintaining and regularly evaluating the effectiveness of our internal control over financial reporting; they have made certain disclosures to USCB Financial Holdings, Inc.’s auditors and the audit committee of the Board of Directors about USCB Financial Holdings, Inc.’s internal control over financial reporting; and they have included information in USCB Financial Holdings, Inc.’s quarterly and annual reports about their evaluation and whether there have been changes in USCB Financial Holdings, Inc.’s internal control over financial reporting or in other factors that could materially affect USCB Financial Holdings, Inc.’s internal control over financial reporting.</w:t>
      </w:r>
    </w:p>
    <w:p>
      <w:pPr>
        <w:spacing w:after="0" w:line="18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In March 2020, the SEC issued a final rule, effective April 27, 2020, under the SOA – Amendments to the Accelerated Filer and Large Accelerated Filer Definitions. As a result of the amendments, certain low revenue and/or low public float filers, while they remained obligated to provide a report by management assessing the effectiveness of their internal control over financial reporting (“ICFR”), were not required to provide an attestation report from their independent auditor assessing the effectiveness of their ICFR. The Company meets the amended definition of an accelerated filer as of January 1, 2025 and would normally be required to provide an attestation report from its independent auditor assessing the effectiveness of its ICFR. However, as long it is an eligible emerging growth company, such auditor attestation requirement will not apply to the Company. However, the Bank remains subject to independent auditor attestation required under FDIC regulations set forth at 12 C.F.R. §363.3(b).</w:t>
      </w:r>
    </w:p>
    <w:p>
      <w:pPr>
        <w:spacing w:after="0" w:line="200" w:lineRule="exact"/>
        <w:rPr>
          <w:sz w:val="20"/>
          <w:szCs w:val="20"/>
          <w:color w:val="auto"/>
        </w:rPr>
      </w:pPr>
    </w:p>
    <w:p>
      <w:pPr>
        <w:spacing w:after="0" w:line="35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website address is www.uscentury.com. Our electronic filings with the FDIC (prior to the bank holding company reorganization) and the SEC (including all Annual Reports on Form 10-K, Quarterly Reports on Form 10-Q, Current Reports on Form 8- 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maintains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 which may also adversely affect our business, results of operations, liquidity and financial condition. If any of these known or unknown risks or uncertainties actually occur, our business, results of operations, liquidity and financial condition could be materially and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and Operations</w:t>
      </w:r>
    </w:p>
    <w:p>
      <w:pPr>
        <w:spacing w:after="0" w:line="225" w:lineRule="exact"/>
        <w:rPr>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business operations and lending activities are concentrated in South Florida, and we are more sensitive to adverse changes in the local economy than our more geographically diversified competitors.</w:t>
      </w:r>
    </w:p>
    <w:p>
      <w:pPr>
        <w:spacing w:after="0" w:line="150"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concentration of real estate loans in a limited market area exposes us to lending risks.</w:t>
      </w:r>
    </w:p>
    <w:p>
      <w:pPr>
        <w:spacing w:after="0" w:line="22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small- to medium-sized businesses to which we lend may have fewer resources to weather adverse business developments, which may impair a borrower's ability to repay a loan.</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Inflationary pressures and rising prices may affect our results of operations and financial condition.</w:t>
      </w:r>
    </w:p>
    <w:p>
      <w:pPr>
        <w:spacing w:after="0" w:line="23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soundness of other financial institutions could adversely affect us.</w:t>
      </w:r>
    </w:p>
    <w:p>
      <w:pPr>
        <w:spacing w:after="0" w:line="22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Insufficient liquidity could impair our ability to fund operations and jeopardize our financial condition, results of operations, growth and prospects.</w:t>
      </w:r>
    </w:p>
    <w:p>
      <w:pPr>
        <w:spacing w:after="0" w:line="150"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72"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lending business is subject to credit risk, which could lead to unexpected losses.</w:t>
      </w:r>
    </w:p>
    <w:p>
      <w:pPr>
        <w:spacing w:after="0" w:line="23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transition from the use of LIBOR may adversely impact the interest rates paid on certain financial instruments.</w:t>
      </w:r>
    </w:p>
    <w:p>
      <w:pPr>
        <w:spacing w:after="0" w:line="240" w:lineRule="exact"/>
        <w:rPr>
          <w:rFonts w:ascii="Arial" w:cs="Arial" w:eastAsia="Arial" w:hAnsi="Arial"/>
          <w:sz w:val="19"/>
          <w:szCs w:val="19"/>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Natural disasters and severe weather events in Florida could have a material adverse impact on our business, financial condition and operations.</w:t>
      </w:r>
    </w:p>
    <w:p>
      <w:pPr>
        <w:spacing w:after="0" w:line="15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business is subject to interest rate risk and variations in interest rates may materially and adversely affect our financial performance.</w:t>
      </w:r>
    </w:p>
    <w:p>
      <w:pPr>
        <w:spacing w:after="0" w:line="14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failure or the perceived risk of a failure to raise the statutory debt limit of the U.S. in the future could have a material adverse effect on our business, financial condition and results of operations.</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allowance for credit losses may not be sufficient to absorb potential losses in our loan portfolio.</w:t>
      </w:r>
    </w:p>
    <w:p>
      <w:pPr>
        <w:spacing w:after="0" w:line="228"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commercial loan portfolio may expose us to increased credit risk.</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imposition of further limits by the bank regulators on commercial real estate lending activities could curtail our growth and adversely affect our earnings.</w:t>
      </w:r>
    </w:p>
    <w:p>
      <w:pPr>
        <w:spacing w:after="0" w:line="150"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SBA lending program depends on our status as a participant in the SBA's Preferred Lenders Program, and we face specific risks associated with originating SBA loans and selling the guaranteed portion thereof.</w:t>
      </w:r>
    </w:p>
    <w:p>
      <w:pPr>
        <w:spacing w:after="0" w:line="152"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SBA may not honor its guarantees if we do not originate loans in compliance with SBA guidelines.</w:t>
      </w:r>
    </w:p>
    <w:p>
      <w:pPr>
        <w:spacing w:after="0" w:line="200" w:lineRule="exact"/>
        <w:rPr>
          <w:sz w:val="20"/>
          <w:szCs w:val="20"/>
          <w:color w:val="auto"/>
        </w:rPr>
      </w:pPr>
    </w:p>
    <w:p>
      <w:pPr>
        <w:spacing w:after="0" w:line="39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Correspondent banking is an important part of our business, which creates increased BSA/AML risk.</w:t>
      </w:r>
    </w:p>
    <w:p>
      <w:pPr>
        <w:spacing w:after="0" w:line="230"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not recover all amounts that are contractually owed to us by our borrowers.</w:t>
      </w:r>
    </w:p>
    <w:p>
      <w:pPr>
        <w:spacing w:after="0" w:line="230" w:lineRule="exact"/>
        <w:rPr>
          <w:rFonts w:ascii="Arial" w:cs="Arial" w:eastAsia="Arial" w:hAnsi="Arial"/>
          <w:sz w:val="20"/>
          <w:szCs w:val="20"/>
          <w:color w:val="auto"/>
        </w:rPr>
      </w:pPr>
    </w:p>
    <w:p>
      <w:pPr>
        <w:ind w:left="720" w:hanging="360"/>
        <w:spacing w:after="0" w:line="280"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Non-performing assets take significant time to resolve and adversely affect our results of operations and financial condition, and could result in further losses in the future.</w:t>
      </w:r>
    </w:p>
    <w:p>
      <w:pPr>
        <w:spacing w:after="0" w:line="152" w:lineRule="exact"/>
        <w:rPr>
          <w:rFonts w:ascii="Arial" w:cs="Arial" w:eastAsia="Arial" w:hAnsi="Arial"/>
          <w:sz w:val="20"/>
          <w:szCs w:val="20"/>
          <w:color w:val="auto"/>
        </w:rPr>
      </w:pPr>
    </w:p>
    <w:p>
      <w:pPr>
        <w:jc w:val="both"/>
        <w:ind w:left="720" w:hanging="360"/>
        <w:spacing w:after="0" w:line="254"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engage in lending secured by real estate and may foreclose on the collateral and own the underlying real estate, subjecting us to the costs and potential risks associated with the ownership of real property and other risks, including exposure to environmental liability, or consumer protection initiatives or changes in state or federal law may substantially raise the cost of foreclosure or prevent us from foreclosing at all.</w:t>
      </w:r>
    </w:p>
    <w:p>
      <w:pPr>
        <w:spacing w:after="0" w:line="176"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are exposed to risk of environmental liability when we take title to property.</w:t>
      </w:r>
    </w:p>
    <w:p>
      <w:pPr>
        <w:spacing w:after="0" w:line="230"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are subject to certain operational risks, including, but not limited to, customer, employee or third-party fraud and data processing system failures and errors.</w:t>
      </w:r>
    </w:p>
    <w:p>
      <w:pPr>
        <w:spacing w:after="0" w:line="148"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face significant operational risks because the nature of the financial services business involves a high volume of transactions.</w:t>
      </w:r>
    </w:p>
    <w:p>
      <w:pPr>
        <w:spacing w:after="0" w:line="150"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have several large depositor relationships, the loss of which could force us to fund our business through more expensive and less stable sources.</w:t>
      </w:r>
    </w:p>
    <w:p>
      <w:pPr>
        <w:spacing w:after="0" w:line="14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securities portfolio performance in difficult market conditions could have adverse effects on our results of operations.</w:t>
      </w:r>
    </w:p>
    <w:p>
      <w:pPr>
        <w:spacing w:after="0" w:line="15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not effectively execute on our expansion strategy, which may adversely affect our ability to maintain our historical growth and earnings trends.</w:t>
      </w:r>
    </w:p>
    <w:p>
      <w:pPr>
        <w:spacing w:after="0" w:line="148" w:lineRule="exact"/>
        <w:rPr>
          <w:rFonts w:ascii="Arial" w:cs="Arial" w:eastAsia="Arial" w:hAnsi="Arial"/>
          <w:sz w:val="20"/>
          <w:szCs w:val="20"/>
          <w:color w:val="auto"/>
        </w:rPr>
      </w:pPr>
    </w:p>
    <w:p>
      <w:pPr>
        <w:ind w:left="720" w:hanging="361"/>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New lines of business, products, product enhancements or services may subject us to additional risk.</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business needs and future growth may require us to raise additional capital and that capital may not be available on terms acceptable to us or may be dilutive to existing shareholders.</w:t>
      </w:r>
    </w:p>
    <w:p>
      <w:pPr>
        <w:spacing w:after="0" w:line="148"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71"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loss of one or more of our key personnel, or our failure to attract and retain other highly qualified personnel in the future, could harm our business.</w:t>
      </w:r>
    </w:p>
    <w:p>
      <w:pPr>
        <w:spacing w:after="0" w:line="152" w:lineRule="exact"/>
        <w:rPr>
          <w:rFonts w:ascii="Arial" w:cs="Arial" w:eastAsia="Arial" w:hAnsi="Arial"/>
          <w:sz w:val="20"/>
          <w:szCs w:val="20"/>
          <w:color w:val="auto"/>
        </w:rPr>
      </w:pPr>
    </w:p>
    <w:p>
      <w:pPr>
        <w:ind w:left="720" w:hanging="361"/>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Damage to our reputation could significantly harm our businesses.</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face strong competition from financial services companies and other companies that offer banking services, which could materially and adversely affect our business.</w:t>
      </w:r>
    </w:p>
    <w:p>
      <w:pPr>
        <w:spacing w:after="0" w:line="148" w:lineRule="exact"/>
        <w:rPr>
          <w:rFonts w:ascii="Arial" w:cs="Arial" w:eastAsia="Arial" w:hAnsi="Arial"/>
          <w:sz w:val="20"/>
          <w:szCs w:val="20"/>
          <w:color w:val="auto"/>
        </w:rPr>
      </w:pPr>
    </w:p>
    <w:p>
      <w:pPr>
        <w:ind w:left="720" w:hanging="361"/>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must respond to rapid technological changes to remain competitive.</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continually encounter technological change, and we may have fewer resources than many of our competitors to invest in technological improvements.</w:t>
      </w:r>
    </w:p>
    <w:p>
      <w:pPr>
        <w:spacing w:after="0" w:line="148" w:lineRule="exact"/>
        <w:rPr>
          <w:rFonts w:ascii="Arial" w:cs="Arial" w:eastAsia="Arial" w:hAnsi="Arial"/>
          <w:sz w:val="20"/>
          <w:szCs w:val="20"/>
          <w:color w:val="auto"/>
        </w:rPr>
      </w:pPr>
    </w:p>
    <w:p>
      <w:pPr>
        <w:ind w:left="720" w:right="280" w:hanging="361"/>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current and future uses of Artificial Intelligence (AI) and other emerging technologies may create additional risks.</w:t>
      </w:r>
    </w:p>
    <w:p>
      <w:pPr>
        <w:spacing w:after="0" w:line="150"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69"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30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59" w:lineRule="exact"/>
        <w:rPr>
          <w:sz w:val="20"/>
          <w:szCs w:val="20"/>
          <w:color w:val="auto"/>
        </w:rPr>
      </w:pPr>
    </w:p>
    <w:p>
      <w:pPr>
        <w:jc w:val="both"/>
        <w:ind w:left="720" w:hanging="360"/>
        <w:spacing w:after="0" w:line="310"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26" w:lineRule="exact"/>
        <w:rPr>
          <w:rFonts w:ascii="Arial" w:cs="Arial" w:eastAsia="Arial" w:hAnsi="Arial"/>
          <w:sz w:val="19"/>
          <w:szCs w:val="19"/>
          <w:color w:val="auto"/>
        </w:rPr>
      </w:pPr>
    </w:p>
    <w:p>
      <w:pPr>
        <w:ind w:left="720" w:hanging="360"/>
        <w:spacing w:after="0" w:line="28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Certain of our directors may have conflicts of interest in determining whether to present business opportunities to us or another entity with which they are, or may become, affiliated.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Tax, Accounting and Regulatory Compliance</w:t>
      </w:r>
    </w:p>
    <w:p>
      <w:pPr>
        <w:spacing w:after="0" w:line="227" w:lineRule="exact"/>
        <w:rPr>
          <w:sz w:val="20"/>
          <w:szCs w:val="20"/>
          <w:color w:val="auto"/>
        </w:rPr>
      </w:pPr>
    </w:p>
    <w:p>
      <w:pPr>
        <w:ind w:left="720" w:hanging="360"/>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ability to recognize the benefits of our deferred tax assets is dependent on future cash flows and taxable income and may be materially impaired upon significant changes in ownership of our common stock.</w:t>
      </w:r>
    </w:p>
    <w:p>
      <w:pPr>
        <w:spacing w:after="0" w:line="148"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accuracy of our financial statements and related disclosures could be affected if the judgments, assumptions or estimates used in our critical accounting policies are inaccurate.</w:t>
      </w:r>
    </w:p>
    <w:p>
      <w:pPr>
        <w:spacing w:after="0" w:line="150" w:lineRule="exact"/>
        <w:rPr>
          <w:rFonts w:ascii="Arial" w:cs="Arial" w:eastAsia="Arial" w:hAnsi="Arial"/>
          <w:sz w:val="20"/>
          <w:szCs w:val="20"/>
          <w:color w:val="auto"/>
        </w:rPr>
      </w:pPr>
    </w:p>
    <w:p>
      <w:pPr>
        <w:jc w:val="both"/>
        <w:ind w:left="720" w:hanging="361"/>
        <w:spacing w:after="0" w:line="250"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82"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72"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face a risk of noncompliance with the Bank Secrecy Act and other anti-money laundering statutes and regulations and corresponding enforcement proceedings.</w:t>
      </w:r>
    </w:p>
    <w:p>
      <w:pPr>
        <w:spacing w:after="0" w:line="148"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71"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are subject to capital adequacy requirements and may become subject to more stringent capital requirements, which could adversely affect our financial condition and operations.</w:t>
      </w:r>
    </w:p>
    <w:p>
      <w:pPr>
        <w:spacing w:after="0" w:line="148"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69"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71"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Climate change and related legislative and regulatory initiatives may materially affect our business and results of operations.</w:t>
      </w:r>
    </w:p>
    <w:p>
      <w:pPr>
        <w:spacing w:after="0" w:line="148"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Class A Common Stock</w:t>
      </w:r>
    </w:p>
    <w:p>
      <w:pPr>
        <w:spacing w:after="0" w:line="225"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ability to pay dividends is subject to restrictions.</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market price and trading volume of our Class A common stock may be volatile, which could result in rapid and substantial losses for our shareholders.</w:t>
      </w:r>
    </w:p>
    <w:p>
      <w:pPr>
        <w:spacing w:after="0" w:line="14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There are significant restrictions in our Articles of Incorporation that restrict the ability to sell our capital stock to shareholders that would own 4.95% or more of our stock, excluding our Significant Investors.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3" w:name="page24"/>
    <w:bookmarkEnd w:id="2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left="720" w:hanging="360"/>
        <w:spacing w:after="0" w:line="26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71"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72"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have existing investors that own a significant amount of our common stock whose individual interests may differ from yours.</w:t>
      </w:r>
    </w:p>
    <w:p>
      <w:pPr>
        <w:spacing w:after="0" w:line="148"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Provisions in our governing documents and Florida law may have an anti-takeover effect and there are substantial regulatory limitations on changes of control of the Company.</w:t>
      </w:r>
    </w:p>
    <w:p>
      <w:pPr>
        <w:spacing w:after="0" w:line="147"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Risks Related to our Business and Operations</w:t>
      </w:r>
    </w:p>
    <w:p>
      <w:pPr>
        <w:spacing w:after="0" w:line="23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3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80"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Additionally, the COVID-19 pandemic accelerated the adoption of remote work options, potentially influencing the long-term performance of office properties within our commercial real estate portfolio. If we are required to liquidate our real estate collateral securing a loan during a period of reduced real estate values to satisfy the debt, our earnings and capital could be adversely affected. Moreover, since a large portion of our loan portfolio is secured by properties located in South Florida, the occurrence of a natural disaster, such as a hurricane, or a man-made disaster could result in a decline in loan originations, a decline in the value or the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9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80"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In addition, there are continuing concerns related to, among other things, the increasing level of U.S. government debt and fiscal actions that may be taken to address that debt, price fluctuations of key natural resources, inflation, the potential resurgence of economic and political tensions with China, the continuing war in Ukraine, the conflict in Gaza and the level of oil and natural gas prices due to, among other things, Russian supply disruptions resulting from the ongoing Ukrainian conflict,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concentration of real estate loans in a limited market area exposes us to lending risks.</w:t>
      </w:r>
    </w:p>
    <w:p>
      <w:pPr>
        <w:spacing w:after="0" w:line="227"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At December 31, 2024, approximately $ 1,426 million, or 72.6%, of our total loan portfolio, was secured by real estate, in particular commercial real estate, most of which is located in our primary lending market area of the Miami metropolitan statistical area. Future declines in the real estate values in our primary lending market and surrounding markets could significantly impair the value of the particular real estate collateral securing our loans and our ability to sell the collateral upon foreclosure for an amount necessary to satisfy the borrower’s obligations to us. This could require increasing our allowance for credit losses to address the decrease in the value of the real estate securing our loans, which could have a material adverse effect on our business, financial condition, results of operations, and growth prospects.</w:t>
      </w:r>
    </w:p>
    <w:p>
      <w:pPr>
        <w:spacing w:after="0" w:line="18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small- to medium-sized businesses to which we lend may have fewer resources to weather adverse business developments, which may impair a borrower's ability to repay a loan.</w:t>
      </w:r>
    </w:p>
    <w:p>
      <w:pPr>
        <w:spacing w:after="0" w:line="13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We target our business development and marketing strategies primarily to serve the banking and financial services needs of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adversely affected, which could have a material adverse effect on our business, financial condition and results of operations.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Inflationary pressures and rising prices may affect our results of operations and financial condition.</w:t>
      </w:r>
    </w:p>
    <w:p>
      <w:pPr>
        <w:spacing w:after="0" w:line="22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inflationary outlook in the United States remains uncertain. As of December 31, 2024, the consumer price index was 2.9% year-over-year. While this is a significant reduction to the rate of inflation experienced in 2022 and 2023, it is still above the FRB’s targeted rate. The risks to our business from inflation depend on the durability of the inflationary pressures in our markets. Although the FRB has reduced the federal funds rate three times in 2024, no assurance can be given that it will continue to do so. At the end of January 2025, the FRB determined not to reduce the federal funds rate. The resurgence of elevated levels of inflation could lead the FRB to cease reducing its benchmark rate or potentially starting to increase it again which could, in turn, increase the borrowings costs of our customers, making it more difficult for them to repay their loans or other obligations. Elevated interest rates may be needed to tame inflationary price pressures, which could also push down asset prices, including collateral values, and weaken economic activity.</w:t>
      </w:r>
    </w:p>
    <w:p>
      <w:pPr>
        <w:spacing w:after="0" w:line="18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As inflation increases and market interest rates rise the value of our investment securities, particularly those with longer maturities, decreases, although this effect can be less pronounced for floating-rate instruments. In addition, inflation generally increases the cost of goods and services we use in our business operations, such as electricity and other utilities, which increases our noninterest expenses. Also, a prolonged period of inflation could cause wages and other of our costs to increase, which could adversely affect our results of operations and financial condition. Furthermore, our customers are also affected by inflation and the rising costs of goods and services used in their households and businesses, which could have a negative impact on their ability to repay their loans with us. In addition, SMBs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soundness of other financial institutions could adversely affect us.</w:t>
      </w:r>
    </w:p>
    <w:p>
      <w:pPr>
        <w:spacing w:after="0" w:line="22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Our ability to engage in routine funding and other transactions could be adversely affected by the actions and commercial soundness of other financial institutions. Financial services companies are interrelated as a result of trading, clearing, counterparty or other relationships. We have exposure to different industries and counterparties, and through transactions with counterparties in the financial services industry, including brokers and dealers, commercial banks, investment banks, and other institutional clients. Defaults by, or even rumors or questions about, one or more financial institutions or market utilities, or the financial services industry generally, may lead to market-wide liquidity problems, losses of depositor, creditor and counterparty confidence and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32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6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Insufficient liquidity could impair our ability to fund operations and jeopardize our financial condition, results of operations, growth and prospects.</w:t>
      </w:r>
    </w:p>
    <w:p>
      <w:pPr>
        <w:spacing w:after="0" w:line="135"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59"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20"/>
          <w:szCs w:val="20"/>
          <w:color w:val="auto"/>
        </w:rPr>
        <w:t>There have been, and may be in the future, changes with respect to U.S. and international trade policies, legislation, treaties and tariffs, embargoes, sanctions and other trade restrictions. In early February, the new U.S. administration imposed through executive orders a new tariff policy, imposing a 25% duty on merchandise imports from Mexico and Canada alongside a 10% tariff on Chinese imports. The executive orders included an exemption for Canadian energy resources, subject to a reduced 10% tariff. The tariffs were set to take effect on February 4, 2025, but following discussions between the United States and each of Canada and Mexico, the U.S. administration agreed to a pause of at least 30 days in the implementation of the duties. The tariffs on China went into effect as scheduled on February 4, 2025. This led to 10% to 15% retaliatory tariffs on U.S. energy and farm machinery imports being imposed by China on February 9, 2025. Subsequently, the U.S. administration announced the United States would impose a 25% tariff on all imports of steel and aluminum, coming into force in mid-March 2025. In addition, an additional 10% tariff was announced to be imposed on China in early March 2025.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our products, or the U.S. economy or certain sectors thereof and, thus, could adversely impact our business, financial condition and results of operations. As a result of Russia's invasion of Ukraine, the U.S. imposed, and may continue to impose material additional, financial and economic sanctions and export controls against certain Russian organizations and/or individuals, with similar actions either implemented or planned by the European Union ("EU") and the United Kingdom (“UK”) and other jurisdictions. The U.S., the UK, and the EU have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 environment, including the continuing war in Ukraine and the continued heightened tensions between Russia and the U.S., NATO, the EU and the UK, as well as the conflict in Gaza, have a negative impact on us or on the markets in which we operate, our business, results of operations and financial condition could be materially and adversely impacted.</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lending business is subject to credit risk, which could lead to unexpected losses.</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w:t>
      </w:r>
    </w:p>
    <w:p>
      <w:pPr>
        <w:spacing w:after="0" w:line="32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 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73"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20"/>
          <w:szCs w:val="20"/>
          <w:b w:val="1"/>
          <w:bCs w:val="1"/>
          <w:color w:val="auto"/>
        </w:rPr>
        <w:t>The transition from the use of LIBOR may adversely impact the interest rates paid on certain financial instruments.</w:t>
      </w:r>
    </w:p>
    <w:p>
      <w:pPr>
        <w:spacing w:after="0" w:line="124"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LIBOR (the London InterBank Offered Rate) was used as a reference rate for certain of the Corporation’s adjustable-rate loans and bonds. In 2017, the U.K. Financial Conduct Authority, which regulates LIBOR, announced that the publication of LIBOR would not be guaranteed beyond 2021. In December 2020, the administrator of LIBOR announced its intention to</w:t>
      </w:r>
    </w:p>
    <w:p>
      <w:pPr>
        <w:spacing w:after="0" w:line="2" w:lineRule="exact"/>
        <w:rPr>
          <w:sz w:val="20"/>
          <w:szCs w:val="20"/>
          <w:color w:val="auto"/>
        </w:rPr>
      </w:pPr>
    </w:p>
    <w:p>
      <w:pPr>
        <w:jc w:val="both"/>
        <w:spacing w:after="0" w:line="244" w:lineRule="auto"/>
        <w:tabs>
          <w:tab w:leader="none" w:pos="247" w:val="left"/>
        </w:tabs>
        <w:numPr>
          <w:ilvl w:val="0"/>
          <w:numId w:val="15"/>
        </w:numPr>
        <w:rPr>
          <w:rFonts w:ascii="Arial" w:cs="Arial" w:eastAsia="Arial" w:hAnsi="Arial"/>
          <w:sz w:val="20"/>
          <w:szCs w:val="20"/>
          <w:color w:val="auto"/>
        </w:rPr>
      </w:pPr>
      <w:r>
        <w:rPr>
          <w:rFonts w:ascii="Arial" w:cs="Arial" w:eastAsia="Arial" w:hAnsi="Arial"/>
          <w:sz w:val="20"/>
          <w:szCs w:val="20"/>
          <w:color w:val="auto"/>
        </w:rPr>
        <w:t>cease the publication of the one-week and two-month U.S. dollar LIBOR after December 31, 2021, and (ii) cease the publication of all other tenors of U.S. dollar LIBOR (one, three, six and 12 month LIBOR) after June 30, 2023. The remaining synthetic LIBOR was published for the last time as of September 30, 2024. Synthetic LIBOR was a temporary measure to allow entities to transition to alternative risk-free reference rates.</w:t>
      </w:r>
    </w:p>
    <w:p>
      <w:pPr>
        <w:spacing w:after="0" w:line="18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There are ongoing efforts to establish an alternative reference rate. The Federal Reserve Board, in conjunction with the Alternative Reference Rates Committee, a steering committee comprised of large U.S. financial institutions, supports replacing LIBOR with SOFR (Secured Overnight Financing Rate), a new index calculated by short-term repurchase agreements backed by Treasury securities. The Bank adopted SOFR as its preferred benchmark as an alternative to LIBOR for use in new contracts in 2023.</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While the Adjustable Interest Rate (LIBOR) Act and implementing regulations will help to transition legacy LIBOR contracts to a new benchmark rate, the substitution of SOFR for LIBOR may have potentially significant economic impacts on parties to affected contracts. SOFR is different from LIBOR in that it is a retrospective-looking secured rate rather than a forward-looking unsecured rate. Additionally, while SOFR appears to be the preferred replacement rate for LIBOR, it is not possible to predict whether SOFR will ultimately prevail in the market as the definitive replacement for LIBOR. Uncertainty as to the nature of alternative reference rates, and as to potential changes or other reforms related to the transition from LIBOR, may adversely affect the value of LIBOR-based financial arrangements of the Company.</w:t>
      </w:r>
    </w:p>
    <w:p>
      <w:pPr>
        <w:spacing w:after="0" w:line="18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Natural disasters and severe weather events in Florida could have a material adverse impact on our business, financial condition and operations.</w:t>
      </w:r>
    </w:p>
    <w:p>
      <w:pPr>
        <w:spacing w:after="0" w:line="1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8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business is subject to interest rate risk, and variations in interest rates may materially and adversely affect our financial performance.</w:t>
      </w:r>
    </w:p>
    <w:p>
      <w:pPr>
        <w:spacing w:after="0" w:line="1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Changes in the interest rate environment may reduce our profits. It is expected that our primary source of income will continue to be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 -earning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184"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During 2022 and 2023, the Federal Open Market Committee (the “FOMC”) increased certain benchmark interest rates to reduce the rate of inflation to the extent necessary to reduce inflation to the rate that the FOMC believes is appropriate. All of these increases were expressly made in response to inflationary pressures. In 2024, the FOMC decreased such benchmark rates three times. However, there can be no assurances as to any future FOMC action, including whether it continues to decrease the federal funds rate or implements increases. In late January 2025, the FOMC determined to not change the federal funds rate at 4.25% to 4.5%.</w:t>
      </w:r>
    </w:p>
    <w:p>
      <w:pPr>
        <w:spacing w:after="0" w:line="185"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19"/>
          <w:szCs w:val="19"/>
          <w:color w:val="auto"/>
        </w:rPr>
        <w:t>While an increase in interest rates may increase our weighted average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Due to competitive pressures in 2023, we increased the rates paid on our interest-bearing deposits such that our weighted average cost of deposits increased from 0.62% for 2022 to 3.04% for 2023. However, in 2024, in light of the FOMC’s actions to decrease the federal funds rate three times, we decreased the rates paid on our interest-bearing deposits. As a result, while the overall funds increased, the cost of it increased at a lesser pace when compared to the increase in cost of deposits from 2022 to 2023. Finally, we cannot provide any assurances that we can maintain our current levels of noninterest-bearing deposits as customers may seek higher-yielding products due to the increased interest rates being paid on deposits currently, as compared to 2023 and 2022.</w:t>
      </w:r>
    </w:p>
    <w:p>
      <w:pPr>
        <w:spacing w:after="0" w:line="17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Accordingly, changes in levels of interest rates could materially and adversely affect our net interest margin, asset quality, loan origination volume, average loan portfolio balance, liquidity, and overall profitability.</w:t>
      </w:r>
    </w:p>
    <w:p>
      <w:pPr>
        <w:spacing w:after="0" w:line="155"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A failure or the perceived risk of a failure to raise the statutory debt limit of the U.S. in the future could have a material adverse effect on our business, financial condition and results of operations</w:t>
      </w:r>
      <w:r>
        <w:rPr>
          <w:rFonts w:ascii="Arial" w:cs="Arial" w:eastAsia="Arial" w:hAnsi="Arial"/>
          <w:sz w:val="20"/>
          <w:szCs w:val="20"/>
          <w:b w:val="1"/>
          <w:bCs w:val="1"/>
          <w:color w:val="auto"/>
        </w:rPr>
        <w:t>.</w:t>
      </w:r>
    </w:p>
    <w:p>
      <w:pPr>
        <w:spacing w:after="0" w:line="13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Ongoing U.S. debt ceiling and budget deficit concerns have increased the possibility of additional credit-rating downgrades and economic slowdowns, or a recession in the United States. Although U.S. lawmakers have passed legislation in the past to raise the federal debt ceiling on multiple occasions, including the most recent increase in June 2023, ratings agencies have lowered or threatened to lower the long-term sovereign credit rating on the United States. On January 1, 2025, the extension of the debt ceiling limit effected in June 2023 expired. The debt ceiling was reinstated on January 2, 2025, at $36.1 trillion, a figure reflecting the total federal debt accumulated by that date. In late January 2025, the U.S. Treasury began employing various measures, such as suspending investments in federal retirement funds and halting the issuance of certain securities, to continue financing government operations. There are proposals to increase the debt ceiling limit by $4.0 trillion, subject to agreements on other matters including extending $4.5 trillion in tax cuts from the 2017 Tax Cuts and Jobs Act (set to expire in 2025) and implementing $2 trillion in mandatory spending reductions over a decade. The impact of this or any further downgrades to the U.S. government’s sovereign credit rating or its perceived creditworthiness could adversely affect the U.S. and global financial markets and economic conditions. These developments could cause interest rates and borrowing costs to rise (unless the Federal Reserve re-initiates quantitative easing),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allowance for credit losses may not be sufficient to absorb potential losses in our loan portfolio.</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We maintain an allowance for credit losses that represents management's judgment of probable losses and risks inherent in our loan portfolio. The level of the allowance reflects management's continuing evaluation of general economic</w:t>
      </w:r>
    </w:p>
    <w:p>
      <w:pPr>
        <w:spacing w:after="0" w:line="28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76"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will be reflected in the income statement in the period of origination or acquisition of a loan, with changes in expected credit losses due to further credit deterioration or improvement reflected in the periods in which the expectation changes. As a result of the initial implementation of CECL, we incurred as of January 1, 2023 a $1.1 million cumulative effect of the adoption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commercial loan portfolio may expose us to increased credit risk.</w:t>
      </w:r>
    </w:p>
    <w:p>
      <w:pPr>
        <w:spacing w:after="0" w:line="22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 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8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9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imposition of further limits by the bank regulators on commercial real estate lending activities could curtail our growth and adversely affect our earnings.</w:t>
      </w:r>
    </w:p>
    <w:p>
      <w:pPr>
        <w:spacing w:after="0" w:line="13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w:t>
      </w:r>
    </w:p>
    <w:p>
      <w:pPr>
        <w:spacing w:after="0" w:line="31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months. At December 31, 2024, our total commercial investor real estate loans, including loans secured by apartment buildings, commercial real estate, and construction and land loans represented 366% of the Bank’s total risk-based capital and the growth in the commercial real estate portfolio exceeded 50% over the preceding 36 months.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the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19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5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8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We generally sell the guaranteed portion of our SBA 7(a) loans in the secondary market. These sales have resulted in both premium income for us at the time of sale and created a stream of future servicing income. There can be no assurance 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 guaranteed portion of the loans, and if a customer defaults on the non-guaranteed portion of a loan, we share any loss and recovery related to the loan pro-rata with the SBA.</w:t>
      </w:r>
    </w:p>
    <w:p>
      <w:pPr>
        <w:spacing w:after="0" w:line="169"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SBA may not honor its guarantees if we do not originate loans in compliance with SBA guidelines</w:t>
      </w:r>
      <w:r>
        <w:rPr>
          <w:rFonts w:ascii="Arial" w:cs="Arial" w:eastAsia="Arial" w:hAnsi="Arial"/>
          <w:sz w:val="20"/>
          <w:szCs w:val="20"/>
          <w:color w:val="auto"/>
        </w:rPr>
        <w:t>.</w:t>
      </w:r>
    </w:p>
    <w:p>
      <w:pPr>
        <w:spacing w:after="0" w:line="23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SBA lending programs typically guarantee 75.0%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Correspondent banking is an important part of our business, which creates increased BSA/AML risk.</w:t>
      </w:r>
    </w:p>
    <w:p>
      <w:pPr>
        <w:spacing w:after="0" w:line="22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greater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Bank Secrecy Act of 1970, as amended (“BSA”) and other anti-money laundering (“AML”) rules and regulations due to our correspondent banking relationships with foreign financial institutions. Additionally, international private banking places additional pressure on our policies, procedures and systems for complying with the BSA, and AML statutes and regulations as well as the recently enacted CTA.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including the imposition of civil money penalties, formal agreements and cease and desist orders. Furthermore, failure to meet regulatory requirements could require us to incur additional significant costs in order to bring our BSA/AML processes and procedures into compliance, negatively impact our reputation, and have a material adverse effect on our business, financial condition and results of operations.</w:t>
      </w:r>
    </w:p>
    <w:p>
      <w:pPr>
        <w:spacing w:after="0" w:line="194"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recent years, sanctions that the regulators have imposed on banks that have not complied with all BSA and AML requirements have been especially severe. In order to comply with regulations, guidelines and examination procedures in this area, we have dedicated significant resources to our BSA/AML process and procedures. If our policies, procedures and systems are deemed deficient, we could be subject to liability, including fines and regulatory actions such as additional restrictions on our ability to pay dividends and the necessity to obtain regulatory approvals to proceed with certain aspects of our business plan, such as acquisitions.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not recover all amounts that are contractually owed to us by our borrowers.</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14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9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Some of our loans are secured by liens on specified collateral of the borrowers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Non- performing assets take significant time to resolve and adversely affect our results of operations and financial condition, and could result in further losses in the future.</w:t>
      </w:r>
    </w:p>
    <w:p>
      <w:pPr>
        <w:spacing w:after="0" w:line="1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In addition, there are legal fees associated with the resolution of problem assets as well as carrying costs such as taxes, insurance, and maintenance related to OREO.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9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i w:val="1"/>
          <w:iCs w:val="1"/>
          <w:color w:val="auto"/>
        </w:rPr>
        <w:t>We engage in lending secured by real estate and may foreclose on the collateral and own the underlying real estate, subjecting us to the costs and potential risks associated with the ownership of real property, including exposure to environmental liability, or consumer protection initiatives or changes in state or federal law may substantially raise the cost of foreclosure or prevent us from foreclosing at all.</w:t>
      </w:r>
    </w:p>
    <w:p>
      <w:pPr>
        <w:spacing w:after="0" w:line="16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87"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 are ultimately enacted that significantly raise the cost of residential foreclosures or raise outright barriers, they could have an adverse effect on our business, financial condition, and 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are exposed to risk of environmental liability when we take title to property.</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affected.</w:t>
      </w:r>
    </w:p>
    <w:p>
      <w:pPr>
        <w:spacing w:after="0" w:line="177"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are subject to certain operational risks, including, but not limited to, customer, employee or third-party fraud and data processing system failures and errors.</w:t>
      </w:r>
    </w:p>
    <w:p>
      <w:pPr>
        <w:spacing w:after="0" w:line="1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6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also rely on the integrity and security of a variety of third party processors, payment, clearing and settlement systems, as well as the various participants involved in these systems, many of which have no direct relationship with us. Failure by these participants or their systems to protect our customers' transaction data may put us at risk for possible losses due to fraud or operational disruption. At the date of this Annual Report Form 10-K, there is no knowledge or indication that customer sensitive information was compromised as a result of third parties system vulnerabilities, but management continues to monitor developments and vendor communications.</w:t>
      </w:r>
    </w:p>
    <w:p>
      <w:pPr>
        <w:spacing w:after="0" w:line="18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85"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20"/>
          <w:szCs w:val="20"/>
          <w:b w:val="1"/>
          <w:bCs w:val="1"/>
          <w:color w:val="auto"/>
        </w:rPr>
        <w:t>We face significant operational risks because the nature of the financial services business involves a high volume of transactions</w:t>
      </w:r>
      <w:r>
        <w:rPr>
          <w:rFonts w:ascii="Arial" w:cs="Arial" w:eastAsia="Arial" w:hAnsi="Arial"/>
          <w:sz w:val="20"/>
          <w:szCs w:val="20"/>
          <w:i w:val="1"/>
          <w:iCs w:val="1"/>
          <w:color w:val="auto"/>
        </w:rPr>
        <w:t>.</w:t>
      </w:r>
    </w:p>
    <w:p>
      <w:pPr>
        <w:spacing w:after="0" w:line="12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operate in diverse markets and rely on the ability of our employees and systems to process a high number of transactions. Operational risk is the risk of loss resulting from our operations, including but not limited to, the risk of fraud by employees or persons outside the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potential legal actions that could arise as a result of operational deficiencies or as a result of non-compliance with applicable regulatory standards, adverse business decisions or their implementation, or customer attrition due to potential adverse publicity. In the event of a breakdown in our internal control systems, improper operation of systems or improper employee actions, we could suffer financial loss, face regulatory action, and/or suffer damage to our reputation.</w:t>
      </w:r>
    </w:p>
    <w:p>
      <w:pPr>
        <w:spacing w:after="0" w:line="18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have several large depositor relationships, the loss of which could force us to fund our business through more expensive and less stable sources.</w:t>
      </w:r>
    </w:p>
    <w:p>
      <w:pPr>
        <w:spacing w:after="0" w:line="13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Withdrawals of deposits by any one of our largest depositors could force us to rely more heavily on more expensive and less stable funding sources. Consequently, the occurrence of such event could have a material adverse effect on our business, financial condition and results of operations. At December 31, 2024, our top 10 depositors held 16.7% of our total portfolio. As of December 31, 2024, 45% of our deposits are estimated to be FDIC-insured. At such date, our public funds are 5% of total deposits and are partially collateralized. The estimated average account size of our deposit portfolio is $105 thousand. In addition, the Bank was considered a “well capitalized” institution as of December 31, 2024 and 2023. Consequently, the occurrence of such event could have a material adverse effect on our business, financial condition and results of operations.</w:t>
      </w:r>
    </w:p>
    <w:p>
      <w:pPr>
        <w:spacing w:after="0" w:line="19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securities portfolio performance in difficult market conditions could have adverse effects on our results of operations</w:t>
      </w:r>
      <w:r>
        <w:rPr>
          <w:rFonts w:ascii="Arial" w:cs="Arial" w:eastAsia="Arial" w:hAnsi="Arial"/>
          <w:sz w:val="20"/>
          <w:szCs w:val="20"/>
          <w:b w:val="1"/>
          <w:bCs w:val="1"/>
          <w:color w:val="auto"/>
        </w:rPr>
        <w:t>.</w:t>
      </w:r>
    </w:p>
    <w:p>
      <w:pPr>
        <w:spacing w:after="0" w:line="13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Unrealized losses on investment securities result from changes in credit spreads and liquidity issues in the marketplace, along with changes in the credit profile of individual securities issuers. Under GAAP, we are required to review our investment portfolio periodically for the presence of credit losses of our securities, taking into consideration current and future market conditions, the extent and nature of changes in fair value, issuer rating changes and trends, volatility of earnings, current analysts’ evaluations, our ability and intent to hold investments until a recovery of fair value, as well as other factors. Adverse developments with respect to one or more of the foregoing factors may require us to deem particular securities to be impaired, with the credit-related portion of the reduction in the value recognized as a charge to our earnings through an allowance. Subsequent valuations, in light of factors prevailing at that time, may result in significant changes in</w:t>
      </w:r>
    </w:p>
    <w:p>
      <w:pPr>
        <w:spacing w:after="0" w:line="31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55"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may not effectively execute on our expansion strategy, which may adversely affect our ability to maintain our historical growth and earnings trends.</w:t>
      </w:r>
    </w:p>
    <w:p>
      <w:pPr>
        <w:spacing w:after="0" w:line="133"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 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New lines of business, products, product enhancements or services may subject us to additional risk.</w:t>
      </w:r>
    </w:p>
    <w:p>
      <w:pPr>
        <w:spacing w:after="0" w:line="22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9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1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We believe that we have sufficient capital to meet our capital needs for our current growth plans. However, we expect that we would need to raise additional capital, in the form of debt or equity securities, in the future to have sufficient capital resources to meet our longer- term growth plans, and/or if the quality of our assets or earnings were to deteriorate significantly. In addition, we are required by federal regulatory authorities to maintain adequate levels of capital to support our operations.</w:t>
      </w:r>
    </w:p>
    <w:p>
      <w:pPr>
        <w:spacing w:after="0" w:line="17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9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Federal law requires that a holding company act as a source of financial and managerial strength to its subsidiary bank and to commit resources to support such subsidiary bank. Under the “source of strength” doctrine, the Federal Reserve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w:t>
      </w:r>
    </w:p>
    <w:p>
      <w:pPr>
        <w:spacing w:after="0" w:line="30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4" w:name="page35"/>
    <w:bookmarkEnd w:id="34"/>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 required to attempt to borrow the funds or raise capital.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or otherwise raise capital at a time when it is needed. 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9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5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As part of our growth strategy, we may pursue mergers and acquisitions of banks and non-bank financial services companies within or outside our principal market areas that fit within the mission-driven values of our franchise and that we 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Mergers and acquisitions involve numerous risks, any of which could harm our business, including:</w:t>
      </w:r>
    </w:p>
    <w:p>
      <w:pPr>
        <w:spacing w:after="0" w:line="231" w:lineRule="exact"/>
        <w:rPr>
          <w:sz w:val="20"/>
          <w:szCs w:val="20"/>
          <w:color w:val="auto"/>
        </w:rPr>
      </w:pPr>
    </w:p>
    <w:p>
      <w:pPr>
        <w:ind w:left="720" w:hanging="360"/>
        <w:spacing w:after="0" w:line="254"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possibility that expected benefits may not materialize in the time frame expected or at all, or may be more costly to achieve, or that the acquired business will not perform to our expectations;</w:t>
      </w:r>
    </w:p>
    <w:p>
      <w:pPr>
        <w:jc w:val="both"/>
        <w:ind w:left="720" w:hanging="360"/>
        <w:spacing w:after="0" w:line="239"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spacing w:after="0" w:line="1" w:lineRule="exact"/>
        <w:rPr>
          <w:rFonts w:ascii="Arial" w:cs="Arial" w:eastAsia="Arial" w:hAnsi="Arial"/>
          <w:sz w:val="20"/>
          <w:szCs w:val="20"/>
          <w:color w:val="auto"/>
        </w:rPr>
      </w:pPr>
    </w:p>
    <w:p>
      <w:pPr>
        <w:jc w:val="both"/>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difficulties in supporting and transitioning customers of the target and disruption of our ongoing banking business;</w:t>
      </w:r>
    </w:p>
    <w:p>
      <w:pPr>
        <w:ind w:left="720" w:hanging="360"/>
        <w:spacing w:after="0" w:line="239"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price we pay or other resources that we devote may exceed the value we realize, or the value we could have realized if we had allocated the purchase consideration or other resources to another opportunity;</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entering new markets or areas in which we have limited or no experience;</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possibility that our culture is disrupted as a result of an acquisition;</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potential loss of key personnel and customers from either our business or the target’s business;</w:t>
      </w:r>
    </w:p>
    <w:p>
      <w:pPr>
        <w:ind w:left="720" w:hanging="360"/>
        <w:spacing w:after="0" w:line="238"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assumption of unanticipated problems, claims or other liabilities of the acquired business;</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inability to realize expected synergies or returns on investment;</w:t>
      </w:r>
    </w:p>
    <w:p>
      <w:pPr>
        <w:jc w:val="both"/>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possibility that the acquisition may not be timely completed, if at all;</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need to raise capital; and</w:t>
      </w:r>
    </w:p>
    <w:p>
      <w:pPr>
        <w:ind w:left="720" w:hanging="36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inability to generate sufficient revenue to offset acquisition costs.</w:t>
      </w:r>
    </w:p>
    <w:p>
      <w:pPr>
        <w:spacing w:after="0" w:line="20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Any acquisition activities we engage in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8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As a result, we may not achieve the anticipated benefits of any such merger or acquisition, and we may incur costs in excess of what we anticipate. Our failure to successfully evaluate and execute mergers, acquisitions or investments or</w:t>
      </w: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otherwise adequately address and manage the risks associated with such transactions could have a material adverse effect on our business, results of operations and financial condition, including short-term and long-term liquidity.</w:t>
      </w:r>
    </w:p>
    <w:p>
      <w:pPr>
        <w:spacing w:after="0" w:line="155"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loss of one or more of our key personnel, or our failure to attract and retain other highly qualified personnel in the future, could harm our business.</w:t>
      </w:r>
    </w:p>
    <w:p>
      <w:pPr>
        <w:spacing w:after="0" w:line="13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Chairman, President, and Chief Executive Officer, Robert Anderson, our Chief Financial Officer, and William Turner, our Chief Credit Officer, is important to our continuing success. Although we have entered into employment and other agreements with certain members of our executive and senior management team, including Mr. de la Aguilera and Mr. Anderson,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186"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Damage to our reputation could significantly harm our businesses.</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 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9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face strong competition from financial services companies and other companies that offer banking services, which could materially and adversely affect our business.</w:t>
      </w:r>
    </w:p>
    <w:p>
      <w:pPr>
        <w:spacing w:after="0" w:line="13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6" w:name="page37"/>
    <w:bookmarkEnd w:id="36"/>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must respond to rapid technological changes to remain competitive.</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We will have to continue to respond to future technological changes, which are occurring at a rapid pace in the financial services industry in order to remain competitive.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20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continually encounter technological change, and we may have fewer resources than many of our competitors to invest in technological improvements.</w:t>
      </w:r>
    </w:p>
    <w:p>
      <w:pPr>
        <w:spacing w:after="0" w:line="133" w:lineRule="exact"/>
        <w:rPr>
          <w:sz w:val="20"/>
          <w:szCs w:val="20"/>
          <w:color w:val="auto"/>
        </w:rPr>
      </w:pPr>
    </w:p>
    <w:p>
      <w:pPr>
        <w:jc w:val="both"/>
        <w:ind w:firstLine="361"/>
        <w:spacing w:after="0" w:line="245" w:lineRule="auto"/>
        <w:rPr>
          <w:sz w:val="20"/>
          <w:szCs w:val="20"/>
          <w:color w:val="auto"/>
        </w:rPr>
      </w:pPr>
      <w:r>
        <w:rPr>
          <w:rFonts w:ascii="Arial" w:cs="Arial" w:eastAsia="Arial" w:hAnsi="Arial"/>
          <w:sz w:val="20"/>
          <w:szCs w:val="20"/>
          <w:color w:val="auto"/>
        </w:rPr>
        <w:t>The financial services industry continues to undergo rapid technological changes with frequent introductions of new technology -driven products and services. The effective use of technology increases efficiency and enables financial institutions to better serve customers and to reduce costs. Our future success will depend, in part, upon our ability to address the needs of our clients by using technology to provide products and services that will satisfy client demands for convenience, as well as to create additional efficiencies in our operations. Many national vendors provide turn-key services to community banks, such as internet banking and remote deposit capture that allow smaller banks to compete with institutions that have substantially greater resources to invest in technological improvements. We may not be able, however, to effectively implement new technology-driven products and services or be successful in marketing these products and services to our customers.</w:t>
      </w:r>
    </w:p>
    <w:p>
      <w:pPr>
        <w:spacing w:after="0" w:line="19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current and future uses of artificial intelligence (AI) and other emerging technologies may create additional risks.</w:t>
      </w:r>
    </w:p>
    <w:p>
      <w:pPr>
        <w:spacing w:after="0" w:line="1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increasing adoption of AI in financial services presents significant opportunities but also introduces a range of risks that could impact our operations, regulatory compliance, and customer trust. AI introduces model risk, where flawed algorithms or biased data could result in inaccurate credit decisions, compliance violations, or discriminatory outcomes in lending or customer service. Cybersecurity threats, such as data breaches, adversarial attacks, and data poisoning, pose significant challenges, particularly as these systems handle large volumes of sensitive customer information. Additionally, the opaque nature of some AI models, often referred to as "black -box" systems, raises regulatory compliance concerns, as regulators increasingly require transparency and explainability in AI-driven decision-making.</w:t>
      </w:r>
    </w:p>
    <w:p>
      <w:pPr>
        <w:spacing w:after="0" w:line="182"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Operational risks also arise from potential system failures, over-reliance on AI, and integration challenges with existing infrastructure. Disruptions in AI systems could impact critical functions such as fraud detection, transaction monitoring, and customer support. Ethical and reputational risks, including unintended consequences or perceived unfairness in AI-driven decisions, may erode customer trust and expose us to regulatory scrutiny. Mitigating these risks requires a robust governance framework, regularly testing and auditing of AI models, and strong human oversight. Investments in cybersecurity, data privacy protections, and employee training are critical to managing these risks.</w:t>
      </w:r>
    </w:p>
    <w:p>
      <w:pPr>
        <w:spacing w:after="0" w:line="18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5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targeted attacks intended to obtain unauthorized access to confidential information, destroy data, disrupt or degrade service, sabotage systems or cause other damage, including through the introduction of computer viruses or malware, cyber-attacks and other means. At this point, although there is no knowledge or indication that we have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200" w:lineRule="exact"/>
        <w:rPr>
          <w:sz w:val="20"/>
          <w:szCs w:val="20"/>
          <w:color w:val="auto"/>
        </w:rPr>
      </w:pPr>
    </w:p>
    <w:p>
      <w:pPr>
        <w:spacing w:after="0" w:line="34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 party service providers or other users of our systems to disclose sensitive information in order to gain access to our data or that of our customers or clients. Similar to other companies, our risks and exposures related to cybersecurity attacks have increased as a result of the related increased reliance on remote working (largely as a result of the COVID-19 pandemic) and the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w:t>
      </w:r>
    </w:p>
    <w:p>
      <w:pPr>
        <w:spacing w:after="0" w:line="184"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8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59"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 -attack,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20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operations could be interrupted or materially impacted if any of our third-party service providers fail to comply with banking regulations and other applicable laws. The Federal Reserve, FDIC,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9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5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and/or punitive damages or claims for indeterminate amounts of damages. Further, in the future our federal and/or state bank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w:t>
      </w:r>
    </w:p>
    <w:p>
      <w:pPr>
        <w:spacing w:after="0" w:line="30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9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3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9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Related to Our Tax, Accounting and Regulatory Compliance</w:t>
      </w:r>
    </w:p>
    <w:p>
      <w:pPr>
        <w:spacing w:after="0" w:line="23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ability to recognize the benefits of our deferred tax assets is dependent on future cash flows and taxable income and may be materially impaired upon significant changes in ownership of our common stock.</w:t>
      </w:r>
    </w:p>
    <w:p>
      <w:pPr>
        <w:spacing w:after="0" w:line="13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recognize the expected future tax benefit from deferred tax assets when it is more likely than not that the tax benefit will be realized. Otherwise, a valuation allowance is applied against our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7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7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as 1986, as amended. Future changes in tax law or changes in ownership structure could limit our ability to utilize our recorded net deferred tax assets.</w:t>
      </w:r>
    </w:p>
    <w:p>
      <w:pPr>
        <w:spacing w:after="0" w:line="31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6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3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 in the section captioned "Management's Discussion and Analysis of Financial Condition and Results of Operations" in Item 7 of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206"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b w:val="1"/>
          <w:bCs w:val="1"/>
          <w:i w:val="1"/>
          <w:iCs w:val="1"/>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74"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SOA and other rules that govern public companies that we previously were not required to comply with as a private company. In particular, we are required to certify our compliance with Section 404 of the SOA,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SOA. We periodically review our formal policies, processes and practices related to financial reporting and to the identification of key financial reporting risks, assess their potential impact and the linkage of those risks to specific areas and controls within our organization.</w:t>
      </w:r>
    </w:p>
    <w:p>
      <w:pPr>
        <w:spacing w:after="0" w:line="19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SOA. We cannot be certain as to the timing of completion of our evaluation, testing, and any remediation actions or the impact of the same on our operations. If we fail to adequately comply with the requirements of Section 404 of the SOA,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8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While we remain an emerging growth company, we will not be required to include an attestation report on internal control over financial reporting issued by our independent registered public accounting firm. To prepare for eventual compliance with the auditor attestation requirement of Section 404 of the SOA once we no longer qualify as an emerging growth company or as a non-accelerated smaller reporting company, we are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33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6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5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8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Wall Street Reform and Consumer Protection Act, or the Dodd-Frank Act, and the Economic Growth, Regulatory Relief and Consumer Protection Act, or the Regulatory Relief Act, have significantly revised the laws and regulations under which we operate. Such regulations and laws may be modified or repealed at any time, and new legislation may be enacted that will affect us and our subsidiaries.</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Regulatory Relief Act, could make compliance more difficult or expensive or otherwise adversely affect our business, prospects, cash flow, liquidity, financial condition and results of operations.</w:t>
      </w:r>
    </w:p>
    <w:p>
      <w:pPr>
        <w:spacing w:after="0" w:line="18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face a risk of noncompliance with the Bank Secrecy Act and other anti-money laundering statutes and regulations and corresponding enforcement proceedings.</w:t>
      </w:r>
    </w:p>
    <w:p>
      <w:pPr>
        <w:spacing w:after="0" w:line="13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9"/>
          <w:szCs w:val="19"/>
          <w:color w:val="auto"/>
        </w:rPr>
        <w:t>The BSA, the USA PATRIOT Act,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(“HIFCA”) by FinCEN and a “High Intensity Drug Trafficking Area” (“HIDTA”) by the Office of National Drug Control Policy. The HIFCA program is intended to concentrate law enforcement efforts to combat money laundering efforts in higher-risk areas. There is also increased scrutiny of compliance with the rules enforced by OFAC. Federal and state bank regulators have for many years focused on compliance with the BSA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 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1" w:name="page42"/>
    <w:bookmarkEnd w:id="41"/>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5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regulatory and political environment has generally been challenging for U.S. financial institutions, which have been subject to increased regulatory scrutiny, including in the wake of the failures of several regional banks and other banking stresses in recent periods. The general heightened scrutiny and expectations from regulators could lead to a more stringent regulatory posture by the regulators, investigations and other inquiries, as well as remediation requirements, regulatory and operational restrictions, more regulatory or other enforcement proceedings, civil litigation and substantial compliance, regulatory and other risks and costs. Our regulators have broad powers and discretion under their supervisory authority. A failure to comply with regulators’ expectations and requirements, even if inadvertent, or to resolve any identified deficiencies in a timely and sufficiently satisfactory manner to regulators, could result in increased regulatory oversight; material restrictions, including, among others, imposition of limitations on capital distributions or other business activities or operations; enforcement proceedings; penalties; and fines. Responding to regulatory inquiries and proceedings can be time consuming and costly and divert management attention from our other business activities. As a result of these regulatory efforts and pressures, like many other financial institutions, from time to time, we may be subject to public and non-public written agreements, cease and desist orders, consent orders, memoranda of understanding or other enforcement or supervisory actions by our regulators.</w:t>
      </w:r>
    </w:p>
    <w:p>
      <w:pPr>
        <w:spacing w:after="0" w:line="19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1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In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new rules now apply to us.</w:t>
      </w:r>
    </w:p>
    <w:p>
      <w:pPr>
        <w:spacing w:after="0" w:line="17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Tier 1 leverage ratio of 4% or more. Institutions must also maintain a capital conservation buffer consisting of common equity Tier 1 capital (which amount (2.5%) is reflected above in the CET1, Tier 1 and total capital ratios). In addition to the higher required capital ratios and the new deductions and adjustments, the final rules increased the risk weights for certain assets, meaning that we will have to hold more capital against these assets. We are also required to hold capital against short-term commitments that are not unconditionally cancellable.</w:t>
      </w:r>
    </w:p>
    <w:p>
      <w:pPr>
        <w:spacing w:after="0" w:line="19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While we currently meet these new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8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In addition, in the current economic and regulatory environment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8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59"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As part of the bank regulatory process, the Federal Reserve, the FDIC and the FOFR periodically conduct examinations of our business, including compliance with applicable laws and regulations. If, as a result of an examination, one of these</w:t>
      </w:r>
    </w:p>
    <w:p>
      <w:pPr>
        <w:spacing w:after="0" w:line="26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18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59"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9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Climate change and related legislative and regulatory initiatives may materially affect our business and results of operations.</w:t>
      </w:r>
    </w:p>
    <w:p>
      <w:pPr>
        <w:spacing w:after="0" w:line="13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effects of climate change continue to create a significant level of concern for the state of the global environment. As a result, the global business community has increased its political and social awareness surrounding the issue, and the United States has entered into international agreements in an attempt to reduce global temperatures, such as reentering the Paris Agreement. Further, the U.S. Congress, state legislatures and federal and state regulatory agencies continue to propose numerous initiatives to supplement the global effort to combat climate change, including provisions contained in the Inflation Reduction Act of 2022. Furthermore, additional initiative may be undertaken in the future,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9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5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Companies have faced and may continue to face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Increased ESG-related compliance costs could result in increases to our overall operational costs. Failure to adapt to or comply with regulatory</w:t>
      </w:r>
    </w:p>
    <w:p>
      <w:pPr>
        <w:spacing w:after="0" w:line="32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requirements, or investor or stakeholder expectations and standards, could negatively impact our reputation, ability to do business with certain partners, and our stock price.</w:t>
      </w:r>
    </w:p>
    <w:p>
      <w:pPr>
        <w:spacing w:after="0" w:line="15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Recent changes in the regulatory landscape under the new U.S. administration have moved toward a reduction in emphasis on certain ESG priorities, particularly around climate change and diversity, equity, and inclusion (“DEI”). This shift is leading to the rollback of regulations that mandate specific disclosures and operational practices in these areas. However, some stakeholder groups continue to demand greater transparency and action, resulting in a complex and potentially conflicting environment for companies. If regulatory enforcement of ESG-related policies becomes less stringent, companies may face reputational risks if their practices are seen as insufficient or inconsistent with broader societal expectations, especially related to DEI and environmental stewardship. As a result, navigating this evolving regulatory and public opinion landscape may require us to balance compliance with regulatory requirements against maintaining investor, customer, and stakeholder trust.</w:t>
      </w:r>
    </w:p>
    <w:p>
      <w:pPr>
        <w:spacing w:after="0" w:line="183"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Risks Related to Our Class A Common Stock</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ability to pay dividends is subject to restrictions.</w:t>
      </w:r>
    </w:p>
    <w:p>
      <w:pPr>
        <w:spacing w:after="0" w:line="22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 The Bank may not pay dividends to the Company without the prior approval of the FDIC. Similarly, we have agreed to notify the Federal Reserve before declaring and paying any dividends on our Class A common stock.</w:t>
      </w:r>
    </w:p>
    <w:p>
      <w:pPr>
        <w:spacing w:after="0" w:line="19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market price and trading volume of our Class A common stock may be volatile, which could result in rapid and substantial losses for our shareholders.</w:t>
      </w:r>
    </w:p>
    <w:p>
      <w:pPr>
        <w:spacing w:after="0" w:line="13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 but not limited to:</w:t>
      </w:r>
    </w:p>
    <w:p>
      <w:pPr>
        <w:spacing w:after="0" w:line="183" w:lineRule="exact"/>
        <w:rPr>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general market conditions;</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domestic and international economic factors unrelated to our performance;</w:t>
      </w:r>
    </w:p>
    <w:p>
      <w:pPr>
        <w:ind w:left="720" w:hanging="360"/>
        <w:spacing w:after="0" w:line="238"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variations in our quarterly operating results or failure to meet the market’s earnings expectations;</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publication of research reports about us or the financial services industry in general;</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determination of securities analysts to not cover our Class A common stock;</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opinion of securities analysts about our stock as an investment;</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additions to or departures of our key personnel;</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future sales of our Class A common stock;</w:t>
      </w:r>
    </w:p>
    <w:p>
      <w:pPr>
        <w:ind w:left="720" w:hanging="361"/>
        <w:spacing w:after="0" w:line="238"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adverse market reactions to any indebtedness we may incur or securities we may issue in the future;</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actions by our shareholders;</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operating and securities price performance of companies that investors consider to be comparable to us;</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changes or proposed changes in laws or regulations affecting our business; and</w:t>
      </w:r>
    </w:p>
    <w:p>
      <w:pPr>
        <w:ind w:left="720" w:hanging="361"/>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actual or potential litigation and governmental investigations.</w:t>
      </w:r>
    </w:p>
    <w:p>
      <w:pPr>
        <w:spacing w:after="0" w:line="20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18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133"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Because the continued availability of our "deferred tax assets" depends, in part, on the value of our stock owned by shareholders owning 5% or more of our stock, our amended Articles of Incorporation, except as otherwise may be approved by the Board or except for transfers by our Significant Investors, prohibits any direct or indirect transfer of stock or options</w:t>
      </w:r>
    </w:p>
    <w:p>
      <w:pPr>
        <w:spacing w:after="0" w:line="29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to acquire stock to any person who, as a result of the transfer, would own 4.95% or more of our stock, as long as the Company continues to have "deferred tax assets." Such restrictions may limit the ability to transfer our stock.</w:t>
      </w:r>
    </w:p>
    <w:p>
      <w:pPr>
        <w:spacing w:after="0" w:line="15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5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69" w:lineRule="exact"/>
        <w:rPr>
          <w:sz w:val="20"/>
          <w:szCs w:val="20"/>
          <w:color w:val="auto"/>
        </w:rPr>
      </w:pPr>
    </w:p>
    <w:p>
      <w:pPr>
        <w:ind w:left="720" w:hanging="360"/>
        <w:spacing w:after="0" w:line="25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may present only two years of audited financial statements and only two years of related management’s discussion and analysis of financial condition and results of operations</w:t>
      </w:r>
    </w:p>
    <w:p>
      <w:pPr>
        <w:ind w:left="720" w:hanging="36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exempt from the requirements to obtain an attestation and report from our auditors on management’s assessment of our internal control over financial reporting under the SOA;</w:t>
      </w:r>
    </w:p>
    <w:p>
      <w:pPr>
        <w:ind w:left="720" w:hanging="36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permitted to have less extensive disclosure about our executive compensation arrangements; and</w:t>
      </w:r>
    </w:p>
    <w:p>
      <w:pPr>
        <w:ind w:left="720" w:hanging="360"/>
        <w:spacing w:after="0" w:line="252"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not required to give our shareholders non-binding advisory votes on executive compensation or golden parachute arrangements.</w:t>
      </w:r>
    </w:p>
    <w:p>
      <w:pPr>
        <w:spacing w:after="0" w:line="18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to occur of (i) the last day of the first fiscal year in which our annual gross revenues exceed $1.235 billion, (ii) the date that the market value of our Class A common stock that is held by non-affiliates exceeds $700.0 million as of the last business day in June of that year, (iii) the date on which we have, during the previous three-year period, issued more than $1.0 billion in non-convertible debt, or (iv) the end of fiscal year following the fifth anniversary of the completion of our initial public offering (which will be December 31, 2026).</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It is possible that some investors may find our Class A common stock less attractive since we chose to rely on these exemptions. If some investors find our Class A common stock less attractive, there may be a less active trading market for our Class A common stock and our stock price may be more volatile.</w:t>
      </w:r>
    </w:p>
    <w:p>
      <w:pPr>
        <w:spacing w:after="0" w:line="17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5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As an emerging growth company, we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have relied on this exemption. If some investors find our Class A common stock less attractive as a result, there may be a less active trading market for our Class A common stock and our stock price may be more volatile.</w:t>
      </w:r>
    </w:p>
    <w:p>
      <w:pPr>
        <w:spacing w:after="0" w:line="19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have existing investors that own a significant amount of our common stock whose individual interests may differ from yours.</w:t>
      </w:r>
    </w:p>
    <w:p>
      <w:pPr>
        <w:spacing w:after="0" w:line="13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28, 2025 Patriot and Priam own approximately 22.4% and 22.5%, respectively, of our outstanding shares of Class A common stock. In addition, Patriot and Priam are each entitled to nominate a director to our Board and have certain subscription rights to purchase new equity securities that we issue in the future, in each case as long as certain equity ownership criteria are met. Patriot and Priam also have certain registration rights,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w:t>
      </w:r>
    </w:p>
    <w:p>
      <w:pPr>
        <w:spacing w:after="0" w:line="31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5" w:name="page46"/>
    <w:bookmarkEnd w:id="45"/>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amendments to our amended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8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Provisions in our governing documents and Florida law may have an anti-takeover effect and there are substantial regulatory limitations on changes of control of the Company.</w:t>
      </w:r>
    </w:p>
    <w:p>
      <w:pPr>
        <w:spacing w:after="0" w:line="1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governing documents include provisions that:</w:t>
      </w:r>
    </w:p>
    <w:p>
      <w:pPr>
        <w:spacing w:after="0" w:line="231" w:lineRule="exact"/>
        <w:rPr>
          <w:sz w:val="20"/>
          <w:szCs w:val="20"/>
          <w:color w:val="auto"/>
        </w:rPr>
      </w:pPr>
    </w:p>
    <w:p>
      <w:pPr>
        <w:ind w:left="720" w:hanging="360"/>
        <w:spacing w:after="0" w:line="252"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empower our Board, without shareholder approval, to issue shares of preferred stock, the terms of which, including voting power, are set by our Board;</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provide that directors may be removed from office only for cause and only upon a majority vote of the shares of our Company with voting power;</w:t>
      </w:r>
    </w:p>
    <w:p>
      <w:pPr>
        <w:ind w:left="720" w:hanging="361"/>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prohibit holders of our Class A common stock to take action by written consent in lieu of a shareholder meeting;</w:t>
      </w:r>
    </w:p>
    <w:p>
      <w:pPr>
        <w:ind w:left="720" w:hanging="361"/>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require holders of at least 10% of our Class A common stock to call a special meeting;</w:t>
      </w:r>
    </w:p>
    <w:p>
      <w:pPr>
        <w:ind w:left="720" w:hanging="361"/>
        <w:spacing w:after="0" w:line="238"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do not provide for cumulative voting in elections of our directors;</w:t>
      </w:r>
    </w:p>
    <w:p>
      <w:pPr>
        <w:ind w:left="720" w:hanging="361"/>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that our Board has the authority to amend our Amended and Restated Bylaws without shareholder approval;</w:t>
      </w:r>
    </w:p>
    <w:p>
      <w:pPr>
        <w:spacing w:after="0" w:line="11" w:lineRule="exact"/>
        <w:rPr>
          <w:rFonts w:ascii="Arial" w:cs="Arial" w:eastAsia="Arial" w:hAnsi="Arial"/>
          <w:sz w:val="19"/>
          <w:szCs w:val="19"/>
          <w:color w:val="auto"/>
        </w:rPr>
      </w:pPr>
    </w:p>
    <w:p>
      <w:pPr>
        <w:jc w:val="both"/>
        <w:ind w:left="720" w:hanging="361"/>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20"/>
          <w:szCs w:val="20"/>
          <w:color w:val="auto"/>
        </w:rPr>
      </w:pPr>
    </w:p>
    <w:p>
      <w:pPr>
        <w:jc w:val="both"/>
        <w:ind w:left="720" w:hanging="361"/>
        <w:spacing w:after="0" w:line="246"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8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 These laws could delay or prevent an acquisition. Also, for preservation and continued availability of our "deferred tax assets," our amended Articles of Incorporation prohibits any direct or indirect transfer of stock or options to acquire stock to any person who, as a result of the transfer, would own 4.95% or more of our stock, as long as we continue to have "deferred tax assets," subject to limited exceptions as provided in our amended Articles of Incorporation. Because of the requirements to overcome this restriction, this provision of the amended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 Overview</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Customers depend on the Company to properly protect nonpublic personal information gathered and stored in connection with the services we provide. The Company realizes that cyber incidents can have financial, reputational, legal, and operational impacts that can significantly adversely affect our customers, capital, and earnings. Therefore, we integrate cybersecurity processes throughout the Company as part of our enterprise-wide governance process. Regulatory agencies are charged with ensuring the Company’s cybersecurity controls and procedures are compliant with the intent of the cybersecurity expectations set forth by the Federal Financial Institutions Examination Council (“FFIEC”). The FFIEC framework offers a set of guidelines and best practices to help financial institutions manage and mitigate cybersecurity risks effectively. It focuses on ensuring the confidentiality, integrity, and availability of sensitive information and systems.</w:t>
      </w:r>
    </w:p>
    <w:p>
      <w:pPr>
        <w:spacing w:after="0" w:line="17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Information Security Officer (“ISO”) is an integral member of the Risk Management and Compliance Department (“RMCD”) of the Bank and who provides expert counsel on matters of cybersecurity and presents periodic reports to the Risk Committee of our Board of Directors.</w:t>
      </w:r>
    </w:p>
    <w:p>
      <w:pPr>
        <w:spacing w:after="0" w:line="17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As part of the program, periodic risk assessments are performed to determine the Company’s inherent and residual cybersecurity risk, the maturity level of the program, the risk of cyber threats, and the effectiveness of controls currently in practice. The Company utilizes the National Institute of Standards and Technology (“NIST”) Framework and the FFIEC’s Cybersecurity Assessment Tool (“Cybersecurity Assessment”) to help management identify its risks and determine the Company’s cybersecurity posture. Through the implementation of rigorous procedures and controls, augmented by ongoing training initiatives for both management and staff, the institution cultivates a safe cybersecurity environment. This approach encompasses diverse methodologies including defense-in-depth and proactive security awareness training aimed at fortifying the institutions cybersecurity controls and fostering a resilient operational framework.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Assessment and Response to Cybersecurity Threats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It is the policy of the Company and its technology service providers (“TSPs”) to ensure that they can identify, mitigate, and respond to cyber-attacks involving destructive malware and invasive attacks such as phishing, ransomware, malware, DDoS attacks, etc. This commitment aligns with the Company’s risk appetite, Incident Response Policy, and Business Continuity Plan, which incorporates business continuity planning and testing activities to enhance response and recovery capabilities.</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Company realizes that it faces a variety of risks from cyber-attacks involving destructive malware, including liquidity, capital, operational, and reputation risks, due to events such as fraud, data loss, and disruption of customer service. As such, it is the policy of the Company to ensure that its risk management processes, and business continuity planning address these risks by:</w:t>
      </w:r>
    </w:p>
    <w:p>
      <w:pPr>
        <w:spacing w:after="0" w:line="195" w:lineRule="exact"/>
        <w:rPr>
          <w:sz w:val="20"/>
          <w:szCs w:val="20"/>
          <w:color w:val="auto"/>
        </w:rPr>
      </w:pPr>
    </w:p>
    <w:p>
      <w:pPr>
        <w:jc w:val="both"/>
        <w:ind w:left="720" w:hanging="360"/>
        <w:spacing w:after="0" w:line="25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Establishing a comprehensive governance program encompassing policies and procedures to administer and oversee the information/cybersecurity programs to ensure adherence to regulatory guidance and industry best practices.</w:t>
      </w:r>
    </w:p>
    <w:p>
      <w:pPr>
        <w:spacing w:after="0" w:line="1" w:lineRule="exact"/>
        <w:rPr>
          <w:rFonts w:ascii="Arial" w:cs="Arial" w:eastAsia="Arial" w:hAnsi="Arial"/>
          <w:sz w:val="20"/>
          <w:szCs w:val="20"/>
          <w:color w:val="auto"/>
        </w:rPr>
      </w:pPr>
    </w:p>
    <w:p>
      <w:pPr>
        <w:jc w:val="both"/>
        <w:ind w:left="720" w:hanging="360"/>
        <w:spacing w:after="0" w:line="24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Securely configuring systems and services to mitigate the impact of cyberattacks. This includes measures such as logical network segmentation, hard backups, maintaining an inventory of authorized devices and software, and physical segmentation of critical systems. Consistency in system configuration fosters a secure network environment by removing or disabling unused applications, functions, or components.</w:t>
      </w:r>
    </w:p>
    <w:p>
      <w:pPr>
        <w:spacing w:after="0" w:line="2" w:lineRule="exact"/>
        <w:rPr>
          <w:rFonts w:ascii="Arial" w:cs="Arial" w:eastAsia="Arial" w:hAnsi="Arial"/>
          <w:sz w:val="20"/>
          <w:szCs w:val="20"/>
          <w:color w:val="auto"/>
        </w:rPr>
      </w:pPr>
    </w:p>
    <w:p>
      <w:pPr>
        <w:jc w:val="both"/>
        <w:ind w:left="720" w:hanging="360"/>
        <w:spacing w:after="0" w:line="242"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Implementing and testing controls around critical systems on a regular basis to ensure appropriate access control and segregation of duties. Limits on sign-on attempts for critical systems are enforced, with accounts being locked upon threshold exceedance. Alert systems notify of baseline control changes on critical systems, with the effectiveness and adequacy of controls periodically tested and the results reported to senior management and, if applicable, the Risk Committee, along with recommended risk mitigation strategies and progress to remediate findings.</w:t>
      </w:r>
    </w:p>
    <w:p>
      <w:pPr>
        <w:spacing w:after="0" w:line="3" w:lineRule="exact"/>
        <w:rPr>
          <w:rFonts w:ascii="Arial" w:cs="Arial" w:eastAsia="Arial" w:hAnsi="Arial"/>
          <w:sz w:val="20"/>
          <w:szCs w:val="20"/>
          <w:color w:val="auto"/>
        </w:rPr>
      </w:pPr>
    </w:p>
    <w:p>
      <w:pPr>
        <w:jc w:val="both"/>
        <w:ind w:left="720" w:hanging="360"/>
        <w:spacing w:after="0" w:line="244"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Performing security monitoring, prevention, and risk mitigation activities to ensure the effectiveness of protection and detection systems. This includes maintaining up-to-date intrusion detection systems, antivirus protection, and properly configured firewall rules. Systems are monitored to identify, prevent, and contain attack attempts from all sources.</w:t>
      </w:r>
    </w:p>
    <w:p>
      <w:pPr>
        <w:spacing w:after="0" w:line="200" w:lineRule="exact"/>
        <w:rPr>
          <w:sz w:val="20"/>
          <w:szCs w:val="20"/>
          <w:color w:val="auto"/>
        </w:rPr>
      </w:pPr>
    </w:p>
    <w:p>
      <w:pPr>
        <w:spacing w:after="0" w:line="30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1C2790"/>
        </w:rPr>
        <w:t>Table of Contents</w:t>
      </w:r>
    </w:p>
    <w:p>
      <w:pPr>
        <w:spacing w:after="0" w:line="243" w:lineRule="exact"/>
        <w:rPr>
          <w:sz w:val="20"/>
          <w:szCs w:val="20"/>
          <w:color w:val="auto"/>
        </w:rPr>
      </w:pPr>
    </w:p>
    <w:p>
      <w:pPr>
        <w:jc w:val="both"/>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Maintaining robust business continuity planning processes to swiftly recover, resume, and maintain operations post-cyber-attack incidents involving destructive malware. These processes encompass data and business operations recovery, network capability rebuilding, and data protection for offline backups in the event of cyber-attacks impacting the Company or its critical service providers.</w:t>
      </w:r>
    </w:p>
    <w:p>
      <w:pPr>
        <w:spacing w:after="0" w:line="1" w:lineRule="exact"/>
        <w:rPr>
          <w:rFonts w:ascii="Arial" w:cs="Arial" w:eastAsia="Arial" w:hAnsi="Arial"/>
          <w:sz w:val="20"/>
          <w:szCs w:val="20"/>
          <w:color w:val="auto"/>
        </w:rPr>
      </w:pPr>
    </w:p>
    <w:p>
      <w:pPr>
        <w:jc w:val="both"/>
        <w:ind w:left="720" w:hanging="360"/>
        <w:spacing w:after="0" w:line="24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Conducting ongoing information security risk assessments to address new and evolving threats to online deposit and loan accounts. This involves identifying, prioritizing, and assessing risks to critical systems, including threats to applications controlling various system parameters and implementing necessary security prevention measures.</w:t>
      </w:r>
    </w:p>
    <w:p>
      <w:pPr>
        <w:spacing w:after="0" w:line="1" w:lineRule="exact"/>
        <w:rPr>
          <w:rFonts w:ascii="Arial" w:cs="Arial" w:eastAsia="Arial" w:hAnsi="Arial"/>
          <w:sz w:val="20"/>
          <w:szCs w:val="20"/>
          <w:color w:val="auto"/>
        </w:rPr>
      </w:pPr>
    </w:p>
    <w:p>
      <w:pPr>
        <w:jc w:val="both"/>
        <w:ind w:left="720" w:hanging="360"/>
        <w:spacing w:after="0" w:line="248"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updating, and testing incident response and business continuity plans annually to ensure effectiveness. Testing encompasses both in-house and third-party processor scenarios to validate employee understanding of responsibilities and adherence to Company protocols.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Executive Oversight and Roles</w:t>
      </w:r>
    </w:p>
    <w:p>
      <w:pPr>
        <w:spacing w:after="0" w:line="23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The responsibility for adopting and maintaining an effective cybersecurity program is assigned to the RMCD, who collaborates with functional area management, departmental level managers, and other relevant staff. Management committees and the Board of Directors review reports submitted by the RMCD detailing the Company’s inherent and residual cybersecurity risk, program sophistication level, and high-risk threats identified in the cybersecurity risk assessment.</w:t>
      </w:r>
    </w:p>
    <w:p>
      <w:pPr>
        <w:spacing w:after="0" w:line="16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Board oversees the development and maintenance of the information security program, holding management accountable. Management committees ensure program integration and effectiveness, with the RMCD responsible for cybersecurity controls and procedures. The Board receives regular reports on cybersecurity risk assessment and program updates, providing expectations and requirements to management and holding them accountable for oversight and coordination, assignment of responsibility, and the effectiveness of the information and cybersecurity security program.</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Annually, or as required, the RMCD provides a comprehensive report to the Board or a designated committee regarding the status of the cybersecurity program. This report encompasses internal assessments, utilization of the Cybersecurity Assessment, discussion of significant program matters such as the annual risk assessment, risk management decisions, monitoring of service provider compliance, results of key controls testing, security breaches or violations, management's responses, and recommendations for program enhancements.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Engagement with Third Party Vendors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engagement of third-party providers involves potential risks that may impact strategic, reputational, operational, transaction, credit, financial, technology and compliance considerations. Third-party providers whose services involve transmittal, storage and processing of non-public personal information represent a greater level of compliance risks, specifically as it relates to compliance requirements of the Gramm Leach Bliley Act (GLBA) regulation and applicable Privacy Laws and Regulations.</w:t>
      </w:r>
    </w:p>
    <w:p>
      <w:pPr>
        <w:spacing w:after="0" w:line="183"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Bank has developed general guidelines for the identification, risk assessment, monitoring and management of risks associated to the engagement of third-party providers or vendors.</w:t>
      </w:r>
    </w:p>
    <w:p>
      <w:pPr>
        <w:spacing w:after="0" w:line="15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Certain aspects of the risk assessment process may require the involvement of the compliance officer, technology officers, finance officers, internal auditors, and legal counsel to identify potential risks that may arise from the third-party engagement as well as identify performance criteria, internal controls, reporting needs and any contractual requirements that should be implemented for the ongoing assessment and control of risks that derive from the third-party engagement.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Compliance with Regulatory Standards</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Annual testing or more frequently if deemed necessary of cybersecurity controls and procedures will be conducted to ensure compliance. In instances of identified deficiencies or vulnerabilities, remedial action plans will be implemented to rectify issues or establish mitigating controls. Any exceptions deemed significant will be promptly reported, with remediation efforts prioritized.</w:t>
      </w:r>
    </w:p>
    <w:p>
      <w:pPr>
        <w:spacing w:after="0" w:line="18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Annually, or as required, the RMCD will provide a comprehensive report to the Board or a designated committee regarding the status of the cybersecurity program. This report will encompass internal assessments, utilization of the Cybersecurity Assessment, and discussion of other significant program matters.</w:t>
      </w:r>
    </w:p>
    <w:p>
      <w:pPr>
        <w:spacing w:after="0" w:line="16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of the end of the reporting period set forth in this Annual Report on Form 10-K, there is no knowledge or indication that customer sensitive information was compromised as a result of third-parties’ system vulnerabilities. Management continues to monitor developments and vendor communications.</w:t>
      </w:r>
    </w:p>
    <w:p>
      <w:pPr>
        <w:spacing w:after="0" w:line="200" w:lineRule="exact"/>
        <w:rPr>
          <w:sz w:val="20"/>
          <w:szCs w:val="20"/>
          <w:color w:val="auto"/>
        </w:rPr>
      </w:pPr>
    </w:p>
    <w:p>
      <w:pPr>
        <w:spacing w:after="0" w:line="29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Company’s corporate offices are headquartered at 2301 N.W. 87th Avenue, Doral, Florida 33172. The Company, through the Bank, operates 10 banking centers in South Florida within Miami-Dade and Broward counties. Of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8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See Note 4 “Leases” and Note 5 “Premises and Equipment” to the Consolidated Financial Statements included in this Annual Report on Form 10-K for additional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8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The Company previously disclosed that litigation (the “Litigation”) had been commenced on July 13, 2023 by three individuals who were shareholders of the Bank prior to the Bank’s reorganization into the holding company form of organization in 2021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shares of Class C and Class D preferred stock was exchanged for shares of Class A voting common stock in the Bank (the “Exchange Transaction”), which action the Plaintiffs allege was not permitted by the Bank’s Articles of Incorporation, and</w:t>
      </w:r>
    </w:p>
    <w:p>
      <w:pPr>
        <w:spacing w:after="0" w:line="3" w:lineRule="exact"/>
        <w:rPr>
          <w:sz w:val="20"/>
          <w:szCs w:val="20"/>
          <w:color w:val="auto"/>
        </w:rPr>
      </w:pPr>
    </w:p>
    <w:p>
      <w:pPr>
        <w:jc w:val="both"/>
        <w:spacing w:after="0" w:line="244" w:lineRule="auto"/>
        <w:tabs>
          <w:tab w:leader="none" w:pos="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breached their fiduciary duty as directors of the Bank by approving and engaging in the Exchange Transaction. The Plaintiffs sought the Court to certify the action as a class action and to award damages in an amount to be proven at trial. The Plaintiffs sought damages exceeding $750,000 plus attorney’s fees and costs as well as such other relief as the Court determined to award.</w:t>
      </w:r>
    </w:p>
    <w:p>
      <w:pPr>
        <w:spacing w:after="0" w:line="18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“Order”). The Court reserved jurisdiction to award costs or grant any post-judgment relief.</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On May 1, 2024, the Plaintiffs filed in the Third District Court of Appeal for the State of Florida (the “Appellate Court”) an appeal (the “Appeal”), appealing the issuance of the Order and seeking a reversal of the Order. The Plaintiffs claimed the Court erred by concluding (i) the Exchange Transaction was not ultra vires, and (ii) that the Legacy Shareholders (which includes the Plaintiffs) lacked direct standing. The Plaintiffs filed their initial brief and the Defendants filed on July 1, 2024 their answer brief (“Answer Brief”) responding to the allegations contained in the Appeal.</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Oral argument was heard before the Court on January 14, 2025. On February 18, 2025, the Appellate Court affirmed the lower court's ruling and dismissed the lawsuit, in favor of the Defendants (the “Dismissal”). The Plaintiffs have the right to appeal the Dismissal, but they have not done so as of the date of the filing of this Annual Report on Form 10-K.</w:t>
      </w:r>
    </w:p>
    <w:p>
      <w:pPr>
        <w:spacing w:after="0" w:line="17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believes that the positions in the Appeal are legally and factually without merit, and it intends to vigorously defend against any appeal of the Dismissal of the Appeal, pursue any potential counterclaims against the Plaintiffs as it deems appropriate, and seek coverage from its insurance carriers. Furthermore, there is also no assurance that we will be able to secure coverage from our insurance carriers for any expenses incurred by us in connection with defending against the Appeal.</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Appeal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There can be no assurance that any future legal proceedings to which we are a party will not be decided adversely to our interests and have a material adverse effect on our financial condition and operations.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31" w:lineRule="exact"/>
        <w:rPr>
          <w:sz w:val="20"/>
          <w:szCs w:val="20"/>
          <w:color w:val="auto"/>
        </w:rPr>
      </w:pPr>
    </w:p>
    <w:p>
      <w:pPr>
        <w:jc w:val="both"/>
        <w:ind w:left="720" w:hanging="719"/>
        <w:spacing w:after="0" w:line="29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Market Information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July 2021, the Bank’s Class A common stock began trading on the Nasdaq Stock Market under ticker symbol “USCB”.</w:t>
      </w:r>
    </w:p>
    <w:p>
      <w:pPr>
        <w:spacing w:after="0" w:line="24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Effective December 30, 2021, the Company acquired all issued and outstanding shares of Class A common stock of the Bank in connection with the bank holding company reorganization. Each of the outstanding shares of the Bank’s common stock formerly held by its shareholders was converted into and exchanged for one newly issued share of the Company’s common stock. The Company’s Class A common stock is also listed on the Nasdaq Stock Market and uses the same ticker symbol.</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listing of our Class A common stock on the Nasdaq Stock Market has resulted in a more active trading market for our Class A common stock. However, we cannot assure investors that a liquid trading market for our Class A common stock will be sustained.</w:t>
      </w:r>
    </w:p>
    <w:p>
      <w:pPr>
        <w:spacing w:after="0" w:line="17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for the last two fiscal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Stock Price</w:t>
            </w:r>
          </w:p>
        </w:tc>
        <w:tc>
          <w:tcPr>
            <w:tcW w:w="1400" w:type="dxa"/>
            <w:vAlign w:val="bottom"/>
            <w:tcBorders>
              <w:bottom w:val="single" w:sz="8" w:color="auto"/>
            </w:tcBorders>
          </w:tcPr>
          <w:p>
            <w:pPr>
              <w:spacing w:after="0"/>
              <w:rPr>
                <w:sz w:val="19"/>
                <w:szCs w:val="19"/>
                <w:color w:val="auto"/>
              </w:rPr>
            </w:pPr>
          </w:p>
        </w:tc>
      </w:tr>
      <w:tr>
        <w:trPr>
          <w:trHeight w:val="220"/>
        </w:trPr>
        <w:tc>
          <w:tcPr>
            <w:tcW w:w="4200" w:type="dxa"/>
            <w:vAlign w:val="bottom"/>
            <w:tcBorders>
              <w:bottom w:val="single" w:sz="8" w:color="D2EEF5"/>
            </w:tcBorders>
          </w:tcPr>
          <w:p>
            <w:pPr>
              <w:spacing w:after="0"/>
              <w:rPr>
                <w:sz w:val="19"/>
                <w:szCs w:val="19"/>
                <w:color w:val="auto"/>
              </w:rPr>
            </w:pPr>
          </w:p>
        </w:tc>
        <w:tc>
          <w:tcPr>
            <w:tcW w:w="2420" w:type="dxa"/>
            <w:vAlign w:val="bottom"/>
            <w:tcBorders>
              <w:bottom w:val="single" w:sz="8" w:color="D2EEF5"/>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High</w:t>
            </w:r>
          </w:p>
        </w:tc>
        <w:tc>
          <w:tcPr>
            <w:tcW w:w="60" w:type="dxa"/>
            <w:vAlign w:val="bottom"/>
            <w:tcBorders>
              <w:bottom w:val="single" w:sz="8" w:color="D2EEF5"/>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Low</w:t>
            </w:r>
          </w:p>
        </w:tc>
      </w:tr>
      <w:tr>
        <w:trPr>
          <w:trHeight w:val="220"/>
        </w:trPr>
        <w:tc>
          <w:tcPr>
            <w:tcW w:w="420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Quarter Ended:</w:t>
            </w:r>
          </w:p>
        </w:tc>
        <w:tc>
          <w:tcPr>
            <w:tcW w:w="2420" w:type="dxa"/>
            <w:vAlign w:val="bottom"/>
            <w:shd w:val="clear" w:color="auto" w:fill="D2EEF5"/>
          </w:tcPr>
          <w:p>
            <w:pPr>
              <w:spacing w:after="0"/>
              <w:rPr>
                <w:sz w:val="19"/>
                <w:szCs w:val="19"/>
                <w:color w:val="auto"/>
              </w:rPr>
            </w:pPr>
          </w:p>
        </w:tc>
        <w:tc>
          <w:tcPr>
            <w:tcW w:w="460" w:type="dxa"/>
            <w:vAlign w:val="bottom"/>
            <w:shd w:val="clear" w:color="auto" w:fill="D2EEF5"/>
          </w:tcPr>
          <w:p>
            <w:pPr>
              <w:spacing w:after="0"/>
              <w:rPr>
                <w:sz w:val="19"/>
                <w:szCs w:val="19"/>
                <w:color w:val="auto"/>
              </w:rPr>
            </w:pPr>
          </w:p>
        </w:tc>
        <w:tc>
          <w:tcPr>
            <w:tcW w:w="16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660" w:type="dxa"/>
            <w:vAlign w:val="bottom"/>
            <w:shd w:val="clear" w:color="auto" w:fill="D2EEF5"/>
          </w:tcPr>
          <w:p>
            <w:pPr>
              <w:spacing w:after="0"/>
              <w:rPr>
                <w:sz w:val="19"/>
                <w:szCs w:val="19"/>
                <w:color w:val="auto"/>
              </w:rPr>
            </w:pPr>
          </w:p>
        </w:tc>
        <w:tc>
          <w:tcPr>
            <w:tcW w:w="1400" w:type="dxa"/>
            <w:vAlign w:val="bottom"/>
            <w:shd w:val="clear" w:color="auto" w:fill="D2EEF5"/>
          </w:tcPr>
          <w:p>
            <w:pPr>
              <w:spacing w:after="0"/>
              <w:rPr>
                <w:sz w:val="19"/>
                <w:szCs w:val="19"/>
                <w:color w:val="auto"/>
              </w:rPr>
            </w:pPr>
          </w:p>
        </w:tc>
      </w:tr>
      <w:tr>
        <w:trPr>
          <w:trHeight w:val="240"/>
        </w:trPr>
        <w:tc>
          <w:tcPr>
            <w:tcW w:w="4200" w:type="dxa"/>
            <w:vAlign w:val="bottom"/>
          </w:tcPr>
          <w:p>
            <w:pPr>
              <w:ind w:left="140"/>
              <w:spacing w:after="0"/>
              <w:rPr>
                <w:sz w:val="20"/>
                <w:szCs w:val="20"/>
                <w:color w:val="auto"/>
              </w:rPr>
            </w:pPr>
            <w:r>
              <w:rPr>
                <w:rFonts w:ascii="Arial" w:cs="Arial" w:eastAsia="Arial" w:hAnsi="Arial"/>
                <w:sz w:val="18"/>
                <w:szCs w:val="18"/>
                <w:color w:val="auto"/>
              </w:rPr>
              <w:t>March 31, 2023</w:t>
            </w:r>
          </w:p>
        </w:tc>
        <w:tc>
          <w:tcPr>
            <w:tcW w:w="2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12.71</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40"/>
        </w:trPr>
        <w:tc>
          <w:tcPr>
            <w:tcW w:w="42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June 30, 2023</w:t>
            </w:r>
          </w:p>
        </w:tc>
        <w:tc>
          <w:tcPr>
            <w:tcW w:w="2880" w:type="dxa"/>
            <w:vAlign w:val="bottom"/>
            <w:gridSpan w:val="2"/>
            <w:shd w:val="clear" w:color="auto" w:fill="D2EEF5"/>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D2EEF5"/>
          </w:tcPr>
          <w:p>
            <w:pPr>
              <w:spacing w:after="0"/>
              <w:rPr>
                <w:sz w:val="20"/>
                <w:szCs w:val="20"/>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8.86</w:t>
            </w:r>
          </w:p>
        </w:tc>
      </w:tr>
      <w:tr>
        <w:trPr>
          <w:trHeight w:val="240"/>
        </w:trPr>
        <w:tc>
          <w:tcPr>
            <w:tcW w:w="4200" w:type="dxa"/>
            <w:vAlign w:val="bottom"/>
          </w:tcPr>
          <w:p>
            <w:pPr>
              <w:ind w:left="140"/>
              <w:spacing w:after="0"/>
              <w:rPr>
                <w:sz w:val="20"/>
                <w:szCs w:val="20"/>
                <w:color w:val="auto"/>
              </w:rPr>
            </w:pPr>
            <w:r>
              <w:rPr>
                <w:rFonts w:ascii="Arial" w:cs="Arial" w:eastAsia="Arial" w:hAnsi="Arial"/>
                <w:sz w:val="18"/>
                <w:szCs w:val="18"/>
                <w:color w:val="auto"/>
              </w:rPr>
              <w:t>September 30, 2023</w:t>
            </w:r>
          </w:p>
        </w:tc>
        <w:tc>
          <w:tcPr>
            <w:tcW w:w="2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12.09</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40"/>
        </w:trPr>
        <w:tc>
          <w:tcPr>
            <w:tcW w:w="42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December 31, 2023</w:t>
            </w:r>
          </w:p>
        </w:tc>
        <w:tc>
          <w:tcPr>
            <w:tcW w:w="2880" w:type="dxa"/>
            <w:vAlign w:val="bottom"/>
            <w:gridSpan w:val="2"/>
            <w:shd w:val="clear" w:color="auto" w:fill="D2EEF5"/>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D2EEF5"/>
          </w:tcPr>
          <w:p>
            <w:pPr>
              <w:spacing w:after="0"/>
              <w:rPr>
                <w:sz w:val="20"/>
                <w:szCs w:val="20"/>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10.11</w:t>
            </w:r>
          </w:p>
        </w:tc>
      </w:tr>
      <w:tr>
        <w:trPr>
          <w:trHeight w:val="240"/>
        </w:trPr>
        <w:tc>
          <w:tcPr>
            <w:tcW w:w="4200" w:type="dxa"/>
            <w:vAlign w:val="bottom"/>
          </w:tcPr>
          <w:p>
            <w:pPr>
              <w:ind w:left="140"/>
              <w:spacing w:after="0"/>
              <w:rPr>
                <w:sz w:val="20"/>
                <w:szCs w:val="20"/>
                <w:color w:val="auto"/>
              </w:rPr>
            </w:pPr>
            <w:r>
              <w:rPr>
                <w:rFonts w:ascii="Arial" w:cs="Arial" w:eastAsia="Arial" w:hAnsi="Arial"/>
                <w:sz w:val="18"/>
                <w:szCs w:val="18"/>
                <w:color w:val="auto"/>
              </w:rPr>
              <w:t>March 31, 2024</w:t>
            </w:r>
          </w:p>
        </w:tc>
        <w:tc>
          <w:tcPr>
            <w:tcW w:w="2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12.44</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40"/>
        </w:trPr>
        <w:tc>
          <w:tcPr>
            <w:tcW w:w="42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June 30, 2024</w:t>
            </w:r>
          </w:p>
        </w:tc>
        <w:tc>
          <w:tcPr>
            <w:tcW w:w="2880" w:type="dxa"/>
            <w:vAlign w:val="bottom"/>
            <w:gridSpan w:val="2"/>
            <w:shd w:val="clear" w:color="auto" w:fill="D2EEF5"/>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D2EEF5"/>
          </w:tcPr>
          <w:p>
            <w:pPr>
              <w:spacing w:after="0"/>
              <w:rPr>
                <w:sz w:val="20"/>
                <w:szCs w:val="20"/>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10.25</w:t>
            </w:r>
          </w:p>
        </w:tc>
      </w:tr>
      <w:tr>
        <w:trPr>
          <w:trHeight w:val="240"/>
        </w:trPr>
        <w:tc>
          <w:tcPr>
            <w:tcW w:w="4200" w:type="dxa"/>
            <w:vAlign w:val="bottom"/>
          </w:tcPr>
          <w:p>
            <w:pPr>
              <w:ind w:left="140"/>
              <w:spacing w:after="0"/>
              <w:rPr>
                <w:sz w:val="20"/>
                <w:szCs w:val="20"/>
                <w:color w:val="auto"/>
              </w:rPr>
            </w:pPr>
            <w:r>
              <w:rPr>
                <w:rFonts w:ascii="Arial" w:cs="Arial" w:eastAsia="Arial" w:hAnsi="Arial"/>
                <w:sz w:val="18"/>
                <w:szCs w:val="18"/>
                <w:color w:val="auto"/>
              </w:rPr>
              <w:t>September 30, 2024</w:t>
            </w:r>
          </w:p>
        </w:tc>
        <w:tc>
          <w:tcPr>
            <w:tcW w:w="2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16.66</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40"/>
        </w:trPr>
        <w:tc>
          <w:tcPr>
            <w:tcW w:w="42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December 31, 2024</w:t>
            </w:r>
          </w:p>
        </w:tc>
        <w:tc>
          <w:tcPr>
            <w:tcW w:w="2880" w:type="dxa"/>
            <w:vAlign w:val="bottom"/>
            <w:gridSpan w:val="2"/>
            <w:shd w:val="clear" w:color="auto" w:fill="D2EEF5"/>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20.78</w:t>
            </w:r>
          </w:p>
        </w:tc>
        <w:tc>
          <w:tcPr>
            <w:tcW w:w="60" w:type="dxa"/>
            <w:vAlign w:val="bottom"/>
            <w:shd w:val="clear" w:color="auto" w:fill="D2EEF5"/>
          </w:tcPr>
          <w:p>
            <w:pPr>
              <w:spacing w:after="0"/>
              <w:rPr>
                <w:sz w:val="20"/>
                <w:szCs w:val="20"/>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14.16</w:t>
            </w:r>
          </w:p>
        </w:tc>
      </w:tr>
    </w:tbl>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of December 31, 2024, our Class B common stock is not listed or traded on any stock exchange and no shares were issued and outstanding at such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of January 31, 2025, the Company’s Class A common shares were held by approximately 526 shareholders of record, not including the number of persons or entities whose stock is held in nominee or “street” name through various brokerage firms and banks.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3"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As a bank holding company, the Company’s ability to declare and pay dividends depends on various federal regulatory considerations, including the guidelines of the Federal Reserve regarding capital adequacy and dividends. The Company has agreed to provide notice to the Federal Reserve prior to paying any cash dividends on its Class A common stock.</w:t>
      </w:r>
    </w:p>
    <w:p>
      <w:pPr>
        <w:spacing w:after="0" w:line="152"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 The Bank cannot declare and pay and cash dividends to the Company without receiving the prior approval of the FDIC.</w:t>
      </w:r>
    </w:p>
    <w:p>
      <w:pPr>
        <w:spacing w:after="0" w:line="17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w:t>
      </w:r>
    </w:p>
    <w:p>
      <w:pPr>
        <w:spacing w:after="0" w:line="200" w:lineRule="exact"/>
        <w:rPr>
          <w:sz w:val="20"/>
          <w:szCs w:val="20"/>
          <w:color w:val="auto"/>
        </w:rPr>
      </w:pPr>
    </w:p>
    <w:p>
      <w:pPr>
        <w:spacing w:after="0" w:line="22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amount that would be needed for the Company to satisfy the preferential rights upon dissolution of shareholders whose preferential rights are superior to those receiving the dividend, if any.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See Note 9 ”Equity Based and Other Compensation Plans” to the Consolidated Financial Statements included in this Annual Report Form on 10-K for additional information required.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Performance</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graph below compares the cumulative total return to stockholders of our Class A common stock between July 23, 2021 (the date the Bank’s Class A common stock commenced trading on the Nasdaq Stock Market) and December 31, 2024,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w:t>
      </w:r>
    </w:p>
    <w:p>
      <w:pPr>
        <w:spacing w:after="0" w:line="183"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20"/>
          <w:szCs w:val="20"/>
          <w:color w:val="auto"/>
        </w:rPr>
        <w:t>The comparisons shown in the graph below are based upon historical data. We caution that the stock price performance shown in the graph below is not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400800" cy="2726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0800" cy="272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07/23/2021</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12/31/2021</w:t>
            </w:r>
          </w:p>
        </w:tc>
        <w:tc>
          <w:tcPr>
            <w:tcW w:w="8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12/31/2022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12/31/2023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12/31/2024</w:t>
            </w:r>
          </w:p>
        </w:tc>
      </w:tr>
      <w:tr>
        <w:trPr>
          <w:trHeight w:val="220"/>
        </w:trPr>
        <w:tc>
          <w:tcPr>
            <w:tcW w:w="3340" w:type="dxa"/>
            <w:vAlign w:val="bottom"/>
            <w:shd w:val="clear" w:color="auto" w:fill="D2EEF5"/>
          </w:tcPr>
          <w:p>
            <w:pPr>
              <w:spacing w:after="0"/>
              <w:rPr>
                <w:sz w:val="20"/>
                <w:szCs w:val="20"/>
                <w:color w:val="auto"/>
              </w:rPr>
            </w:pPr>
            <w:r>
              <w:rPr>
                <w:rFonts w:ascii="Arial" w:cs="Arial" w:eastAsia="Arial" w:hAnsi="Arial"/>
                <w:sz w:val="18"/>
                <w:szCs w:val="18"/>
                <w:color w:val="auto"/>
              </w:rPr>
              <w:t>USCB Financial Holdings, Inc. (USCB)</w:t>
            </w: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166</w:t>
            </w:r>
          </w:p>
        </w:tc>
      </w:tr>
      <w:tr>
        <w:trPr>
          <w:trHeight w:val="240"/>
        </w:trPr>
        <w:tc>
          <w:tcPr>
            <w:tcW w:w="3340" w:type="dxa"/>
            <w:vAlign w:val="bottom"/>
          </w:tcPr>
          <w:p>
            <w:pPr>
              <w:spacing w:after="0"/>
              <w:rPr>
                <w:sz w:val="20"/>
                <w:szCs w:val="20"/>
                <w:color w:val="auto"/>
              </w:rPr>
            </w:pPr>
            <w:r>
              <w:rPr>
                <w:rFonts w:ascii="Arial" w:cs="Arial" w:eastAsia="Arial" w:hAnsi="Arial"/>
                <w:sz w:val="18"/>
                <w:szCs w:val="18"/>
                <w:color w:val="auto"/>
              </w:rPr>
              <w:t>NASDAQ Bank (BANK)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0"/>
        </w:trPr>
        <w:tc>
          <w:tcPr>
            <w:tcW w:w="3340" w:type="dxa"/>
            <w:vAlign w:val="bottom"/>
            <w:shd w:val="clear" w:color="auto" w:fill="D2EEF5"/>
          </w:tcPr>
          <w:p>
            <w:pPr>
              <w:spacing w:after="0"/>
              <w:rPr>
                <w:sz w:val="20"/>
                <w:szCs w:val="20"/>
                <w:color w:val="auto"/>
              </w:rPr>
            </w:pPr>
            <w:r>
              <w:rPr>
                <w:rFonts w:ascii="Arial" w:cs="Arial" w:eastAsia="Arial" w:hAnsi="Arial"/>
                <w:sz w:val="18"/>
                <w:szCs w:val="18"/>
                <w:color w:val="auto"/>
              </w:rPr>
              <w:t>NASDAQ ABA Community Bank (QABA)</w:t>
            </w: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106</w:t>
            </w:r>
          </w:p>
        </w:tc>
      </w:tr>
      <w:tr>
        <w:trPr>
          <w:trHeight w:val="260"/>
        </w:trPr>
        <w:tc>
          <w:tcPr>
            <w:tcW w:w="3340" w:type="dxa"/>
            <w:vAlign w:val="bottom"/>
          </w:tcPr>
          <w:p>
            <w:pPr>
              <w:spacing w:after="0"/>
              <w:rPr>
                <w:sz w:val="20"/>
                <w:szCs w:val="20"/>
                <w:color w:val="auto"/>
              </w:rPr>
            </w:pPr>
            <w:r>
              <w:rPr>
                <w:rFonts w:ascii="Arial" w:cs="Arial" w:eastAsia="Arial" w:hAnsi="Arial"/>
                <w:sz w:val="18"/>
                <w:szCs w:val="18"/>
                <w:color w:val="auto"/>
              </w:rPr>
              <w:t>NASDAQ Composite (IXIC)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sell any of its equity securities during 2024 that were not registered under the 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Issuer and Other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On January 24, 2022, the Board of Directors approved the first share repurchase program of up to 750,000 shares of Class A common stock. On April 22, 2024 the Board of Directors approved the second share repurchase program of up to 500,000 shares of Class A common stock. Under the repurchase programs, the Company may purchase shares of Class A common stock on a discretionary basis from time to time through open market repurchases, privately negotiated transactions, or otherwise in compliance with Rule 10b-18 under the Exchange Act. As of December 31, 2024, the Company had repurchased 712,020 shares of Class A common stock under the first program and no shares under the second repurchase program. The Company did not repurchase any of its equity securities for the quarter ended December 31, 2024. As of December 31, 2024, 537,980 shares remained authorized for repurchase under the Company’s two stock repurchase programs.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2024 and 2023. This discussion and analysis is best read in conjunction with the Consolidated Financial Statements and related footnotes of the Company presented in Item 8 “Financial Statements and Supplementary Data” of this Annual Report on Form 10- 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9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i w:val="1"/>
          <w:iCs w:val="1"/>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“seek,”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1" w:lineRule="exact"/>
        <w:rPr>
          <w:sz w:val="20"/>
          <w:szCs w:val="20"/>
          <w:color w:val="auto"/>
        </w:rPr>
      </w:pPr>
    </w:p>
    <w:p>
      <w:pPr>
        <w:ind w:left="720" w:hanging="360"/>
        <w:spacing w:after="0" w:line="254"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strength of the United States economy in general and the strength of the local economies in which we conduct operations;</w:t>
      </w:r>
    </w:p>
    <w:p>
      <w:pPr>
        <w:ind w:left="720" w:hanging="360"/>
        <w:spacing w:after="0"/>
        <w:tabs>
          <w:tab w:leader="none" w:pos="7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ability to successfully manage interest rate risk, credit risk, liquidity risk, and other risks inherent to our industry;</w:t>
      </w:r>
    </w:p>
    <w:p>
      <w:pPr>
        <w:spacing w:after="0" w:line="9" w:lineRule="exact"/>
        <w:rPr>
          <w:rFonts w:ascii="Arial" w:cs="Arial" w:eastAsia="Arial" w:hAnsi="Arial"/>
          <w:sz w:val="19"/>
          <w:szCs w:val="19"/>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accuracy of our financial statement estimates and assumptions, including the estimates used for our credit loss reserve and deferred tax asset valuation allowance;</w:t>
      </w: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efficiency and effectiveness of our internal control environment;</w:t>
      </w:r>
    </w:p>
    <w:p>
      <w:pPr>
        <w:ind w:left="720" w:hanging="360"/>
        <w:spacing w:after="0" w:line="23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comply with the extensive laws and regulations to which we are subject, including the laws for each jurisdiction where we operate;</w:t>
      </w: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adverse changes or conditions in the capital and financial markets, including actual or potential stresses in the banking industry;</w:t>
      </w: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deposit attrition and the level of our uninsured deposits;</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legislative or regulatory changes and changes in accounting principles, policies, practices or guidelines, including the on-going effects of the implementation of CECL;</w:t>
      </w:r>
    </w:p>
    <w:p>
      <w:pPr>
        <w:jc w:val="both"/>
        <w:ind w:left="720" w:hanging="361"/>
        <w:spacing w:after="0" w:line="23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20"/>
          <w:szCs w:val="20"/>
          <w:color w:val="auto"/>
        </w:rPr>
      </w:pP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effects of climate change;</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concentration of ownership of our common stock;</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fluctuations in the price of our common stock;</w:t>
      </w:r>
    </w:p>
    <w:p>
      <w:pPr>
        <w:ind w:left="720" w:hanging="361"/>
        <w:spacing w:after="0" w:line="23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fund or access the capital markets at attractive rates and terms and manage our growth, both organic growth as well as growth through other means, such as future acquisitions;</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inflation, interest rate, unemployment rate, market, and monetary fluctuations;</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impacts of international hostilities and geopolitical events;</w:t>
      </w:r>
    </w:p>
    <w:p>
      <w:pPr>
        <w:ind w:left="720" w:hanging="361"/>
        <w:spacing w:after="0" w:line="23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increased competition and its effect on the pricing of our products and services as well as our net interest rate spread and net interest margin;</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loss of key employees;</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effectiveness of our risk management strategies, including operational risks, including, but not limited to, client, employee, or third-party fraud and cybersecurity breaches; and</w:t>
      </w:r>
    </w:p>
    <w:p>
      <w:pPr>
        <w:ind w:left="720" w:hanging="361"/>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other risks described in this Annual Report on Form 10-K and other filings we make with the SEC.</w:t>
      </w:r>
    </w:p>
    <w:p>
      <w:pPr>
        <w:spacing w:after="0" w:line="20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 K and in the reports the Company filed or will file with the SEC and, for periods prior to the Effective Date, the Bank filed with the FDIC.</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w:t>
      </w:r>
    </w:p>
    <w:p>
      <w:pPr>
        <w:spacing w:after="0" w:line="32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the year ended December 31, 2024, the Company reported net income of $24.7 million compared with net income of $16.5 million for the year ended December 31, 2023.</w:t>
      </w:r>
    </w:p>
    <w:p>
      <w:pPr>
        <w:spacing w:after="0" w:line="1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evaluating our financial performance, we consider the level of and trends in net interest income, the net interest margin, the cost of deposits, growth and composition of our loan portfolio, levels and composition of non-interest income and non-interest expense, performance ratios, asset quality ratios, regulatory capital ratios, and any significant event or transaction.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significant highlights are of note for the year ended December 31, 2024:</w:t>
      </w:r>
    </w:p>
    <w:p>
      <w:pPr>
        <w:spacing w:after="0" w:line="229" w:lineRule="exact"/>
        <w:rPr>
          <w:sz w:val="20"/>
          <w:szCs w:val="20"/>
          <w:color w:val="auto"/>
        </w:rPr>
      </w:pPr>
    </w:p>
    <w:p>
      <w:pPr>
        <w:ind w:left="720" w:hanging="361"/>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On January 29, 2024, the Company announced that its Board of Directors had adopted a quarterly cash dividend program. The quarterly dividend for all quarters in 2024 was $0.05 per share of Class A common stock.</w:t>
      </w:r>
    </w:p>
    <w:p>
      <w:pPr>
        <w:spacing w:after="0" w:line="15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Net interest income before provision for credit losses totaled $69.9 million, an increase of $11.4 million or 19.4%, compared to $58.6 million for the year ended December 31, 2023.</w:t>
      </w:r>
    </w:p>
    <w:p>
      <w:pPr>
        <w:spacing w:after="0" w:line="14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Net interest margin (“NIM”) was 2.94% for the year ended December 31, 2024 , an improvement from 2.79% for the year ended December 31, 2023.</w:t>
      </w:r>
    </w:p>
    <w:p>
      <w:pPr>
        <w:spacing w:after="0" w:line="150" w:lineRule="exact"/>
        <w:rPr>
          <w:rFonts w:ascii="Arial" w:cs="Arial" w:eastAsia="Arial" w:hAnsi="Arial"/>
          <w:sz w:val="20"/>
          <w:szCs w:val="20"/>
          <w:color w:val="auto"/>
        </w:rPr>
      </w:pPr>
    </w:p>
    <w:p>
      <w:pPr>
        <w:ind w:left="720" w:hanging="362"/>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Total assets grew to $2.6 billion at December 31, 2024, an increase of $242.1 million or 10.4%, compared to $2.3 billion at December 31, 2023.</w:t>
      </w:r>
    </w:p>
    <w:p>
      <w:pPr>
        <w:spacing w:after="0" w:line="148" w:lineRule="exact"/>
        <w:rPr>
          <w:rFonts w:ascii="Arial" w:cs="Arial" w:eastAsia="Arial" w:hAnsi="Arial"/>
          <w:sz w:val="20"/>
          <w:szCs w:val="20"/>
          <w:color w:val="auto"/>
        </w:rPr>
      </w:pPr>
    </w:p>
    <w:p>
      <w:pPr>
        <w:ind w:left="720" w:hanging="362"/>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Total loans held for investment grew to $2.0 billion at December 31, 2024, an increase of $192.0 million or 10.8%, compared to $1.8 billion at December 31, 2023.</w:t>
      </w:r>
    </w:p>
    <w:p>
      <w:pPr>
        <w:spacing w:after="0" w:line="150" w:lineRule="exact"/>
        <w:rPr>
          <w:rFonts w:ascii="Arial" w:cs="Arial" w:eastAsia="Arial" w:hAnsi="Arial"/>
          <w:sz w:val="20"/>
          <w:szCs w:val="20"/>
          <w:color w:val="auto"/>
        </w:rPr>
      </w:pPr>
    </w:p>
    <w:p>
      <w:pPr>
        <w:ind w:left="720" w:hanging="362"/>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Return on average assets for the year ended December 31, 2024 was 0.99% compared to 0.75% for 2023.</w:t>
      </w:r>
    </w:p>
    <w:p>
      <w:pPr>
        <w:spacing w:after="0" w:line="228" w:lineRule="exact"/>
        <w:rPr>
          <w:rFonts w:ascii="Arial" w:cs="Arial" w:eastAsia="Arial" w:hAnsi="Arial"/>
          <w:sz w:val="20"/>
          <w:szCs w:val="20"/>
          <w:color w:val="auto"/>
        </w:rPr>
      </w:pPr>
    </w:p>
    <w:p>
      <w:pPr>
        <w:ind w:left="720" w:hanging="362"/>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Return on average stockholders’ equity for the year ended December 31, 2024 was 12.11% compared to 8.99% for 2023.</w:t>
      </w:r>
    </w:p>
    <w:p>
      <w:pPr>
        <w:spacing w:after="0" w:line="150" w:lineRule="exact"/>
        <w:rPr>
          <w:rFonts w:ascii="Arial" w:cs="Arial" w:eastAsia="Arial" w:hAnsi="Arial"/>
          <w:sz w:val="20"/>
          <w:szCs w:val="20"/>
          <w:color w:val="auto"/>
        </w:rPr>
      </w:pPr>
    </w:p>
    <w:p>
      <w:pPr>
        <w:ind w:left="720" w:hanging="363"/>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Nonperforming assets totaled $2.7 million at December 31, 2024 compared to $468 thousand at December 31, 2023.</w:t>
      </w:r>
    </w:p>
    <w:p>
      <w:pPr>
        <w:spacing w:after="0" w:line="148" w:lineRule="exact"/>
        <w:rPr>
          <w:rFonts w:ascii="Arial" w:cs="Arial" w:eastAsia="Arial" w:hAnsi="Arial"/>
          <w:sz w:val="20"/>
          <w:szCs w:val="20"/>
          <w:color w:val="auto"/>
        </w:rPr>
      </w:pPr>
    </w:p>
    <w:p>
      <w:pPr>
        <w:jc w:val="both"/>
        <w:ind w:left="720" w:hanging="363"/>
        <w:spacing w:after="0" w:line="251"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maintained its strong capital position. As of December 31, 2024, the Bank was well-capitalized for regulatory capital purposes, with a total risk-based capital ratio of 13.34%, a tier 1 risk-based capital ratio of 12.10%, a common equity tier 1 capital ratio of 12.10%, and a leverage ratio of 9.38%. As of December 31, 2024 and 2023, all of the Bank’s regulatory capital ratios exceeded the thresholds to be well-capitalized under the applicable bank regulatory requirements.</w:t>
      </w:r>
    </w:p>
    <w:p>
      <w:pPr>
        <w:spacing w:after="0" w:line="177" w:lineRule="exact"/>
        <w:rPr>
          <w:rFonts w:ascii="Arial" w:cs="Arial" w:eastAsia="Arial" w:hAnsi="Arial"/>
          <w:sz w:val="20"/>
          <w:szCs w:val="20"/>
          <w:color w:val="auto"/>
        </w:rPr>
      </w:pPr>
    </w:p>
    <w:p>
      <w:pPr>
        <w:ind w:left="720" w:hanging="363"/>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April 2024, the Board of Directors approved a new share repurchase program of up to 500,000 shares of Class A common stock or approximately 2.5% of the Company’s then issued and outstanding shares of common stock.</w:t>
      </w:r>
    </w:p>
    <w:p>
      <w:pPr>
        <w:spacing w:after="0" w:line="150" w:lineRule="exact"/>
        <w:rPr>
          <w:rFonts w:ascii="Arial" w:cs="Arial" w:eastAsia="Arial" w:hAnsi="Arial"/>
          <w:sz w:val="20"/>
          <w:szCs w:val="20"/>
          <w:color w:val="auto"/>
        </w:rPr>
      </w:pPr>
    </w:p>
    <w:p>
      <w:pPr>
        <w:jc w:val="both"/>
        <w:ind w:left="720" w:hanging="363"/>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During the year ended December 31, 2024, the Company repurchased 42,100 shares of Class A common stock at a weighted average price per share of $11.85. The aggregate purchase price for these transactions was approximately $501 thousand, including transaction costs. These repurchases were made through open market purchases pursuant to the Company’s publicly announced repurchase programs. As of December 31, 2024, 537,980 shares remained authorized for repurchase under the current two programs.</w:t>
      </w:r>
    </w:p>
    <w:p>
      <w:pPr>
        <w:spacing w:after="0" w:line="182" w:lineRule="exact"/>
        <w:rPr>
          <w:rFonts w:ascii="Arial" w:cs="Arial" w:eastAsia="Arial" w:hAnsi="Arial"/>
          <w:sz w:val="20"/>
          <w:szCs w:val="20"/>
          <w:color w:val="auto"/>
        </w:rPr>
      </w:pPr>
    </w:p>
    <w:p>
      <w:pPr>
        <w:ind w:left="720" w:hanging="363"/>
        <w:spacing w:after="0" w:line="282"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During the third quarter in 2024, the Company unwound four fair value interest rate swaps with a notional aggregate amount of $200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6" w:name="page57"/>
    <w:bookmarkEnd w:id="56"/>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Allowance for Credit Losses - Loans</w:t>
      </w:r>
    </w:p>
    <w:p>
      <w:pPr>
        <w:spacing w:after="0" w:line="22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financial statement presentation.</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On January 1, 2023, the Company implemented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 -to-maturity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w:t>
      </w:r>
    </w:p>
    <w:p>
      <w:pPr>
        <w:spacing w:after="0" w:line="182"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Under CECL, the Company estimates the allowance for credit losses by utilizing pertinent available data, sourced both internally and externally, relating to past events, current conditions, and reasonable and supportable forecasts. Historical credit losses provide the foundation for the estimation of expected credit losses. Qualitative adjustments are applied to the estimated expected credit losses for the loan portfolio to account for potential constraints of the quantitative model. Management employs a scorecard to facilitate the evaluation of qualitative factor adjustments made to expected credit losses.</w:t>
      </w:r>
    </w:p>
    <w:p>
      <w:pPr>
        <w:spacing w:after="0" w:line="18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estimation's quantitative aspect relies on the statistical correlation between the anticipated value of an economic indicator and the historical loss experience implied within a selected group of peers. The Company conducted regression analyses using peer data, inclusive of the Company itself, where observed credit losses and chosen economic indicators were utilized to identify appropriate drivers for modeling the lifetime probability of default (“PD”) rates. A loss given default rate (“LGD”) is assigned to each pool of loans for each period based on these PD outcomes. The model primarily employs an expected discounted cash flow (“DCF”) analysis for segments within the loan portfolio. This DCF analysis operates at the individual instrument level and incorporates various loan-specific data points and segment-specific assumptions to ascertain the lifetime expected loss associated with each instrument. An implicit "hypothetical loss" is determined for each period of the DCF, aiding in establishing the present value of future cash flows for each period. The reserve allocated to a particular loan represents the disparity between the sum of the present value of future cash flows and the book balance of the loan at the measurement date.</w:t>
      </w:r>
    </w:p>
    <w:p>
      <w:pPr>
        <w:spacing w:after="0" w:line="18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Management uses the Remaining Life (“WARM”) methodology for five segments within the loan portfolio. For each segment, a long-term average loss rate is computed and applied quarterly throughout the remaining life of the pool. Qualitative assessments are conducted to adjust for economic expectations. To estimate the remaining life, management employed a software solution utilizing an attrition-based calculation. This software conducts quarterly cohort-based attrition measurements based on the loan portfolio.</w:t>
      </w:r>
    </w:p>
    <w:p>
      <w:pPr>
        <w:spacing w:after="0" w:line="183"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Portfolio segments represent the level at which loss assumptions are applied to a pool of loans, determined by the similarity of risk characteristics inherent in the included instruments, based on collateral codes and FFIEC Call Report codes. Currently, the Company segments the portfolio based on collateral codes to establish reserves. Each segment is linked to regression models (Loss Driver Analyses) using peer data for loans with similar risk characteristics. The Company has established connections between internal portfolio segmentation and FFIEC Call Report codes for this purpose. The loss driver for each loan portfolio segment is derived from a readily available and reasonable economic forecast, including Federal Reserve Bank projections of the U.S. civilian unemployment rate and year-over-year real GDP growth. For the</w:t>
      </w:r>
    </w:p>
    <w:p>
      <w:pPr>
        <w:spacing w:after="0" w:line="30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residential loan segment, House Price Index (“HPI”) projections published by Fannie Mae’s Economic and Strategic Research Group are utilized for the forecast. Forecasts are applied for the first four quarters of the credit loss estimate and then linearly revert to the historical mean of the economic indicator over the expected life of the loans.</w:t>
      </w:r>
    </w:p>
    <w:p>
      <w:pPr>
        <w:spacing w:after="0" w:line="17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The model integrates qualitative factor adjustments to fine-tune risk calibration for each portfolio segment, addressing aspects that quantitative analysis may not fully capture. Decisions concerning qualitative adjustments reflect management's anticipation of loss conditions deviating from those already accounted for in the quantitative aspect of the model.</w:t>
      </w:r>
    </w:p>
    <w:p>
      <w:pPr>
        <w:spacing w:after="0" w:line="15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December 31, 2024, for every 100 basis points increase in the HPI index, the forecast reduces reserves by approximately $582 thousand and about 3 basis points to the reserve coverage ratio, everything else being constant. This sensitivity analysis provides a hypothetical result to assess the sensitivity of the ACL and does not represent a change in management’s judgement.</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of December 31, 2024,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resulted in a $9.6 million or 39.8% increase in the allowance for credit losses. This sensitivity analysis provides a hypothetical result to assess the sensitivity of the ACL and does not represent a change in management’s judgement.</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calculates a reserve for unfunded commitments, distinct from the allowance for credit losses reported in other liabilities. This reserve is determined using both quantitative and qualitative factors identical to those applied to the collectively evaluated loan portfolio.</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tables present selected balance sheet, income statement, and profitability ratios for the dates and for the periods indicated (in thousands, except ratios):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As of December 31,</w:t>
            </w:r>
          </w:p>
        </w:tc>
      </w:tr>
      <w:tr>
        <w:trPr>
          <w:trHeight w:val="220"/>
        </w:trPr>
        <w:tc>
          <w:tcPr>
            <w:tcW w:w="710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0"/>
        </w:trPr>
        <w:tc>
          <w:tcPr>
            <w:tcW w:w="710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shd w:val="clear" w:color="auto" w:fill="D2EEF5"/>
          </w:tcPr>
          <w:p>
            <w:pPr>
              <w:spacing w:after="0"/>
              <w:rPr>
                <w:sz w:val="19"/>
                <w:szCs w:val="19"/>
                <w:color w:val="auto"/>
              </w:rPr>
            </w:pPr>
          </w:p>
        </w:tc>
        <w:tc>
          <w:tcPr>
            <w:tcW w:w="16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spacing w:after="0"/>
              <w:rPr>
                <w:sz w:val="19"/>
                <w:szCs w:val="19"/>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2,581,216</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2,339,093</w:t>
            </w:r>
          </w:p>
        </w:tc>
      </w:tr>
      <w:tr>
        <w:trPr>
          <w:trHeight w:val="240"/>
        </w:trPr>
        <w:tc>
          <w:tcPr>
            <w:tcW w:w="7100" w:type="dxa"/>
            <w:vAlign w:val="bottom"/>
            <w:shd w:val="clear" w:color="auto" w:fill="D2EEF5"/>
          </w:tcPr>
          <w:p>
            <w:pPr>
              <w:ind w:left="140"/>
              <w:spacing w:after="0" w:line="224"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4"/>
                <w:szCs w:val="24"/>
                <w:color w:val="auto"/>
                <w:vertAlign w:val="superscript"/>
              </w:rPr>
              <w:t>(1)</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1,972,848</w:t>
            </w:r>
          </w:p>
        </w:tc>
        <w:tc>
          <w:tcPr>
            <w:tcW w:w="60" w:type="dxa"/>
            <w:vAlign w:val="bottom"/>
            <w:shd w:val="clear" w:color="auto" w:fill="D2EEF5"/>
          </w:tcPr>
          <w:p>
            <w:pPr>
              <w:spacing w:after="0"/>
              <w:rPr>
                <w:sz w:val="20"/>
                <w:szCs w:val="20"/>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1,780,827</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2,174,004</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1,937,139</w:t>
            </w:r>
          </w:p>
        </w:tc>
      </w:tr>
      <w:tr>
        <w:trPr>
          <w:trHeight w:val="240"/>
        </w:trPr>
        <w:tc>
          <w:tcPr>
            <w:tcW w:w="71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215,388</w:t>
            </w:r>
          </w:p>
        </w:tc>
        <w:tc>
          <w:tcPr>
            <w:tcW w:w="60" w:type="dxa"/>
            <w:vAlign w:val="bottom"/>
            <w:shd w:val="clear" w:color="auto" w:fill="D2EEF5"/>
          </w:tcPr>
          <w:p>
            <w:pPr>
              <w:spacing w:after="0"/>
              <w:rPr>
                <w:sz w:val="20"/>
                <w:szCs w:val="20"/>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191,968</w:t>
            </w:r>
          </w:p>
        </w:tc>
      </w:tr>
      <w:tr>
        <w:trPr>
          <w:trHeight w:val="240"/>
        </w:trPr>
        <w:tc>
          <w:tcPr>
            <w:tcW w:w="7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7"/>
        </w:trPr>
        <w:tc>
          <w:tcPr>
            <w:tcW w:w="7100" w:type="dxa"/>
            <w:vAlign w:val="bottom"/>
          </w:tcPr>
          <w:p>
            <w:pPr>
              <w:spacing w:after="0"/>
              <w:rPr>
                <w:sz w:val="20"/>
                <w:szCs w:val="20"/>
                <w:color w:val="auto"/>
              </w:rPr>
            </w:pPr>
            <w:r>
              <w:rPr>
                <w:rFonts w:ascii="Arial" w:cs="Arial" w:eastAsia="Arial" w:hAnsi="Arial"/>
                <w:sz w:val="16"/>
                <w:szCs w:val="16"/>
                <w:color w:val="auto"/>
              </w:rPr>
              <w:t>(1) Loan amounts include deferred fees/costs.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9"/>
              </w:rPr>
              <w:t>Years Ended December 31,</w:t>
            </w:r>
          </w:p>
        </w:tc>
        <w:tc>
          <w:tcPr>
            <w:tcW w:w="680" w:type="dxa"/>
            <w:vAlign w:val="bottom"/>
            <w:tcBorders>
              <w:bottom w:val="single" w:sz="8" w:color="auto"/>
            </w:tcBorders>
          </w:tcPr>
          <w:p>
            <w:pPr>
              <w:spacing w:after="0"/>
              <w:rPr>
                <w:sz w:val="19"/>
                <w:szCs w:val="19"/>
                <w:color w:val="auto"/>
              </w:rPr>
            </w:pPr>
          </w:p>
        </w:tc>
      </w:tr>
      <w:tr>
        <w:trPr>
          <w:trHeight w:val="220"/>
        </w:trPr>
        <w:tc>
          <w:tcPr>
            <w:tcW w:w="710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b w:val="1"/>
                <w:bCs w:val="1"/>
                <w:color w:val="auto"/>
                <w:w w:val="99"/>
              </w:rPr>
              <w:t>2024</w:t>
            </w:r>
          </w:p>
        </w:tc>
        <w:tc>
          <w:tcPr>
            <w:tcW w:w="7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19"/>
                <w:szCs w:val="19"/>
                <w:color w:val="auto"/>
              </w:rPr>
            </w:pPr>
          </w:p>
        </w:tc>
      </w:tr>
      <w:tr>
        <w:trPr>
          <w:trHeight w:val="220"/>
        </w:trPr>
        <w:tc>
          <w:tcPr>
            <w:tcW w:w="71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Borders>
              <w:top w:val="single" w:sz="8" w:color="auto"/>
            </w:tcBorders>
            <w:shd w:val="clear" w:color="auto" w:fill="D2EEF5"/>
          </w:tcPr>
          <w:p>
            <w:pPr>
              <w:spacing w:after="0"/>
              <w:rPr>
                <w:sz w:val="19"/>
                <w:szCs w:val="19"/>
                <w:color w:val="auto"/>
              </w:rPr>
            </w:pPr>
          </w:p>
        </w:tc>
        <w:tc>
          <w:tcPr>
            <w:tcW w:w="940" w:type="dxa"/>
            <w:vAlign w:val="bottom"/>
            <w:tcBorders>
              <w:top w:val="single" w:sz="8" w:color="auto"/>
            </w:tcBorders>
            <w:shd w:val="clear" w:color="auto" w:fill="D2EEF5"/>
          </w:tcPr>
          <w:p>
            <w:pPr>
              <w:spacing w:after="0"/>
              <w:rPr>
                <w:sz w:val="19"/>
                <w:szCs w:val="19"/>
                <w:color w:val="auto"/>
              </w:rPr>
            </w:pPr>
          </w:p>
        </w:tc>
        <w:tc>
          <w:tcPr>
            <w:tcW w:w="70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140" w:type="dxa"/>
            <w:vAlign w:val="bottom"/>
            <w:tcBorders>
              <w:top w:val="single" w:sz="8" w:color="auto"/>
            </w:tcBorders>
            <w:shd w:val="clear" w:color="auto" w:fill="D2EEF5"/>
          </w:tcPr>
          <w:p>
            <w:pPr>
              <w:spacing w:after="0"/>
              <w:rPr>
                <w:sz w:val="19"/>
                <w:szCs w:val="19"/>
                <w:color w:val="auto"/>
              </w:rPr>
            </w:pPr>
          </w:p>
        </w:tc>
        <w:tc>
          <w:tcPr>
            <w:tcW w:w="680" w:type="dxa"/>
            <w:vAlign w:val="bottom"/>
            <w:tcBorders>
              <w:top w:val="single" w:sz="8" w:color="auto"/>
            </w:tcBorders>
            <w:shd w:val="clear" w:color="auto" w:fill="D2EEF5"/>
          </w:tcPr>
          <w:p>
            <w:pPr>
              <w:spacing w:after="0"/>
              <w:rPr>
                <w:sz w:val="19"/>
                <w:szCs w:val="19"/>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Net interest income before provision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69,936</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58,568</w:t>
            </w:r>
          </w:p>
        </w:tc>
      </w:tr>
      <w:tr>
        <w:trPr>
          <w:trHeight w:val="240"/>
        </w:trPr>
        <w:tc>
          <w:tcPr>
            <w:tcW w:w="71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3,157</w:t>
            </w:r>
          </w:p>
        </w:tc>
        <w:tc>
          <w:tcPr>
            <w:tcW w:w="60" w:type="dxa"/>
            <w:vAlign w:val="bottom"/>
            <w:shd w:val="clear" w:color="auto" w:fill="D2EEF5"/>
          </w:tcPr>
          <w:p>
            <w:pPr>
              <w:spacing w:after="0"/>
              <w:rPr>
                <w:sz w:val="20"/>
                <w:szCs w:val="20"/>
                <w:color w:val="auto"/>
              </w:rPr>
            </w:pPr>
          </w:p>
        </w:tc>
        <w:tc>
          <w:tcPr>
            <w:tcW w:w="1140" w:type="dxa"/>
            <w:vAlign w:val="bottom"/>
            <w:shd w:val="clear" w:color="auto" w:fill="D2EE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2,367</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12,740</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7,403</w:t>
            </w:r>
          </w:p>
        </w:tc>
      </w:tr>
      <w:tr>
        <w:trPr>
          <w:trHeight w:val="240"/>
        </w:trPr>
        <w:tc>
          <w:tcPr>
            <w:tcW w:w="71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47,042</w:t>
            </w:r>
          </w:p>
        </w:tc>
        <w:tc>
          <w:tcPr>
            <w:tcW w:w="60" w:type="dxa"/>
            <w:vAlign w:val="bottom"/>
            <w:shd w:val="clear" w:color="auto" w:fill="D2EEF5"/>
          </w:tcPr>
          <w:p>
            <w:pPr>
              <w:spacing w:after="0"/>
              <w:rPr>
                <w:sz w:val="20"/>
                <w:szCs w:val="20"/>
                <w:color w:val="auto"/>
              </w:rPr>
            </w:pPr>
          </w:p>
        </w:tc>
        <w:tc>
          <w:tcPr>
            <w:tcW w:w="1140" w:type="dxa"/>
            <w:vAlign w:val="bottom"/>
            <w:shd w:val="clear" w:color="auto" w:fill="D2EE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41,808</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24,674</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40"/>
        </w:trPr>
        <w:tc>
          <w:tcPr>
            <w:tcW w:w="71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24,674</w:t>
            </w:r>
          </w:p>
        </w:tc>
        <w:tc>
          <w:tcPr>
            <w:tcW w:w="60" w:type="dxa"/>
            <w:vAlign w:val="bottom"/>
            <w:shd w:val="clear" w:color="auto" w:fill="D2EEF5"/>
          </w:tcPr>
          <w:p>
            <w:pPr>
              <w:spacing w:after="0"/>
              <w:rPr>
                <w:sz w:val="20"/>
                <w:szCs w:val="20"/>
                <w:color w:val="auto"/>
              </w:rPr>
            </w:pPr>
          </w:p>
        </w:tc>
        <w:tc>
          <w:tcPr>
            <w:tcW w:w="1140" w:type="dxa"/>
            <w:vAlign w:val="bottom"/>
            <w:shd w:val="clear" w:color="auto" w:fill="D2EE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16,545</w:t>
            </w:r>
          </w:p>
        </w:tc>
      </w:tr>
      <w:tr>
        <w:trPr>
          <w:trHeight w:val="240"/>
        </w:trPr>
        <w:tc>
          <w:tcPr>
            <w:tcW w:w="710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0"/>
        </w:trPr>
        <w:tc>
          <w:tcPr>
            <w:tcW w:w="71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Efficiency ratio</w:t>
            </w:r>
          </w:p>
        </w:tc>
        <w:tc>
          <w:tcPr>
            <w:tcW w:w="18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56.90%</w:t>
            </w:r>
          </w:p>
        </w:tc>
        <w:tc>
          <w:tcPr>
            <w:tcW w:w="60" w:type="dxa"/>
            <w:vAlign w:val="bottom"/>
            <w:shd w:val="clear" w:color="auto" w:fill="D2EEF5"/>
          </w:tcPr>
          <w:p>
            <w:pPr>
              <w:spacing w:after="0"/>
              <w:rPr>
                <w:sz w:val="20"/>
                <w:szCs w:val="20"/>
                <w:color w:val="auto"/>
              </w:rPr>
            </w:pPr>
          </w:p>
        </w:tc>
        <w:tc>
          <w:tcPr>
            <w:tcW w:w="114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8"/>
              </w:rPr>
              <w:t>63.37%</w:t>
            </w:r>
          </w:p>
        </w:tc>
      </w:tr>
      <w:tr>
        <w:trPr>
          <w:trHeight w:val="257"/>
        </w:trPr>
        <w:tc>
          <w:tcPr>
            <w:tcW w:w="7100" w:type="dxa"/>
            <w:vAlign w:val="bottom"/>
          </w:tcPr>
          <w:p>
            <w:pPr>
              <w:ind w:left="14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r>
    </w:tbl>
    <w:p>
      <w:pPr>
        <w:spacing w:after="0" w:line="19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200" w:lineRule="exact"/>
        <w:rPr>
          <w:sz w:val="20"/>
          <w:szCs w:val="20"/>
          <w:color w:val="auto"/>
        </w:rPr>
      </w:pPr>
    </w:p>
    <w:p>
      <w:pPr>
        <w:spacing w:after="0" w:line="36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Net income for the year ended December 31, 2024 was $24.7 million, compared with net income of $16.5 million for the same period in 2023. The Company reported net income per diluted share for the year ended December 31, 2024 of $1.24 compared to net income per diluted share for the same period in 2023 of $0.84.</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225" w:lineRule="exact"/>
        <w:rPr>
          <w:sz w:val="20"/>
          <w:szCs w:val="20"/>
          <w:color w:val="auto"/>
        </w:rPr>
      </w:pPr>
    </w:p>
    <w:p>
      <w:pPr>
        <w:jc w:val="both"/>
        <w:ind w:firstLine="361"/>
        <w:spacing w:after="0" w:line="251" w:lineRule="auto"/>
        <w:rPr>
          <w:sz w:val="20"/>
          <w:szCs w:val="20"/>
          <w:color w:val="auto"/>
        </w:rPr>
      </w:pPr>
      <w:r>
        <w:rPr>
          <w:rFonts w:ascii="Arial" w:cs="Arial" w:eastAsia="Arial" w:hAnsi="Arial"/>
          <w:sz w:val="20"/>
          <w:szCs w:val="20"/>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78"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To evaluate net interest income, we measure and monitor (i) yields on loans and other interest -earning assets, (ii) the costs of deposits and other funding sources, (iii) net interest spread, and (iv) net interest margin. Net interest spread is equal to the difference between the weighted average yields earned on interest-earning assets and the weighted average rates paid on interest-bearing liabilities. Net interest margin is equal to the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Asset-Liability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59" w:name="page60"/>
    <w:bookmarkEnd w:id="59"/>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contains information related to average balances, average yields on assets, and average costs of liabilities for the periods indicated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rPr>
              <w:t>Years Ended December 31,</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Average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line="227" w:lineRule="exact"/>
              <w:rPr>
                <w:sz w:val="20"/>
                <w:szCs w:val="20"/>
                <w:color w:val="auto"/>
              </w:rPr>
            </w:pPr>
            <w:r>
              <w:rPr>
                <w:rFonts w:ascii="Arial" w:cs="Arial" w:eastAsia="Arial" w:hAnsi="Arial"/>
                <w:sz w:val="18"/>
                <w:szCs w:val="18"/>
                <w:b w:val="1"/>
                <w:bCs w:val="1"/>
                <w:color w:val="auto"/>
                <w:w w:val="93"/>
              </w:rPr>
              <w:t xml:space="preserve">Balance </w:t>
            </w:r>
            <w:r>
              <w:rPr>
                <w:rFonts w:ascii="Arial" w:cs="Arial" w:eastAsia="Arial" w:hAnsi="Arial"/>
                <w:sz w:val="24"/>
                <w:szCs w:val="24"/>
                <w:b w:val="1"/>
                <w:bCs w:val="1"/>
                <w:color w:val="auto"/>
                <w:w w:val="93"/>
                <w:vertAlign w:val="superscript"/>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40" w:type="dxa"/>
            <w:vAlign w:val="bottom"/>
          </w:tcPr>
          <w:p>
            <w:pPr>
              <w:spacing w:after="0"/>
              <w:rPr>
                <w:sz w:val="19"/>
                <w:szCs w:val="19"/>
                <w:color w:val="auto"/>
              </w:rPr>
            </w:pPr>
          </w:p>
        </w:tc>
        <w:tc>
          <w:tcPr>
            <w:tcW w:w="11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Yield/Rate</w:t>
            </w:r>
          </w:p>
        </w:tc>
        <w:tc>
          <w:tcPr>
            <w:tcW w:w="1100" w:type="dxa"/>
            <w:vAlign w:val="bottom"/>
            <w:gridSpan w:val="3"/>
          </w:tcPr>
          <w:p>
            <w:pPr>
              <w:jc w:val="right"/>
              <w:ind w:right="200"/>
              <w:spacing w:after="0" w:line="227" w:lineRule="exact"/>
              <w:rPr>
                <w:sz w:val="20"/>
                <w:szCs w:val="20"/>
                <w:color w:val="auto"/>
              </w:rPr>
            </w:pPr>
            <w:r>
              <w:rPr>
                <w:rFonts w:ascii="Arial" w:cs="Arial" w:eastAsia="Arial" w:hAnsi="Arial"/>
                <w:sz w:val="18"/>
                <w:szCs w:val="18"/>
                <w:b w:val="1"/>
                <w:bCs w:val="1"/>
                <w:color w:val="auto"/>
                <w:w w:val="93"/>
              </w:rPr>
              <w:t xml:space="preserve">Balance </w:t>
            </w:r>
            <w:r>
              <w:rPr>
                <w:rFonts w:ascii="Arial" w:cs="Arial" w:eastAsia="Arial" w:hAnsi="Arial"/>
                <w:sz w:val="24"/>
                <w:szCs w:val="24"/>
                <w:b w:val="1"/>
                <w:bCs w:val="1"/>
                <w:color w:val="auto"/>
                <w:w w:val="93"/>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20"/>
        </w:trPr>
        <w:tc>
          <w:tcPr>
            <w:tcW w:w="380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102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88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680" w:type="dxa"/>
            <w:vAlign w:val="bottom"/>
            <w:tcBorders>
              <w:top w:val="single" w:sz="8" w:color="auto"/>
            </w:tcBorders>
            <w:shd w:val="clear" w:color="auto" w:fill="D2EEF5"/>
          </w:tcPr>
          <w:p>
            <w:pPr>
              <w:spacing w:after="0"/>
              <w:rPr>
                <w:sz w:val="19"/>
                <w:szCs w:val="19"/>
                <w:color w:val="auto"/>
              </w:rPr>
            </w:pPr>
          </w:p>
        </w:tc>
        <w:tc>
          <w:tcPr>
            <w:tcW w:w="24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auto"/>
            </w:tcBorders>
            <w:shd w:val="clear" w:color="auto" w:fill="D2EEF5"/>
          </w:tcPr>
          <w:p>
            <w:pPr>
              <w:spacing w:after="0"/>
              <w:rPr>
                <w:sz w:val="19"/>
                <w:szCs w:val="19"/>
                <w:color w:val="auto"/>
              </w:rPr>
            </w:pPr>
          </w:p>
        </w:tc>
        <w:tc>
          <w:tcPr>
            <w:tcW w:w="98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auto"/>
              <w:right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84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680" w:type="dxa"/>
            <w:vAlign w:val="bottom"/>
            <w:tcBorders>
              <w:top w:val="single" w:sz="8" w:color="auto"/>
            </w:tcBorders>
            <w:shd w:val="clear" w:color="auto" w:fill="D2EEF5"/>
          </w:tcPr>
          <w:p>
            <w:pPr>
              <w:spacing w:after="0"/>
              <w:rPr>
                <w:sz w:val="19"/>
                <w:szCs w:val="19"/>
                <w:color w:val="auto"/>
              </w:rPr>
            </w:pPr>
          </w:p>
        </w:tc>
        <w:tc>
          <w:tcPr>
            <w:tcW w:w="240" w:type="dxa"/>
            <w:vAlign w:val="bottom"/>
            <w:tcBorders>
              <w:top w:val="single" w:sz="8" w:color="auto"/>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Interest-earning 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8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Loans</w:t>
            </w:r>
          </w:p>
        </w:tc>
        <w:tc>
          <w:tcPr>
            <w:tcW w:w="30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90"/>
              </w:rPr>
              <w:t>(2)</w:t>
            </w: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1,862,013</w:t>
            </w: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8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115,236</w:t>
            </w: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6.19</w:t>
            </w:r>
          </w:p>
        </w:tc>
        <w:tc>
          <w:tcPr>
            <w:tcW w:w="2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4"/>
                <w:szCs w:val="24"/>
                <w:color w:val="auto"/>
              </w:rPr>
            </w:pP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D2EEF5"/>
          </w:tcPr>
          <w:p>
            <w:pPr>
              <w:spacing w:after="0"/>
              <w:rPr>
                <w:sz w:val="24"/>
                <w:szCs w:val="24"/>
                <w:color w:val="auto"/>
              </w:rPr>
            </w:pPr>
          </w:p>
        </w:tc>
        <w:tc>
          <w:tcPr>
            <w:tcW w:w="9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1,606,960</w:t>
            </w:r>
          </w:p>
        </w:tc>
        <w:tc>
          <w:tcPr>
            <w:tcW w:w="80" w:type="dxa"/>
            <w:vAlign w:val="bottom"/>
            <w:tcBorders>
              <w:right w:val="single" w:sz="8" w:color="D2EEF5"/>
            </w:tcBorders>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87,884</w:t>
            </w: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6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5.47</w:t>
            </w:r>
          </w:p>
        </w:tc>
        <w:tc>
          <w:tcPr>
            <w:tcW w:w="2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280" w:type="dxa"/>
            <w:vAlign w:val="bottom"/>
            <w:shd w:val="clear" w:color="auto" w:fill="D2EEF5"/>
          </w:tcPr>
          <w:p>
            <w:pPr>
              <w:spacing w:after="0"/>
              <w:rPr>
                <w:sz w:val="11"/>
                <w:szCs w:val="11"/>
                <w:color w:val="auto"/>
              </w:rPr>
            </w:pPr>
          </w:p>
        </w:tc>
        <w:tc>
          <w:tcPr>
            <w:tcW w:w="3520" w:type="dxa"/>
            <w:vAlign w:val="bottom"/>
            <w:shd w:val="clear" w:color="auto" w:fill="D2EEF5"/>
          </w:tcPr>
          <w:p>
            <w:pPr>
              <w:spacing w:after="0"/>
              <w:rPr>
                <w:sz w:val="11"/>
                <w:szCs w:val="11"/>
                <w:color w:val="auto"/>
              </w:rPr>
            </w:pPr>
          </w:p>
        </w:tc>
        <w:tc>
          <w:tcPr>
            <w:tcW w:w="300" w:type="dxa"/>
            <w:vAlign w:val="bottom"/>
            <w:vMerge w:val="continue"/>
            <w:shd w:val="clear" w:color="auto" w:fill="D2EEF5"/>
          </w:tcPr>
          <w:p>
            <w:pPr>
              <w:spacing w:after="0"/>
              <w:rPr>
                <w:sz w:val="11"/>
                <w:szCs w:val="11"/>
                <w:color w:val="auto"/>
              </w:rPr>
            </w:pPr>
          </w:p>
        </w:tc>
        <w:tc>
          <w:tcPr>
            <w:tcW w:w="140" w:type="dxa"/>
            <w:vAlign w:val="bottom"/>
            <w:vMerge w:val="continue"/>
            <w:shd w:val="clear" w:color="auto" w:fill="D2EEF5"/>
          </w:tcPr>
          <w:p>
            <w:pPr>
              <w:spacing w:after="0"/>
              <w:rPr>
                <w:sz w:val="11"/>
                <w:szCs w:val="11"/>
                <w:color w:val="auto"/>
              </w:rPr>
            </w:pPr>
          </w:p>
        </w:tc>
        <w:tc>
          <w:tcPr>
            <w:tcW w:w="1020" w:type="dxa"/>
            <w:vAlign w:val="bottom"/>
            <w:vMerge w:val="continue"/>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140" w:type="dxa"/>
            <w:vAlign w:val="bottom"/>
            <w:vMerge w:val="continue"/>
            <w:shd w:val="clear" w:color="auto" w:fill="D2EEF5"/>
          </w:tcPr>
          <w:p>
            <w:pPr>
              <w:spacing w:after="0"/>
              <w:rPr>
                <w:sz w:val="11"/>
                <w:szCs w:val="11"/>
                <w:color w:val="auto"/>
              </w:rPr>
            </w:pPr>
          </w:p>
        </w:tc>
        <w:tc>
          <w:tcPr>
            <w:tcW w:w="880" w:type="dxa"/>
            <w:vAlign w:val="bottom"/>
            <w:vMerge w:val="continue"/>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40" w:type="dxa"/>
            <w:vAlign w:val="bottom"/>
            <w:shd w:val="clear" w:color="auto" w:fill="D2EEF5"/>
          </w:tcPr>
          <w:p>
            <w:pPr>
              <w:spacing w:after="0"/>
              <w:rPr>
                <w:sz w:val="11"/>
                <w:szCs w:val="11"/>
                <w:color w:val="auto"/>
              </w:rPr>
            </w:pPr>
          </w:p>
        </w:tc>
        <w:tc>
          <w:tcPr>
            <w:tcW w:w="680" w:type="dxa"/>
            <w:vAlign w:val="bottom"/>
            <w:vMerge w:val="continue"/>
            <w:shd w:val="clear" w:color="auto" w:fill="D2EEF5"/>
          </w:tcPr>
          <w:p>
            <w:pPr>
              <w:spacing w:after="0"/>
              <w:rPr>
                <w:sz w:val="11"/>
                <w:szCs w:val="11"/>
                <w:color w:val="auto"/>
              </w:rPr>
            </w:pPr>
          </w:p>
        </w:tc>
        <w:tc>
          <w:tcPr>
            <w:tcW w:w="240" w:type="dxa"/>
            <w:vAlign w:val="bottom"/>
            <w:vMerge w:val="continue"/>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140" w:type="dxa"/>
            <w:vAlign w:val="bottom"/>
            <w:vMerge w:val="continue"/>
            <w:shd w:val="clear" w:color="auto" w:fill="D2EEF5"/>
          </w:tcPr>
          <w:p>
            <w:pPr>
              <w:spacing w:after="0"/>
              <w:rPr>
                <w:sz w:val="11"/>
                <w:szCs w:val="11"/>
                <w:color w:val="auto"/>
              </w:rPr>
            </w:pPr>
          </w:p>
        </w:tc>
        <w:tc>
          <w:tcPr>
            <w:tcW w:w="40" w:type="dxa"/>
            <w:vAlign w:val="bottom"/>
            <w:shd w:val="clear" w:color="auto" w:fill="D2EEF5"/>
          </w:tcPr>
          <w:p>
            <w:pPr>
              <w:spacing w:after="0"/>
              <w:rPr>
                <w:sz w:val="11"/>
                <w:szCs w:val="11"/>
                <w:color w:val="auto"/>
              </w:rPr>
            </w:pPr>
          </w:p>
        </w:tc>
        <w:tc>
          <w:tcPr>
            <w:tcW w:w="980" w:type="dxa"/>
            <w:vAlign w:val="bottom"/>
            <w:vMerge w:val="continue"/>
            <w:shd w:val="clear" w:color="auto" w:fill="D2EEF5"/>
          </w:tcPr>
          <w:p>
            <w:pPr>
              <w:spacing w:after="0"/>
              <w:rPr>
                <w:sz w:val="11"/>
                <w:szCs w:val="11"/>
                <w:color w:val="auto"/>
              </w:rPr>
            </w:pPr>
          </w:p>
        </w:tc>
        <w:tc>
          <w:tcPr>
            <w:tcW w:w="80" w:type="dxa"/>
            <w:vAlign w:val="bottom"/>
            <w:tcBorders>
              <w:right w:val="single" w:sz="8" w:color="D2EEF5"/>
            </w:tcBorders>
            <w:shd w:val="clear" w:color="auto" w:fill="D2EEF5"/>
          </w:tcPr>
          <w:p>
            <w:pPr>
              <w:spacing w:after="0"/>
              <w:rPr>
                <w:sz w:val="11"/>
                <w:szCs w:val="11"/>
                <w:color w:val="auto"/>
              </w:rPr>
            </w:pPr>
          </w:p>
        </w:tc>
        <w:tc>
          <w:tcPr>
            <w:tcW w:w="20" w:type="dxa"/>
            <w:vAlign w:val="bottom"/>
            <w:shd w:val="clear" w:color="auto" w:fill="D2EEF5"/>
          </w:tcPr>
          <w:p>
            <w:pPr>
              <w:spacing w:after="0"/>
              <w:rPr>
                <w:sz w:val="11"/>
                <w:szCs w:val="11"/>
                <w:color w:val="auto"/>
              </w:rPr>
            </w:pPr>
          </w:p>
        </w:tc>
        <w:tc>
          <w:tcPr>
            <w:tcW w:w="180" w:type="dxa"/>
            <w:vAlign w:val="bottom"/>
            <w:vMerge w:val="continue"/>
            <w:shd w:val="clear" w:color="auto" w:fill="D2EEF5"/>
          </w:tcPr>
          <w:p>
            <w:pPr>
              <w:spacing w:after="0"/>
              <w:rPr>
                <w:sz w:val="11"/>
                <w:szCs w:val="11"/>
                <w:color w:val="auto"/>
              </w:rPr>
            </w:pPr>
          </w:p>
        </w:tc>
        <w:tc>
          <w:tcPr>
            <w:tcW w:w="840" w:type="dxa"/>
            <w:vAlign w:val="bottom"/>
            <w:vMerge w:val="continue"/>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60" w:type="dxa"/>
            <w:vAlign w:val="bottom"/>
            <w:shd w:val="clear" w:color="auto" w:fill="D2EEF5"/>
          </w:tcPr>
          <w:p>
            <w:pPr>
              <w:spacing w:after="0"/>
              <w:rPr>
                <w:sz w:val="11"/>
                <w:szCs w:val="11"/>
                <w:color w:val="auto"/>
              </w:rPr>
            </w:pPr>
          </w:p>
        </w:tc>
        <w:tc>
          <w:tcPr>
            <w:tcW w:w="680" w:type="dxa"/>
            <w:vAlign w:val="bottom"/>
            <w:vMerge w:val="continue"/>
            <w:shd w:val="clear" w:color="auto" w:fill="D2EEF5"/>
          </w:tcPr>
          <w:p>
            <w:pPr>
              <w:spacing w:after="0"/>
              <w:rPr>
                <w:sz w:val="11"/>
                <w:szCs w:val="11"/>
                <w:color w:val="auto"/>
              </w:rPr>
            </w:pPr>
          </w:p>
        </w:tc>
        <w:tc>
          <w:tcPr>
            <w:tcW w:w="240" w:type="dxa"/>
            <w:vAlign w:val="bottom"/>
            <w:vMerge w:val="continue"/>
            <w:shd w:val="clear" w:color="auto" w:fill="D2EEF5"/>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0"/>
              </w:rPr>
              <w:t>(3)</w:t>
            </w:r>
          </w:p>
        </w:tc>
        <w:tc>
          <w:tcPr>
            <w:tcW w:w="140" w:type="dxa"/>
            <w:vAlign w:val="bottom"/>
          </w:tcPr>
          <w:p>
            <w:pPr>
              <w:spacing w:after="0"/>
              <w:rPr>
                <w:sz w:val="24"/>
                <w:szCs w:val="24"/>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427,567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11,480</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2.68 %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423,749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10,012</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Other interest-earnings assets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88,758</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4,517</w:t>
            </w: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65,986</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3,121</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2,378,338</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131,233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5.52 %</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2,096,695</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101,017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80"/>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Non-interest earning assets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108,215</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109,541</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D2EEF5"/>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2,486,553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2,206,236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0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D2EEF5"/>
            </w:tcBorders>
            <w:shd w:val="clear" w:color="auto" w:fill="D2EEF5"/>
          </w:tcPr>
          <w:p>
            <w:pPr>
              <w:spacing w:after="0"/>
              <w:rPr>
                <w:sz w:val="22"/>
                <w:szCs w:val="22"/>
                <w:color w:val="auto"/>
              </w:rPr>
            </w:pPr>
          </w:p>
        </w:tc>
        <w:tc>
          <w:tcPr>
            <w:tcW w:w="140" w:type="dxa"/>
            <w:vAlign w:val="bottom"/>
            <w:tcBorders>
              <w:top w:val="single" w:sz="8" w:color="auto"/>
            </w:tcBorders>
            <w:shd w:val="clear" w:color="auto" w:fill="D2EEF5"/>
          </w:tcPr>
          <w:p>
            <w:pPr>
              <w:spacing w:after="0"/>
              <w:rPr>
                <w:sz w:val="22"/>
                <w:szCs w:val="22"/>
                <w:color w:val="auto"/>
              </w:rPr>
            </w:pPr>
          </w:p>
        </w:tc>
        <w:tc>
          <w:tcPr>
            <w:tcW w:w="1020" w:type="dxa"/>
            <w:vAlign w:val="bottom"/>
            <w:tcBorders>
              <w:top w:val="single" w:sz="8" w:color="auto"/>
            </w:tcBorders>
            <w:shd w:val="clear" w:color="auto" w:fill="D2EEF5"/>
          </w:tcPr>
          <w:p>
            <w:pPr>
              <w:spacing w:after="0"/>
              <w:rPr>
                <w:sz w:val="22"/>
                <w:szCs w:val="22"/>
                <w:color w:val="auto"/>
              </w:rPr>
            </w:pPr>
          </w:p>
        </w:tc>
        <w:tc>
          <w:tcPr>
            <w:tcW w:w="60" w:type="dxa"/>
            <w:vAlign w:val="bottom"/>
            <w:tcBorders>
              <w:top w:val="single" w:sz="8" w:color="auto"/>
            </w:tcBorders>
            <w:shd w:val="clear" w:color="auto" w:fill="D2EEF5"/>
          </w:tcPr>
          <w:p>
            <w:pPr>
              <w:spacing w:after="0"/>
              <w:rPr>
                <w:sz w:val="22"/>
                <w:szCs w:val="22"/>
                <w:color w:val="auto"/>
              </w:rPr>
            </w:pPr>
          </w:p>
        </w:tc>
        <w:tc>
          <w:tcPr>
            <w:tcW w:w="60" w:type="dxa"/>
            <w:vAlign w:val="bottom"/>
            <w:tcBorders>
              <w:top w:val="single" w:sz="8" w:color="D2EEF5"/>
            </w:tcBorders>
            <w:shd w:val="clear" w:color="auto" w:fill="D2EEF5"/>
          </w:tcPr>
          <w:p>
            <w:pPr>
              <w:spacing w:after="0"/>
              <w:rPr>
                <w:sz w:val="22"/>
                <w:szCs w:val="22"/>
                <w:color w:val="auto"/>
              </w:rPr>
            </w:pPr>
          </w:p>
        </w:tc>
        <w:tc>
          <w:tcPr>
            <w:tcW w:w="140" w:type="dxa"/>
            <w:vAlign w:val="bottom"/>
            <w:tcBorders>
              <w:top w:val="single" w:sz="8" w:color="D2EEF5"/>
            </w:tcBorders>
            <w:shd w:val="clear" w:color="auto" w:fill="D2EEF5"/>
          </w:tcPr>
          <w:p>
            <w:pPr>
              <w:spacing w:after="0"/>
              <w:rPr>
                <w:sz w:val="22"/>
                <w:szCs w:val="22"/>
                <w:color w:val="auto"/>
              </w:rPr>
            </w:pPr>
          </w:p>
        </w:tc>
        <w:tc>
          <w:tcPr>
            <w:tcW w:w="880" w:type="dxa"/>
            <w:vAlign w:val="bottom"/>
            <w:tcBorders>
              <w:top w:val="single" w:sz="8" w:color="D2EEF5"/>
            </w:tcBorders>
            <w:shd w:val="clear" w:color="auto" w:fill="D2EEF5"/>
          </w:tcPr>
          <w:p>
            <w:pPr>
              <w:spacing w:after="0"/>
              <w:rPr>
                <w:sz w:val="22"/>
                <w:szCs w:val="22"/>
                <w:color w:val="auto"/>
              </w:rPr>
            </w:pPr>
          </w:p>
        </w:tc>
        <w:tc>
          <w:tcPr>
            <w:tcW w:w="60" w:type="dxa"/>
            <w:vAlign w:val="bottom"/>
            <w:tcBorders>
              <w:top w:val="single" w:sz="8" w:color="D2EEF5"/>
            </w:tcBorders>
            <w:shd w:val="clear" w:color="auto" w:fill="D2EEF5"/>
          </w:tcPr>
          <w:p>
            <w:pPr>
              <w:spacing w:after="0"/>
              <w:rPr>
                <w:sz w:val="22"/>
                <w:szCs w:val="22"/>
                <w:color w:val="auto"/>
              </w:rPr>
            </w:pPr>
          </w:p>
        </w:tc>
        <w:tc>
          <w:tcPr>
            <w:tcW w:w="40" w:type="dxa"/>
            <w:vAlign w:val="bottom"/>
            <w:tcBorders>
              <w:top w:val="single" w:sz="8" w:color="D2EEF5"/>
            </w:tcBorders>
            <w:shd w:val="clear" w:color="auto" w:fill="D2EEF5"/>
          </w:tcPr>
          <w:p>
            <w:pPr>
              <w:spacing w:after="0"/>
              <w:rPr>
                <w:sz w:val="22"/>
                <w:szCs w:val="22"/>
                <w:color w:val="auto"/>
              </w:rPr>
            </w:pPr>
          </w:p>
        </w:tc>
        <w:tc>
          <w:tcPr>
            <w:tcW w:w="680" w:type="dxa"/>
            <w:vAlign w:val="bottom"/>
            <w:tcBorders>
              <w:top w:val="single" w:sz="8" w:color="D2EEF5"/>
            </w:tcBorders>
            <w:shd w:val="clear" w:color="auto" w:fill="D2EEF5"/>
          </w:tcPr>
          <w:p>
            <w:pPr>
              <w:spacing w:after="0"/>
              <w:rPr>
                <w:sz w:val="22"/>
                <w:szCs w:val="22"/>
                <w:color w:val="auto"/>
              </w:rPr>
            </w:pPr>
          </w:p>
        </w:tc>
        <w:tc>
          <w:tcPr>
            <w:tcW w:w="240" w:type="dxa"/>
            <w:vAlign w:val="bottom"/>
            <w:tcBorders>
              <w:top w:val="single" w:sz="8" w:color="D2EEF5"/>
            </w:tcBorders>
            <w:shd w:val="clear" w:color="auto" w:fill="D2EEF5"/>
          </w:tcPr>
          <w:p>
            <w:pPr>
              <w:spacing w:after="0"/>
              <w:rPr>
                <w:sz w:val="22"/>
                <w:szCs w:val="22"/>
                <w:color w:val="auto"/>
              </w:rPr>
            </w:pPr>
          </w:p>
        </w:tc>
        <w:tc>
          <w:tcPr>
            <w:tcW w:w="60" w:type="dxa"/>
            <w:vAlign w:val="bottom"/>
            <w:tcBorders>
              <w:top w:val="single" w:sz="8" w:color="D2EEF5"/>
            </w:tcBorders>
            <w:shd w:val="clear" w:color="auto" w:fill="D2EEF5"/>
          </w:tcPr>
          <w:p>
            <w:pPr>
              <w:spacing w:after="0"/>
              <w:rPr>
                <w:sz w:val="22"/>
                <w:szCs w:val="22"/>
                <w:color w:val="auto"/>
              </w:rPr>
            </w:pPr>
          </w:p>
        </w:tc>
        <w:tc>
          <w:tcPr>
            <w:tcW w:w="140" w:type="dxa"/>
            <w:vAlign w:val="bottom"/>
            <w:tcBorders>
              <w:top w:val="single" w:sz="8" w:color="auto"/>
            </w:tcBorders>
            <w:shd w:val="clear" w:color="auto" w:fill="D2EEF5"/>
          </w:tcPr>
          <w:p>
            <w:pPr>
              <w:spacing w:after="0"/>
              <w:rPr>
                <w:sz w:val="22"/>
                <w:szCs w:val="22"/>
                <w:color w:val="auto"/>
              </w:rPr>
            </w:pPr>
          </w:p>
        </w:tc>
        <w:tc>
          <w:tcPr>
            <w:tcW w:w="40" w:type="dxa"/>
            <w:vAlign w:val="bottom"/>
            <w:tcBorders>
              <w:top w:val="single" w:sz="8" w:color="auto"/>
            </w:tcBorders>
            <w:shd w:val="clear" w:color="auto" w:fill="D2EEF5"/>
          </w:tcPr>
          <w:p>
            <w:pPr>
              <w:spacing w:after="0"/>
              <w:rPr>
                <w:sz w:val="22"/>
                <w:szCs w:val="22"/>
                <w:color w:val="auto"/>
              </w:rPr>
            </w:pPr>
          </w:p>
        </w:tc>
        <w:tc>
          <w:tcPr>
            <w:tcW w:w="980" w:type="dxa"/>
            <w:vAlign w:val="bottom"/>
            <w:tcBorders>
              <w:top w:val="single" w:sz="8" w:color="auto"/>
            </w:tcBorders>
            <w:shd w:val="clear" w:color="auto" w:fill="D2EEF5"/>
          </w:tcPr>
          <w:p>
            <w:pPr>
              <w:spacing w:after="0"/>
              <w:rPr>
                <w:sz w:val="22"/>
                <w:szCs w:val="22"/>
                <w:color w:val="auto"/>
              </w:rPr>
            </w:pPr>
          </w:p>
        </w:tc>
        <w:tc>
          <w:tcPr>
            <w:tcW w:w="80" w:type="dxa"/>
            <w:vAlign w:val="bottom"/>
            <w:tcBorders>
              <w:top w:val="single" w:sz="8" w:color="auto"/>
              <w:right w:val="single" w:sz="8" w:color="D2EEF5"/>
            </w:tcBorders>
            <w:shd w:val="clear" w:color="auto" w:fill="D2EEF5"/>
          </w:tcPr>
          <w:p>
            <w:pPr>
              <w:spacing w:after="0"/>
              <w:rPr>
                <w:sz w:val="22"/>
                <w:szCs w:val="22"/>
                <w:color w:val="auto"/>
              </w:rPr>
            </w:pPr>
          </w:p>
        </w:tc>
        <w:tc>
          <w:tcPr>
            <w:tcW w:w="20" w:type="dxa"/>
            <w:vAlign w:val="bottom"/>
            <w:tcBorders>
              <w:top w:val="single" w:sz="8" w:color="D2EEF5"/>
            </w:tcBorders>
            <w:shd w:val="clear" w:color="auto" w:fill="D2EEF5"/>
          </w:tcPr>
          <w:p>
            <w:pPr>
              <w:spacing w:after="0"/>
              <w:rPr>
                <w:sz w:val="22"/>
                <w:szCs w:val="22"/>
                <w:color w:val="auto"/>
              </w:rPr>
            </w:pPr>
          </w:p>
        </w:tc>
        <w:tc>
          <w:tcPr>
            <w:tcW w:w="180" w:type="dxa"/>
            <w:vAlign w:val="bottom"/>
            <w:tcBorders>
              <w:top w:val="single" w:sz="8" w:color="D2EEF5"/>
            </w:tcBorders>
            <w:shd w:val="clear" w:color="auto" w:fill="D2EEF5"/>
          </w:tcPr>
          <w:p>
            <w:pPr>
              <w:spacing w:after="0"/>
              <w:rPr>
                <w:sz w:val="22"/>
                <w:szCs w:val="22"/>
                <w:color w:val="auto"/>
              </w:rPr>
            </w:pPr>
          </w:p>
        </w:tc>
        <w:tc>
          <w:tcPr>
            <w:tcW w:w="840" w:type="dxa"/>
            <w:vAlign w:val="bottom"/>
            <w:tcBorders>
              <w:top w:val="single" w:sz="8" w:color="D2EEF5"/>
            </w:tcBorders>
            <w:shd w:val="clear" w:color="auto" w:fill="D2EEF5"/>
          </w:tcPr>
          <w:p>
            <w:pPr>
              <w:spacing w:after="0"/>
              <w:rPr>
                <w:sz w:val="22"/>
                <w:szCs w:val="22"/>
                <w:color w:val="auto"/>
              </w:rPr>
            </w:pPr>
          </w:p>
        </w:tc>
        <w:tc>
          <w:tcPr>
            <w:tcW w:w="60" w:type="dxa"/>
            <w:vAlign w:val="bottom"/>
            <w:tcBorders>
              <w:top w:val="single" w:sz="8" w:color="D2EEF5"/>
            </w:tcBorders>
            <w:shd w:val="clear" w:color="auto" w:fill="D2EEF5"/>
          </w:tcPr>
          <w:p>
            <w:pPr>
              <w:spacing w:after="0"/>
              <w:rPr>
                <w:sz w:val="22"/>
                <w:szCs w:val="22"/>
                <w:color w:val="auto"/>
              </w:rPr>
            </w:pPr>
          </w:p>
        </w:tc>
        <w:tc>
          <w:tcPr>
            <w:tcW w:w="60" w:type="dxa"/>
            <w:vAlign w:val="bottom"/>
            <w:tcBorders>
              <w:top w:val="single" w:sz="8" w:color="D2EEF5"/>
            </w:tcBorders>
            <w:shd w:val="clear" w:color="auto" w:fill="D2EEF5"/>
          </w:tcPr>
          <w:p>
            <w:pPr>
              <w:spacing w:after="0"/>
              <w:rPr>
                <w:sz w:val="22"/>
                <w:szCs w:val="22"/>
                <w:color w:val="auto"/>
              </w:rPr>
            </w:pPr>
          </w:p>
        </w:tc>
        <w:tc>
          <w:tcPr>
            <w:tcW w:w="680" w:type="dxa"/>
            <w:vAlign w:val="bottom"/>
            <w:tcBorders>
              <w:top w:val="single" w:sz="8" w:color="D2EEF5"/>
            </w:tcBorders>
            <w:shd w:val="clear" w:color="auto" w:fill="D2EEF5"/>
          </w:tcPr>
          <w:p>
            <w:pPr>
              <w:spacing w:after="0"/>
              <w:rPr>
                <w:sz w:val="22"/>
                <w:szCs w:val="22"/>
                <w:color w:val="auto"/>
              </w:rPr>
            </w:pPr>
          </w:p>
        </w:tc>
        <w:tc>
          <w:tcPr>
            <w:tcW w:w="240" w:type="dxa"/>
            <w:vAlign w:val="bottom"/>
            <w:tcBorders>
              <w:top w:val="single" w:sz="8" w:color="D2EEF5"/>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Interest-bearing demand deposits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54,667</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53,324</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901</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Savings and money market deposits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1,109,853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40,098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3.61 %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963,708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29,658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325"/>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Time deposits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326,373</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13,354</w:t>
            </w: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268,715</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280" w:type="dxa"/>
            <w:vAlign w:val="bottom"/>
            <w:tcBorders>
              <w:top w:val="single" w:sz="8" w:color="D2EEF5"/>
            </w:tcBorders>
          </w:tcPr>
          <w:p>
            <w:pPr>
              <w:spacing w:after="0"/>
              <w:rPr>
                <w:sz w:val="22"/>
                <w:szCs w:val="22"/>
                <w:color w:val="auto"/>
              </w:rPr>
            </w:pPr>
          </w:p>
        </w:tc>
        <w:tc>
          <w:tcPr>
            <w:tcW w:w="3520" w:type="dxa"/>
            <w:vAlign w:val="bottom"/>
            <w:tcBorders>
              <w:top w:val="single" w:sz="8" w:color="D2EEF5"/>
            </w:tcBorders>
          </w:tcPr>
          <w:p>
            <w:pPr>
              <w:spacing w:after="0"/>
              <w:rPr>
                <w:sz w:val="20"/>
                <w:szCs w:val="20"/>
                <w:color w:val="auto"/>
              </w:rPr>
            </w:pPr>
            <w:r>
              <w:rPr>
                <w:rFonts w:ascii="Arial" w:cs="Arial" w:eastAsia="Arial" w:hAnsi="Arial"/>
                <w:sz w:val="18"/>
                <w:szCs w:val="18"/>
                <w:color w:val="auto"/>
              </w:rPr>
              <w:t>Total interest-bearing deposits</w:t>
            </w:r>
          </w:p>
        </w:tc>
        <w:tc>
          <w:tcPr>
            <w:tcW w:w="300" w:type="dxa"/>
            <w:vAlign w:val="bottom"/>
            <w:tcBorders>
              <w:top w:val="single" w:sz="8" w:color="D2EEF5"/>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1,490,893</w:t>
            </w:r>
          </w:p>
        </w:tc>
        <w:tc>
          <w:tcPr>
            <w:tcW w:w="60" w:type="dxa"/>
            <w:vAlign w:val="bottom"/>
            <w:tcBorders>
              <w:top w:val="single" w:sz="8" w:color="D2EEF5"/>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54,961</w:t>
            </w:r>
          </w:p>
        </w:tc>
        <w:tc>
          <w:tcPr>
            <w:tcW w:w="960" w:type="dxa"/>
            <w:vAlign w:val="bottom"/>
            <w:tcBorders>
              <w:top w:val="single" w:sz="8" w:color="D2EEF5"/>
            </w:tcBorders>
            <w:gridSpan w:val="3"/>
          </w:tcPr>
          <w:p>
            <w:pPr>
              <w:jc w:val="right"/>
              <w:spacing w:after="0"/>
              <w:rPr>
                <w:sz w:val="20"/>
                <w:szCs w:val="20"/>
                <w:color w:val="auto"/>
              </w:rPr>
            </w:pPr>
            <w:r>
              <w:rPr>
                <w:rFonts w:ascii="Arial" w:cs="Arial" w:eastAsia="Arial" w:hAnsi="Arial"/>
                <w:sz w:val="18"/>
                <w:szCs w:val="18"/>
                <w:color w:val="auto"/>
              </w:rPr>
              <w:t>3.69 %</w:t>
            </w:r>
          </w:p>
        </w:tc>
        <w:tc>
          <w:tcPr>
            <w:tcW w:w="60" w:type="dxa"/>
            <w:vAlign w:val="bottom"/>
            <w:tcBorders>
              <w:top w:val="single" w:sz="8" w:color="D2EEF5"/>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1,285,747</w:t>
            </w:r>
          </w:p>
        </w:tc>
        <w:tc>
          <w:tcPr>
            <w:tcW w:w="20" w:type="dxa"/>
            <w:vAlign w:val="bottom"/>
            <w:tcBorders>
              <w:top w:val="single" w:sz="8" w:color="D2EEF5"/>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39,059</w:t>
            </w:r>
          </w:p>
        </w:tc>
        <w:tc>
          <w:tcPr>
            <w:tcW w:w="980" w:type="dxa"/>
            <w:vAlign w:val="bottom"/>
            <w:tcBorders>
              <w:top w:val="single" w:sz="8" w:color="D2EEF5"/>
            </w:tcBorders>
            <w:gridSpan w:val="3"/>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300"/>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Borrowings and repurchase agreements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158,484</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6,336</w:t>
            </w: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94,936</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3,390</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1,649,377</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61,297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3.72 %</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1,380,683</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42,449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80"/>
        </w:trPr>
        <w:tc>
          <w:tcPr>
            <w:tcW w:w="38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Non-interest bearing demand deposits</w:t>
            </w:r>
          </w:p>
        </w:tc>
        <w:tc>
          <w:tcPr>
            <w:tcW w:w="30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596,073</w:t>
            </w: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607,506</w:t>
            </w:r>
          </w:p>
        </w:tc>
        <w:tc>
          <w:tcPr>
            <w:tcW w:w="80" w:type="dxa"/>
            <w:vAlign w:val="bottom"/>
            <w:tcBorders>
              <w:bottom w:val="single" w:sz="8" w:color="D2EEF5"/>
              <w:right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84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68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D2EEF5"/>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00" w:type="dxa"/>
            <w:vAlign w:val="bottom"/>
            <w:tcBorders>
              <w:bottom w:val="single" w:sz="8" w:color="D2EEF5"/>
            </w:tcBorders>
            <w:gridSpan w:val="2"/>
          </w:tcPr>
          <w:p>
            <w:pPr>
              <w:ind w:left="140"/>
              <w:spacing w:after="0"/>
              <w:rPr>
                <w:sz w:val="20"/>
                <w:szCs w:val="20"/>
                <w:color w:val="auto"/>
              </w:rPr>
            </w:pPr>
            <w:r>
              <w:rPr>
                <w:rFonts w:ascii="Arial" w:cs="Arial" w:eastAsia="Arial" w:hAnsi="Arial"/>
                <w:sz w:val="18"/>
                <w:szCs w:val="18"/>
                <w:color w:val="auto"/>
              </w:rPr>
              <w:t>Other non-interest-bearing liabilities</w:t>
            </w:r>
          </w:p>
        </w:tc>
        <w:tc>
          <w:tcPr>
            <w:tcW w:w="300" w:type="dxa"/>
            <w:vAlign w:val="bottom"/>
            <w:tcBorders>
              <w:bottom w:val="single" w:sz="8" w:color="D2EE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37,399</w:t>
            </w:r>
          </w:p>
        </w:tc>
        <w:tc>
          <w:tcPr>
            <w:tcW w:w="60" w:type="dxa"/>
            <w:vAlign w:val="bottom"/>
            <w:tcBorders>
              <w:bottom w:val="single" w:sz="8" w:color="D2EEF5"/>
            </w:tcBorders>
          </w:tcPr>
          <w:p>
            <w:pPr>
              <w:spacing w:after="0"/>
              <w:rPr>
                <w:sz w:val="24"/>
                <w:szCs w:val="24"/>
                <w:color w:val="auto"/>
              </w:rPr>
            </w:pPr>
          </w:p>
        </w:tc>
        <w:tc>
          <w:tcPr>
            <w:tcW w:w="140" w:type="dxa"/>
            <w:vAlign w:val="bottom"/>
            <w:tcBorders>
              <w:bottom w:val="single" w:sz="8" w:color="D2EEF5"/>
            </w:tcBorders>
          </w:tcPr>
          <w:p>
            <w:pPr>
              <w:spacing w:after="0"/>
              <w:rPr>
                <w:sz w:val="24"/>
                <w:szCs w:val="24"/>
                <w:color w:val="auto"/>
              </w:rPr>
            </w:pPr>
          </w:p>
        </w:tc>
        <w:tc>
          <w:tcPr>
            <w:tcW w:w="88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680" w:type="dxa"/>
            <w:vAlign w:val="bottom"/>
            <w:tcBorders>
              <w:bottom w:val="single" w:sz="8" w:color="D2EEF5"/>
            </w:tcBorders>
          </w:tcPr>
          <w:p>
            <w:pPr>
              <w:spacing w:after="0"/>
              <w:rPr>
                <w:sz w:val="24"/>
                <w:szCs w:val="24"/>
                <w:color w:val="auto"/>
              </w:rPr>
            </w:pPr>
          </w:p>
        </w:tc>
        <w:tc>
          <w:tcPr>
            <w:tcW w:w="24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34,010</w:t>
            </w: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D2EEF5"/>
            </w:tcBorders>
          </w:tcPr>
          <w:p>
            <w:pPr>
              <w:spacing w:after="0"/>
              <w:rPr>
                <w:sz w:val="24"/>
                <w:szCs w:val="24"/>
                <w:color w:val="auto"/>
              </w:rPr>
            </w:pPr>
          </w:p>
        </w:tc>
        <w:tc>
          <w:tcPr>
            <w:tcW w:w="84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680" w:type="dxa"/>
            <w:vAlign w:val="bottom"/>
            <w:tcBorders>
              <w:bottom w:val="single" w:sz="8" w:color="D2EEF5"/>
            </w:tcBorders>
          </w:tcPr>
          <w:p>
            <w:pPr>
              <w:spacing w:after="0"/>
              <w:rPr>
                <w:sz w:val="24"/>
                <w:szCs w:val="24"/>
                <w:color w:val="auto"/>
              </w:rPr>
            </w:pPr>
          </w:p>
        </w:tc>
        <w:tc>
          <w:tcPr>
            <w:tcW w:w="240" w:type="dxa"/>
            <w:vAlign w:val="bottom"/>
            <w:tcBorders>
              <w:bottom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0" w:type="dxa"/>
            <w:vAlign w:val="bottom"/>
            <w:tcBorders>
              <w:bottom w:val="single" w:sz="8" w:color="D2EEF5"/>
            </w:tcBorders>
            <w:shd w:val="clear" w:color="auto" w:fill="D2EEF5"/>
          </w:tcPr>
          <w:p>
            <w:pPr>
              <w:spacing w:after="0"/>
              <w:rPr>
                <w:sz w:val="22"/>
                <w:szCs w:val="22"/>
                <w:color w:val="auto"/>
              </w:rPr>
            </w:pPr>
          </w:p>
        </w:tc>
        <w:tc>
          <w:tcPr>
            <w:tcW w:w="35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2,282,849</w:t>
            </w:r>
          </w:p>
        </w:tc>
        <w:tc>
          <w:tcPr>
            <w:tcW w:w="60" w:type="dxa"/>
            <w:vAlign w:val="bottom"/>
            <w:tcBorders>
              <w:bottom w:val="single" w:sz="8" w:color="D2EEF5"/>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D2EEF5"/>
            </w:tcBorders>
            <w:shd w:val="clear" w:color="auto" w:fill="D2EEF5"/>
          </w:tcPr>
          <w:p>
            <w:pPr>
              <w:spacing w:after="0"/>
              <w:rPr>
                <w:sz w:val="22"/>
                <w:szCs w:val="22"/>
                <w:color w:val="auto"/>
              </w:rPr>
            </w:pPr>
          </w:p>
        </w:tc>
        <w:tc>
          <w:tcPr>
            <w:tcW w:w="880" w:type="dxa"/>
            <w:vAlign w:val="bottom"/>
            <w:tcBorders>
              <w:bottom w:val="single" w:sz="8" w:color="D2EEF5"/>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680" w:type="dxa"/>
            <w:vAlign w:val="bottom"/>
            <w:tcBorders>
              <w:bottom w:val="single" w:sz="8" w:color="D2EEF5"/>
            </w:tcBorders>
            <w:shd w:val="clear" w:color="auto" w:fill="D2EEF5"/>
          </w:tcPr>
          <w:p>
            <w:pPr>
              <w:spacing w:after="0"/>
              <w:rPr>
                <w:sz w:val="22"/>
                <w:szCs w:val="22"/>
                <w:color w:val="auto"/>
              </w:rPr>
            </w:pPr>
          </w:p>
        </w:tc>
        <w:tc>
          <w:tcPr>
            <w:tcW w:w="240" w:type="dxa"/>
            <w:vAlign w:val="bottom"/>
            <w:tcBorders>
              <w:bottom w:val="single" w:sz="8" w:color="D2EEF5"/>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2,022,199</w:t>
            </w:r>
          </w:p>
        </w:tc>
        <w:tc>
          <w:tcPr>
            <w:tcW w:w="80" w:type="dxa"/>
            <w:vAlign w:val="bottom"/>
            <w:tcBorders>
              <w:bottom w:val="single" w:sz="8" w:color="D2EEF5"/>
              <w:right w:val="single" w:sz="8" w:color="D2EEF5"/>
            </w:tcBorders>
            <w:shd w:val="clear" w:color="auto" w:fill="D2EEF5"/>
          </w:tcPr>
          <w:p>
            <w:pPr>
              <w:spacing w:after="0"/>
              <w:rPr>
                <w:sz w:val="22"/>
                <w:szCs w:val="22"/>
                <w:color w:val="auto"/>
              </w:rPr>
            </w:pPr>
          </w:p>
        </w:tc>
        <w:tc>
          <w:tcPr>
            <w:tcW w:w="20" w:type="dxa"/>
            <w:vAlign w:val="bottom"/>
            <w:tcBorders>
              <w:bottom w:val="single" w:sz="8" w:color="D2EEF5"/>
            </w:tcBorders>
            <w:shd w:val="clear" w:color="auto" w:fill="D2EEF5"/>
          </w:tcPr>
          <w:p>
            <w:pPr>
              <w:spacing w:after="0"/>
              <w:rPr>
                <w:sz w:val="22"/>
                <w:szCs w:val="22"/>
                <w:color w:val="auto"/>
              </w:rPr>
            </w:pPr>
          </w:p>
        </w:tc>
        <w:tc>
          <w:tcPr>
            <w:tcW w:w="180" w:type="dxa"/>
            <w:vAlign w:val="bottom"/>
            <w:tcBorders>
              <w:bottom w:val="single" w:sz="8" w:color="D2EEF5"/>
            </w:tcBorders>
            <w:shd w:val="clear" w:color="auto" w:fill="D2EEF5"/>
          </w:tcPr>
          <w:p>
            <w:pPr>
              <w:spacing w:after="0"/>
              <w:rPr>
                <w:sz w:val="22"/>
                <w:szCs w:val="22"/>
                <w:color w:val="auto"/>
              </w:rPr>
            </w:pPr>
          </w:p>
        </w:tc>
        <w:tc>
          <w:tcPr>
            <w:tcW w:w="840" w:type="dxa"/>
            <w:vAlign w:val="bottom"/>
            <w:tcBorders>
              <w:bottom w:val="single" w:sz="8" w:color="D2EEF5"/>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680" w:type="dxa"/>
            <w:vAlign w:val="bottom"/>
            <w:tcBorders>
              <w:bottom w:val="single" w:sz="8" w:color="D2EEF5"/>
            </w:tcBorders>
            <w:shd w:val="clear" w:color="auto" w:fill="D2EEF5"/>
          </w:tcPr>
          <w:p>
            <w:pPr>
              <w:spacing w:after="0"/>
              <w:rPr>
                <w:sz w:val="22"/>
                <w:szCs w:val="22"/>
                <w:color w:val="auto"/>
              </w:rPr>
            </w:pPr>
          </w:p>
        </w:tc>
        <w:tc>
          <w:tcPr>
            <w:tcW w:w="240" w:type="dxa"/>
            <w:vAlign w:val="bottom"/>
            <w:tcBorders>
              <w:bottom w:val="single" w:sz="8" w:color="D2EEF5"/>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800" w:type="dxa"/>
            <w:vAlign w:val="bottom"/>
            <w:tcBorders>
              <w:bottom w:val="single" w:sz="8" w:color="D2EEF5"/>
            </w:tcBorders>
            <w:gridSpan w:val="2"/>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D2EE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203,704</w:t>
            </w:r>
          </w:p>
        </w:tc>
        <w:tc>
          <w:tcPr>
            <w:tcW w:w="60" w:type="dxa"/>
            <w:vAlign w:val="bottom"/>
            <w:tcBorders>
              <w:bottom w:val="single" w:sz="8" w:color="D2EEF5"/>
            </w:tcBorders>
          </w:tcPr>
          <w:p>
            <w:pPr>
              <w:spacing w:after="0"/>
              <w:rPr>
                <w:sz w:val="24"/>
                <w:szCs w:val="24"/>
                <w:color w:val="auto"/>
              </w:rPr>
            </w:pPr>
          </w:p>
        </w:tc>
        <w:tc>
          <w:tcPr>
            <w:tcW w:w="140" w:type="dxa"/>
            <w:vAlign w:val="bottom"/>
            <w:tcBorders>
              <w:bottom w:val="single" w:sz="8" w:color="D2EEF5"/>
            </w:tcBorders>
          </w:tcPr>
          <w:p>
            <w:pPr>
              <w:spacing w:after="0"/>
              <w:rPr>
                <w:sz w:val="24"/>
                <w:szCs w:val="24"/>
                <w:color w:val="auto"/>
              </w:rPr>
            </w:pPr>
          </w:p>
        </w:tc>
        <w:tc>
          <w:tcPr>
            <w:tcW w:w="88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680" w:type="dxa"/>
            <w:vAlign w:val="bottom"/>
            <w:tcBorders>
              <w:bottom w:val="single" w:sz="8" w:color="D2EEF5"/>
            </w:tcBorders>
          </w:tcPr>
          <w:p>
            <w:pPr>
              <w:spacing w:after="0"/>
              <w:rPr>
                <w:sz w:val="24"/>
                <w:szCs w:val="24"/>
                <w:color w:val="auto"/>
              </w:rPr>
            </w:pPr>
          </w:p>
        </w:tc>
        <w:tc>
          <w:tcPr>
            <w:tcW w:w="24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184,038</w:t>
            </w: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D2EEF5"/>
            </w:tcBorders>
          </w:tcPr>
          <w:p>
            <w:pPr>
              <w:spacing w:after="0"/>
              <w:rPr>
                <w:sz w:val="24"/>
                <w:szCs w:val="24"/>
                <w:color w:val="auto"/>
              </w:rPr>
            </w:pPr>
          </w:p>
        </w:tc>
        <w:tc>
          <w:tcPr>
            <w:tcW w:w="84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680" w:type="dxa"/>
            <w:vAlign w:val="bottom"/>
            <w:tcBorders>
              <w:bottom w:val="single" w:sz="8" w:color="D2EEF5"/>
            </w:tcBorders>
          </w:tcPr>
          <w:p>
            <w:pPr>
              <w:spacing w:after="0"/>
              <w:rPr>
                <w:sz w:val="24"/>
                <w:szCs w:val="24"/>
                <w:color w:val="auto"/>
              </w:rPr>
            </w:pPr>
          </w:p>
        </w:tc>
        <w:tc>
          <w:tcPr>
            <w:tcW w:w="240" w:type="dxa"/>
            <w:vAlign w:val="bottom"/>
            <w:tcBorders>
              <w:bottom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 w:type="dxa"/>
            <w:vAlign w:val="bottom"/>
            <w:shd w:val="clear" w:color="auto" w:fill="D2EEF5"/>
          </w:tcPr>
          <w:p>
            <w:pPr>
              <w:spacing w:after="0"/>
              <w:rPr>
                <w:sz w:val="22"/>
                <w:szCs w:val="22"/>
                <w:color w:val="auto"/>
              </w:rPr>
            </w:pPr>
          </w:p>
        </w:tc>
        <w:tc>
          <w:tcPr>
            <w:tcW w:w="3520" w:type="dxa"/>
            <w:vAlign w:val="bottom"/>
            <w:shd w:val="clear" w:color="auto" w:fill="D2EEF5"/>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D2EEF5"/>
          </w:tcPr>
          <w:p>
            <w:pPr>
              <w:spacing w:after="0"/>
              <w:rPr>
                <w:sz w:val="22"/>
                <w:szCs w:val="22"/>
                <w:color w:val="auto"/>
              </w:rPr>
            </w:pP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18"/>
                <w:szCs w:val="18"/>
                <w:u w:val="single" w:color="auto"/>
                <w:color w:val="auto"/>
                <w:shd w:val="clear" w:color="auto" w:fill="D2EEF5"/>
              </w:rPr>
              <w:t>$</w:t>
            </w:r>
            <w:r>
              <w:rPr>
                <w:rFonts w:ascii="Arial" w:cs="Arial" w:eastAsia="Arial" w:hAnsi="Arial"/>
                <w:sz w:val="18"/>
                <w:szCs w:val="18"/>
                <w:color w:val="auto"/>
                <w:shd w:val="clear" w:color="auto" w:fill="D2EEF5"/>
              </w:rPr>
              <w:t>2,486,553</w:t>
            </w:r>
          </w:p>
        </w:tc>
        <w:tc>
          <w:tcPr>
            <w:tcW w:w="60" w:type="dxa"/>
            <w:vAlign w:val="bottom"/>
            <w:vMerge w:val="restart"/>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40" w:type="dxa"/>
            <w:vAlign w:val="bottom"/>
            <w:vMerge w:val="restart"/>
            <w:shd w:val="clear" w:color="auto" w:fill="D2EEF5"/>
          </w:tcPr>
          <w:p>
            <w:pPr>
              <w:spacing w:after="0"/>
              <w:rPr>
                <w:sz w:val="22"/>
                <w:szCs w:val="22"/>
                <w:color w:val="auto"/>
              </w:rPr>
            </w:pPr>
          </w:p>
        </w:tc>
        <w:tc>
          <w:tcPr>
            <w:tcW w:w="920" w:type="dxa"/>
            <w:vAlign w:val="bottom"/>
            <w:gridSpan w:val="2"/>
            <w:vMerge w:val="restart"/>
            <w:shd w:val="clear" w:color="auto" w:fill="D2EEF5"/>
          </w:tcPr>
          <w:p>
            <w:pPr>
              <w:spacing w:after="0"/>
              <w:rPr>
                <w:sz w:val="22"/>
                <w:szCs w:val="22"/>
                <w:color w:val="auto"/>
              </w:rPr>
            </w:pPr>
          </w:p>
        </w:tc>
        <w:tc>
          <w:tcPr>
            <w:tcW w:w="60" w:type="dxa"/>
            <w:vAlign w:val="bottom"/>
            <w:vMerge w:val="restart"/>
            <w:shd w:val="clear" w:color="auto" w:fill="D2EEF5"/>
          </w:tcPr>
          <w:p>
            <w:pPr>
              <w:spacing w:after="0"/>
              <w:rPr>
                <w:sz w:val="22"/>
                <w:szCs w:val="22"/>
                <w:color w:val="auto"/>
              </w:rPr>
            </w:pP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40" w:type="dxa"/>
            <w:vAlign w:val="bottom"/>
            <w:vMerge w:val="restart"/>
            <w:shd w:val="clear" w:color="auto" w:fill="D2EEF5"/>
          </w:tcPr>
          <w:p>
            <w:pPr>
              <w:spacing w:after="0"/>
              <w:rPr>
                <w:sz w:val="22"/>
                <w:szCs w:val="22"/>
                <w:color w:val="auto"/>
              </w:rPr>
            </w:pPr>
          </w:p>
        </w:tc>
        <w:tc>
          <w:tcPr>
            <w:tcW w:w="9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2,206,236</w:t>
            </w:r>
          </w:p>
        </w:tc>
        <w:tc>
          <w:tcPr>
            <w:tcW w:w="80" w:type="dxa"/>
            <w:vAlign w:val="bottom"/>
            <w:tcBorders>
              <w:right w:val="single" w:sz="8" w:color="D2EEF5"/>
            </w:tcBorders>
            <w:vMerge w:val="restart"/>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80" w:type="dxa"/>
            <w:vAlign w:val="bottom"/>
            <w:shd w:val="clear" w:color="auto" w:fill="D2EEF5"/>
          </w:tcPr>
          <w:p>
            <w:pPr>
              <w:spacing w:after="0"/>
              <w:rPr>
                <w:sz w:val="22"/>
                <w:szCs w:val="22"/>
                <w:color w:val="auto"/>
              </w:rPr>
            </w:pPr>
          </w:p>
        </w:tc>
        <w:tc>
          <w:tcPr>
            <w:tcW w:w="84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80" w:type="dxa"/>
            <w:vAlign w:val="bottom"/>
            <w:tcBorders>
              <w:bottom w:val="single" w:sz="8" w:color="D2EEF5"/>
            </w:tcBorders>
            <w:shd w:val="clear" w:color="auto" w:fill="D2EEF5"/>
          </w:tcPr>
          <w:p>
            <w:pPr>
              <w:spacing w:after="0"/>
              <w:rPr>
                <w:sz w:val="5"/>
                <w:szCs w:val="5"/>
                <w:color w:val="auto"/>
              </w:rPr>
            </w:pPr>
          </w:p>
        </w:tc>
        <w:tc>
          <w:tcPr>
            <w:tcW w:w="3520" w:type="dxa"/>
            <w:vAlign w:val="bottom"/>
            <w:tcBorders>
              <w:bottom w:val="single" w:sz="8" w:color="D2EEF5"/>
            </w:tcBorders>
            <w:shd w:val="clear" w:color="auto" w:fill="D2EEF5"/>
          </w:tcPr>
          <w:p>
            <w:pPr>
              <w:spacing w:after="0"/>
              <w:rPr>
                <w:sz w:val="5"/>
                <w:szCs w:val="5"/>
                <w:color w:val="auto"/>
              </w:rPr>
            </w:pPr>
          </w:p>
        </w:tc>
        <w:tc>
          <w:tcPr>
            <w:tcW w:w="300" w:type="dxa"/>
            <w:vAlign w:val="bottom"/>
            <w:tcBorders>
              <w:bottom w:val="single" w:sz="8" w:color="D2EEF5"/>
            </w:tcBorders>
            <w:shd w:val="clear" w:color="auto" w:fill="D2EEF5"/>
          </w:tcPr>
          <w:p>
            <w:pPr>
              <w:spacing w:after="0"/>
              <w:rPr>
                <w:sz w:val="5"/>
                <w:szCs w:val="5"/>
                <w:color w:val="auto"/>
              </w:rPr>
            </w:pPr>
          </w:p>
        </w:tc>
        <w:tc>
          <w:tcPr>
            <w:tcW w:w="140" w:type="dxa"/>
            <w:vAlign w:val="bottom"/>
            <w:tcBorders>
              <w:bottom w:val="single" w:sz="8" w:color="auto"/>
            </w:tcBorders>
            <w:vMerge w:val="continue"/>
            <w:shd w:val="clear" w:color="auto" w:fill="D2EEF5"/>
          </w:tcPr>
          <w:p>
            <w:pPr>
              <w:spacing w:after="0"/>
              <w:rPr>
                <w:sz w:val="5"/>
                <w:szCs w:val="5"/>
                <w:color w:val="auto"/>
              </w:rPr>
            </w:pPr>
          </w:p>
        </w:tc>
        <w:tc>
          <w:tcPr>
            <w:tcW w:w="1020" w:type="dxa"/>
            <w:vAlign w:val="bottom"/>
            <w:tcBorders>
              <w:bottom w:val="single" w:sz="8" w:color="auto"/>
            </w:tcBorders>
            <w:vMerge w:val="continue"/>
            <w:shd w:val="clear" w:color="auto" w:fill="D2EEF5"/>
          </w:tcPr>
          <w:p>
            <w:pPr>
              <w:spacing w:after="0"/>
              <w:rPr>
                <w:sz w:val="5"/>
                <w:szCs w:val="5"/>
                <w:color w:val="auto"/>
              </w:rPr>
            </w:pPr>
          </w:p>
        </w:tc>
        <w:tc>
          <w:tcPr>
            <w:tcW w:w="60" w:type="dxa"/>
            <w:vAlign w:val="bottom"/>
            <w:tcBorders>
              <w:bottom w:val="single" w:sz="8" w:color="auto"/>
            </w:tcBorders>
            <w:vMerge w:val="continue"/>
            <w:shd w:val="clear" w:color="auto" w:fill="D2EEF5"/>
          </w:tcPr>
          <w:p>
            <w:pPr>
              <w:spacing w:after="0"/>
              <w:rPr>
                <w:sz w:val="5"/>
                <w:szCs w:val="5"/>
                <w:color w:val="auto"/>
              </w:rPr>
            </w:pPr>
          </w:p>
        </w:tc>
        <w:tc>
          <w:tcPr>
            <w:tcW w:w="60" w:type="dxa"/>
            <w:vAlign w:val="bottom"/>
            <w:tcBorders>
              <w:bottom w:val="single" w:sz="8" w:color="D2EEF5"/>
            </w:tcBorders>
            <w:shd w:val="clear" w:color="auto" w:fill="D2EEF5"/>
          </w:tcPr>
          <w:p>
            <w:pPr>
              <w:spacing w:after="0"/>
              <w:rPr>
                <w:sz w:val="5"/>
                <w:szCs w:val="5"/>
                <w:color w:val="auto"/>
              </w:rPr>
            </w:pPr>
          </w:p>
        </w:tc>
        <w:tc>
          <w:tcPr>
            <w:tcW w:w="140" w:type="dxa"/>
            <w:vAlign w:val="bottom"/>
            <w:tcBorders>
              <w:bottom w:val="single" w:sz="8" w:color="D2EEF5"/>
            </w:tcBorders>
            <w:shd w:val="clear" w:color="auto" w:fill="D2EEF5"/>
          </w:tcPr>
          <w:p>
            <w:pPr>
              <w:spacing w:after="0"/>
              <w:rPr>
                <w:sz w:val="5"/>
                <w:szCs w:val="5"/>
                <w:color w:val="auto"/>
              </w:rPr>
            </w:pPr>
          </w:p>
        </w:tc>
        <w:tc>
          <w:tcPr>
            <w:tcW w:w="880" w:type="dxa"/>
            <w:vAlign w:val="bottom"/>
            <w:tcBorders>
              <w:bottom w:val="single" w:sz="8" w:color="D2EEF5"/>
            </w:tcBorders>
            <w:shd w:val="clear" w:color="auto" w:fill="D2EEF5"/>
          </w:tcPr>
          <w:p>
            <w:pPr>
              <w:spacing w:after="0"/>
              <w:rPr>
                <w:sz w:val="5"/>
                <w:szCs w:val="5"/>
                <w:color w:val="auto"/>
              </w:rPr>
            </w:pPr>
          </w:p>
        </w:tc>
        <w:tc>
          <w:tcPr>
            <w:tcW w:w="60" w:type="dxa"/>
            <w:vAlign w:val="bottom"/>
            <w:tcBorders>
              <w:bottom w:val="single" w:sz="8" w:color="D2EEF5"/>
            </w:tcBorders>
            <w:shd w:val="clear" w:color="auto" w:fill="D2EEF5"/>
          </w:tcPr>
          <w:p>
            <w:pPr>
              <w:spacing w:after="0"/>
              <w:rPr>
                <w:sz w:val="5"/>
                <w:szCs w:val="5"/>
                <w:color w:val="auto"/>
              </w:rPr>
            </w:pPr>
          </w:p>
        </w:tc>
        <w:tc>
          <w:tcPr>
            <w:tcW w:w="40" w:type="dxa"/>
            <w:vAlign w:val="bottom"/>
            <w:tcBorders>
              <w:bottom w:val="single" w:sz="8" w:color="D2EEF5"/>
            </w:tcBorders>
            <w:vMerge w:val="continue"/>
            <w:shd w:val="clear" w:color="auto" w:fill="D2EEF5"/>
          </w:tcPr>
          <w:p>
            <w:pPr>
              <w:spacing w:after="0"/>
              <w:rPr>
                <w:sz w:val="5"/>
                <w:szCs w:val="5"/>
                <w:color w:val="auto"/>
              </w:rPr>
            </w:pPr>
          </w:p>
        </w:tc>
        <w:tc>
          <w:tcPr>
            <w:tcW w:w="920" w:type="dxa"/>
            <w:vAlign w:val="bottom"/>
            <w:tcBorders>
              <w:bottom w:val="single" w:sz="8" w:color="D2EEF5"/>
            </w:tcBorders>
            <w:gridSpan w:val="2"/>
            <w:vMerge w:val="continue"/>
            <w:shd w:val="clear" w:color="auto" w:fill="D2EEF5"/>
          </w:tcPr>
          <w:p>
            <w:pPr>
              <w:spacing w:after="0"/>
              <w:rPr>
                <w:sz w:val="5"/>
                <w:szCs w:val="5"/>
                <w:color w:val="auto"/>
              </w:rPr>
            </w:pPr>
          </w:p>
        </w:tc>
        <w:tc>
          <w:tcPr>
            <w:tcW w:w="60" w:type="dxa"/>
            <w:vAlign w:val="bottom"/>
            <w:tcBorders>
              <w:bottom w:val="single" w:sz="8" w:color="D2EEF5"/>
            </w:tcBorders>
            <w:vMerge w:val="continue"/>
            <w:shd w:val="clear" w:color="auto" w:fill="D2EEF5"/>
          </w:tcPr>
          <w:p>
            <w:pPr>
              <w:spacing w:after="0"/>
              <w:rPr>
                <w:sz w:val="5"/>
                <w:szCs w:val="5"/>
                <w:color w:val="auto"/>
              </w:rPr>
            </w:pPr>
          </w:p>
        </w:tc>
        <w:tc>
          <w:tcPr>
            <w:tcW w:w="140" w:type="dxa"/>
            <w:vAlign w:val="bottom"/>
            <w:tcBorders>
              <w:bottom w:val="single" w:sz="8" w:color="auto"/>
            </w:tcBorders>
            <w:vMerge w:val="continue"/>
            <w:shd w:val="clear" w:color="auto" w:fill="D2EEF5"/>
          </w:tcPr>
          <w:p>
            <w:pPr>
              <w:spacing w:after="0"/>
              <w:rPr>
                <w:sz w:val="5"/>
                <w:szCs w:val="5"/>
                <w:color w:val="auto"/>
              </w:rPr>
            </w:pPr>
          </w:p>
        </w:tc>
        <w:tc>
          <w:tcPr>
            <w:tcW w:w="40" w:type="dxa"/>
            <w:vAlign w:val="bottom"/>
            <w:tcBorders>
              <w:bottom w:val="single" w:sz="8" w:color="auto"/>
            </w:tcBorders>
            <w:vMerge w:val="continue"/>
            <w:shd w:val="clear" w:color="auto" w:fill="D2EEF5"/>
          </w:tcPr>
          <w:p>
            <w:pPr>
              <w:spacing w:after="0"/>
              <w:rPr>
                <w:sz w:val="5"/>
                <w:szCs w:val="5"/>
                <w:color w:val="auto"/>
              </w:rPr>
            </w:pPr>
          </w:p>
        </w:tc>
        <w:tc>
          <w:tcPr>
            <w:tcW w:w="980" w:type="dxa"/>
            <w:vAlign w:val="bottom"/>
            <w:tcBorders>
              <w:bottom w:val="single" w:sz="8" w:color="auto"/>
            </w:tcBorders>
            <w:vMerge w:val="continue"/>
            <w:shd w:val="clear" w:color="auto" w:fill="D2EEF5"/>
          </w:tcPr>
          <w:p>
            <w:pPr>
              <w:spacing w:after="0"/>
              <w:rPr>
                <w:sz w:val="5"/>
                <w:szCs w:val="5"/>
                <w:color w:val="auto"/>
              </w:rPr>
            </w:pPr>
          </w:p>
        </w:tc>
        <w:tc>
          <w:tcPr>
            <w:tcW w:w="80" w:type="dxa"/>
            <w:vAlign w:val="bottom"/>
            <w:tcBorders>
              <w:bottom w:val="single" w:sz="8" w:color="auto"/>
              <w:right w:val="single" w:sz="8" w:color="D2EEF5"/>
            </w:tcBorders>
            <w:vMerge w:val="continue"/>
            <w:shd w:val="clear" w:color="auto" w:fill="D2EEF5"/>
          </w:tcPr>
          <w:p>
            <w:pPr>
              <w:spacing w:after="0"/>
              <w:rPr>
                <w:sz w:val="5"/>
                <w:szCs w:val="5"/>
                <w:color w:val="auto"/>
              </w:rPr>
            </w:pPr>
          </w:p>
        </w:tc>
        <w:tc>
          <w:tcPr>
            <w:tcW w:w="20" w:type="dxa"/>
            <w:vAlign w:val="bottom"/>
            <w:tcBorders>
              <w:bottom w:val="single" w:sz="8" w:color="D2EEF5"/>
            </w:tcBorders>
            <w:shd w:val="clear" w:color="auto" w:fill="D2EEF5"/>
          </w:tcPr>
          <w:p>
            <w:pPr>
              <w:spacing w:after="0"/>
              <w:rPr>
                <w:sz w:val="5"/>
                <w:szCs w:val="5"/>
                <w:color w:val="auto"/>
              </w:rPr>
            </w:pPr>
          </w:p>
        </w:tc>
        <w:tc>
          <w:tcPr>
            <w:tcW w:w="180" w:type="dxa"/>
            <w:vAlign w:val="bottom"/>
            <w:tcBorders>
              <w:bottom w:val="single" w:sz="8" w:color="D2EEF5"/>
            </w:tcBorders>
            <w:shd w:val="clear" w:color="auto" w:fill="D2EEF5"/>
          </w:tcPr>
          <w:p>
            <w:pPr>
              <w:spacing w:after="0"/>
              <w:rPr>
                <w:sz w:val="5"/>
                <w:szCs w:val="5"/>
                <w:color w:val="auto"/>
              </w:rPr>
            </w:pPr>
          </w:p>
        </w:tc>
        <w:tc>
          <w:tcPr>
            <w:tcW w:w="840" w:type="dxa"/>
            <w:vAlign w:val="bottom"/>
            <w:tcBorders>
              <w:bottom w:val="single" w:sz="8" w:color="D2EEF5"/>
            </w:tcBorders>
            <w:shd w:val="clear" w:color="auto" w:fill="D2EEF5"/>
          </w:tcPr>
          <w:p>
            <w:pPr>
              <w:spacing w:after="0"/>
              <w:rPr>
                <w:sz w:val="5"/>
                <w:szCs w:val="5"/>
                <w:color w:val="auto"/>
              </w:rPr>
            </w:pPr>
          </w:p>
        </w:tc>
        <w:tc>
          <w:tcPr>
            <w:tcW w:w="60" w:type="dxa"/>
            <w:vAlign w:val="bottom"/>
            <w:tcBorders>
              <w:bottom w:val="single" w:sz="8" w:color="D2EEF5"/>
            </w:tcBorders>
            <w:shd w:val="clear" w:color="auto" w:fill="D2EEF5"/>
          </w:tcPr>
          <w:p>
            <w:pPr>
              <w:spacing w:after="0"/>
              <w:rPr>
                <w:sz w:val="5"/>
                <w:szCs w:val="5"/>
                <w:color w:val="auto"/>
              </w:rPr>
            </w:pPr>
          </w:p>
        </w:tc>
        <w:tc>
          <w:tcPr>
            <w:tcW w:w="60" w:type="dxa"/>
            <w:vAlign w:val="bottom"/>
            <w:tcBorders>
              <w:bottom w:val="single" w:sz="8" w:color="D2EEF5"/>
            </w:tcBorders>
            <w:shd w:val="clear" w:color="auto" w:fill="D2EEF5"/>
          </w:tcPr>
          <w:p>
            <w:pPr>
              <w:spacing w:after="0"/>
              <w:rPr>
                <w:sz w:val="5"/>
                <w:szCs w:val="5"/>
                <w:color w:val="auto"/>
              </w:rPr>
            </w:pPr>
          </w:p>
        </w:tc>
        <w:tc>
          <w:tcPr>
            <w:tcW w:w="680" w:type="dxa"/>
            <w:vAlign w:val="bottom"/>
            <w:tcBorders>
              <w:bottom w:val="single" w:sz="8" w:color="D2EEF5"/>
            </w:tcBorders>
            <w:shd w:val="clear" w:color="auto" w:fill="D2EEF5"/>
          </w:tcPr>
          <w:p>
            <w:pPr>
              <w:spacing w:after="0"/>
              <w:rPr>
                <w:sz w:val="5"/>
                <w:szCs w:val="5"/>
                <w:color w:val="auto"/>
              </w:rPr>
            </w:pPr>
          </w:p>
        </w:tc>
        <w:tc>
          <w:tcPr>
            <w:tcW w:w="240" w:type="dxa"/>
            <w:vAlign w:val="bottom"/>
            <w:tcBorders>
              <w:bottom w:val="single" w:sz="8" w:color="D2EEF5"/>
            </w:tcBorders>
            <w:shd w:val="clear" w:color="auto" w:fill="D2EEF5"/>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69,936</w:t>
            </w: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58,568</w:t>
            </w: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Net interest spread</w:t>
            </w:r>
          </w:p>
        </w:tc>
        <w:tc>
          <w:tcPr>
            <w:tcW w:w="300" w:type="dxa"/>
            <w:vAlign w:val="bottom"/>
            <w:tcBorders>
              <w:top w:val="single" w:sz="8" w:color="D2EEF5"/>
            </w:tcBorders>
            <w:vMerge w:val="restart"/>
            <w:shd w:val="clear" w:color="auto" w:fill="D2EEF5"/>
          </w:tcPr>
          <w:p>
            <w:pPr>
              <w:jc w:val="right"/>
              <w:spacing w:after="0"/>
              <w:rPr>
                <w:sz w:val="20"/>
                <w:szCs w:val="20"/>
                <w:color w:val="auto"/>
              </w:rPr>
            </w:pPr>
            <w:r>
              <w:rPr>
                <w:rFonts w:ascii="Arial" w:cs="Arial" w:eastAsia="Arial" w:hAnsi="Arial"/>
                <w:sz w:val="18"/>
                <w:szCs w:val="18"/>
                <w:color w:val="auto"/>
                <w:w w:val="90"/>
              </w:rPr>
              <w:t>(4)</w:t>
            </w:r>
          </w:p>
        </w:tc>
        <w:tc>
          <w:tcPr>
            <w:tcW w:w="140" w:type="dxa"/>
            <w:vAlign w:val="bottom"/>
            <w:tcBorders>
              <w:top w:val="single" w:sz="8" w:color="D2EEF5"/>
            </w:tcBorders>
            <w:shd w:val="clear" w:color="auto" w:fill="D2EEF5"/>
          </w:tcPr>
          <w:p>
            <w:pPr>
              <w:spacing w:after="0"/>
              <w:rPr>
                <w:sz w:val="24"/>
                <w:szCs w:val="24"/>
                <w:color w:val="auto"/>
              </w:rPr>
            </w:pPr>
          </w:p>
        </w:tc>
        <w:tc>
          <w:tcPr>
            <w:tcW w:w="1020" w:type="dxa"/>
            <w:vAlign w:val="bottom"/>
            <w:tcBorders>
              <w:top w:val="single" w:sz="8" w:color="D2EEF5"/>
            </w:tcBorders>
            <w:shd w:val="clear" w:color="auto" w:fill="D2EEF5"/>
          </w:tcPr>
          <w:p>
            <w:pPr>
              <w:spacing w:after="0"/>
              <w:rPr>
                <w:sz w:val="24"/>
                <w:szCs w:val="24"/>
                <w:color w:val="auto"/>
              </w:rPr>
            </w:pPr>
          </w:p>
        </w:tc>
        <w:tc>
          <w:tcPr>
            <w:tcW w:w="60" w:type="dxa"/>
            <w:vAlign w:val="bottom"/>
            <w:tcBorders>
              <w:top w:val="single" w:sz="8" w:color="D2EEF5"/>
            </w:tcBorders>
            <w:shd w:val="clear" w:color="auto" w:fill="D2EEF5"/>
          </w:tcPr>
          <w:p>
            <w:pPr>
              <w:spacing w:after="0"/>
              <w:rPr>
                <w:sz w:val="24"/>
                <w:szCs w:val="24"/>
                <w:color w:val="auto"/>
              </w:rPr>
            </w:pPr>
          </w:p>
        </w:tc>
        <w:tc>
          <w:tcPr>
            <w:tcW w:w="60" w:type="dxa"/>
            <w:vAlign w:val="bottom"/>
            <w:tcBorders>
              <w:top w:val="single" w:sz="8" w:color="D2EEF5"/>
            </w:tcBorders>
            <w:shd w:val="clear" w:color="auto" w:fill="D2EEF5"/>
          </w:tcPr>
          <w:p>
            <w:pPr>
              <w:spacing w:after="0"/>
              <w:rPr>
                <w:sz w:val="24"/>
                <w:szCs w:val="24"/>
                <w:color w:val="auto"/>
              </w:rPr>
            </w:pPr>
          </w:p>
        </w:tc>
        <w:tc>
          <w:tcPr>
            <w:tcW w:w="140" w:type="dxa"/>
            <w:vAlign w:val="bottom"/>
            <w:tcBorders>
              <w:top w:val="single" w:sz="8" w:color="auto"/>
            </w:tcBorders>
            <w:shd w:val="clear" w:color="auto" w:fill="D2EEF5"/>
          </w:tcPr>
          <w:p>
            <w:pPr>
              <w:spacing w:after="0"/>
              <w:rPr>
                <w:sz w:val="24"/>
                <w:szCs w:val="24"/>
                <w:color w:val="auto"/>
              </w:rPr>
            </w:pPr>
          </w:p>
        </w:tc>
        <w:tc>
          <w:tcPr>
            <w:tcW w:w="880" w:type="dxa"/>
            <w:vAlign w:val="bottom"/>
            <w:tcBorders>
              <w:top w:val="single" w:sz="8" w:color="auto"/>
            </w:tcBorders>
            <w:shd w:val="clear" w:color="auto" w:fill="D2EEF5"/>
          </w:tcPr>
          <w:p>
            <w:pPr>
              <w:spacing w:after="0"/>
              <w:rPr>
                <w:sz w:val="24"/>
                <w:szCs w:val="24"/>
                <w:color w:val="auto"/>
              </w:rPr>
            </w:pPr>
          </w:p>
        </w:tc>
        <w:tc>
          <w:tcPr>
            <w:tcW w:w="60" w:type="dxa"/>
            <w:vAlign w:val="bottom"/>
            <w:tcBorders>
              <w:top w:val="single" w:sz="8" w:color="auto"/>
            </w:tcBorders>
            <w:shd w:val="clear" w:color="auto" w:fill="D2EEF5"/>
          </w:tcPr>
          <w:p>
            <w:pPr>
              <w:spacing w:after="0"/>
              <w:rPr>
                <w:sz w:val="24"/>
                <w:szCs w:val="24"/>
                <w:color w:val="auto"/>
              </w:rPr>
            </w:pPr>
          </w:p>
        </w:tc>
        <w:tc>
          <w:tcPr>
            <w:tcW w:w="40" w:type="dxa"/>
            <w:vAlign w:val="bottom"/>
            <w:tcBorders>
              <w:top w:val="single" w:sz="8" w:color="D2EEF5"/>
            </w:tcBorders>
            <w:shd w:val="clear" w:color="auto" w:fill="D2EEF5"/>
          </w:tcPr>
          <w:p>
            <w:pPr>
              <w:spacing w:after="0"/>
              <w:rPr>
                <w:sz w:val="24"/>
                <w:szCs w:val="24"/>
                <w:color w:val="auto"/>
              </w:rPr>
            </w:pPr>
          </w:p>
        </w:tc>
        <w:tc>
          <w:tcPr>
            <w:tcW w:w="680" w:type="dxa"/>
            <w:vAlign w:val="bottom"/>
            <w:tcBorders>
              <w:top w:val="single" w:sz="8" w:color="D2EEF5"/>
            </w:tcBorders>
            <w:vMerge w:val="restart"/>
            <w:shd w:val="clear" w:color="auto" w:fill="D2EEF5"/>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D2EEF5"/>
            </w:tcBorders>
            <w:vMerge w:val="restart"/>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D2EEF5"/>
            </w:tcBorders>
            <w:shd w:val="clear" w:color="auto" w:fill="D2EEF5"/>
          </w:tcPr>
          <w:p>
            <w:pPr>
              <w:spacing w:after="0"/>
              <w:rPr>
                <w:sz w:val="24"/>
                <w:szCs w:val="24"/>
                <w:color w:val="auto"/>
              </w:rPr>
            </w:pPr>
          </w:p>
        </w:tc>
        <w:tc>
          <w:tcPr>
            <w:tcW w:w="140" w:type="dxa"/>
            <w:vAlign w:val="bottom"/>
            <w:tcBorders>
              <w:top w:val="single" w:sz="8" w:color="D2EEF5"/>
            </w:tcBorders>
            <w:shd w:val="clear" w:color="auto" w:fill="D2EEF5"/>
          </w:tcPr>
          <w:p>
            <w:pPr>
              <w:spacing w:after="0"/>
              <w:rPr>
                <w:sz w:val="24"/>
                <w:szCs w:val="24"/>
                <w:color w:val="auto"/>
              </w:rPr>
            </w:pPr>
          </w:p>
        </w:tc>
        <w:tc>
          <w:tcPr>
            <w:tcW w:w="40" w:type="dxa"/>
            <w:vAlign w:val="bottom"/>
            <w:tcBorders>
              <w:top w:val="single" w:sz="8" w:color="D2EEF5"/>
            </w:tcBorders>
            <w:shd w:val="clear" w:color="auto" w:fill="D2EEF5"/>
          </w:tcPr>
          <w:p>
            <w:pPr>
              <w:spacing w:after="0"/>
              <w:rPr>
                <w:sz w:val="24"/>
                <w:szCs w:val="24"/>
                <w:color w:val="auto"/>
              </w:rPr>
            </w:pPr>
          </w:p>
        </w:tc>
        <w:tc>
          <w:tcPr>
            <w:tcW w:w="980" w:type="dxa"/>
            <w:vAlign w:val="bottom"/>
            <w:tcBorders>
              <w:top w:val="single" w:sz="8" w:color="D2EEF5"/>
            </w:tcBorders>
            <w:shd w:val="clear" w:color="auto" w:fill="D2EEF5"/>
          </w:tcPr>
          <w:p>
            <w:pPr>
              <w:spacing w:after="0"/>
              <w:rPr>
                <w:sz w:val="24"/>
                <w:szCs w:val="24"/>
                <w:color w:val="auto"/>
              </w:rPr>
            </w:pPr>
          </w:p>
        </w:tc>
        <w:tc>
          <w:tcPr>
            <w:tcW w:w="80" w:type="dxa"/>
            <w:vAlign w:val="bottom"/>
            <w:tcBorders>
              <w:top w:val="single" w:sz="8" w:color="D2EEF5"/>
              <w:right w:val="single" w:sz="8" w:color="D2EEF5"/>
            </w:tcBorders>
            <w:shd w:val="clear" w:color="auto" w:fill="D2EEF5"/>
          </w:tcPr>
          <w:p>
            <w:pPr>
              <w:spacing w:after="0"/>
              <w:rPr>
                <w:sz w:val="24"/>
                <w:szCs w:val="24"/>
                <w:color w:val="auto"/>
              </w:rPr>
            </w:pPr>
          </w:p>
        </w:tc>
        <w:tc>
          <w:tcPr>
            <w:tcW w:w="20" w:type="dxa"/>
            <w:vAlign w:val="bottom"/>
            <w:tcBorders>
              <w:top w:val="single" w:sz="8" w:color="D2EEF5"/>
            </w:tcBorders>
            <w:shd w:val="clear" w:color="auto" w:fill="D2EEF5"/>
          </w:tcPr>
          <w:p>
            <w:pPr>
              <w:spacing w:after="0"/>
              <w:rPr>
                <w:sz w:val="24"/>
                <w:szCs w:val="24"/>
                <w:color w:val="auto"/>
              </w:rPr>
            </w:pPr>
          </w:p>
        </w:tc>
        <w:tc>
          <w:tcPr>
            <w:tcW w:w="180" w:type="dxa"/>
            <w:vAlign w:val="bottom"/>
            <w:tcBorders>
              <w:top w:val="single" w:sz="8" w:color="auto"/>
            </w:tcBorders>
            <w:shd w:val="clear" w:color="auto" w:fill="D2EEF5"/>
          </w:tcPr>
          <w:p>
            <w:pPr>
              <w:spacing w:after="0"/>
              <w:rPr>
                <w:sz w:val="24"/>
                <w:szCs w:val="24"/>
                <w:color w:val="auto"/>
              </w:rPr>
            </w:pPr>
          </w:p>
        </w:tc>
        <w:tc>
          <w:tcPr>
            <w:tcW w:w="840" w:type="dxa"/>
            <w:vAlign w:val="bottom"/>
            <w:tcBorders>
              <w:top w:val="single" w:sz="8" w:color="auto"/>
            </w:tcBorders>
            <w:shd w:val="clear" w:color="auto" w:fill="D2EEF5"/>
          </w:tcPr>
          <w:p>
            <w:pPr>
              <w:spacing w:after="0"/>
              <w:rPr>
                <w:sz w:val="24"/>
                <w:szCs w:val="24"/>
                <w:color w:val="auto"/>
              </w:rPr>
            </w:pPr>
          </w:p>
        </w:tc>
        <w:tc>
          <w:tcPr>
            <w:tcW w:w="60" w:type="dxa"/>
            <w:vAlign w:val="bottom"/>
            <w:tcBorders>
              <w:top w:val="single" w:sz="8" w:color="auto"/>
            </w:tcBorders>
            <w:shd w:val="clear" w:color="auto" w:fill="D2EEF5"/>
          </w:tcPr>
          <w:p>
            <w:pPr>
              <w:spacing w:after="0"/>
              <w:rPr>
                <w:sz w:val="24"/>
                <w:szCs w:val="24"/>
                <w:color w:val="auto"/>
              </w:rPr>
            </w:pPr>
          </w:p>
        </w:tc>
        <w:tc>
          <w:tcPr>
            <w:tcW w:w="60" w:type="dxa"/>
            <w:vAlign w:val="bottom"/>
            <w:tcBorders>
              <w:top w:val="single" w:sz="8" w:color="D2EEF5"/>
            </w:tcBorders>
            <w:shd w:val="clear" w:color="auto" w:fill="D2EEF5"/>
          </w:tcPr>
          <w:p>
            <w:pPr>
              <w:spacing w:after="0"/>
              <w:rPr>
                <w:sz w:val="24"/>
                <w:szCs w:val="24"/>
                <w:color w:val="auto"/>
              </w:rPr>
            </w:pPr>
          </w:p>
        </w:tc>
        <w:tc>
          <w:tcPr>
            <w:tcW w:w="680" w:type="dxa"/>
            <w:vAlign w:val="bottom"/>
            <w:tcBorders>
              <w:top w:val="single" w:sz="8" w:color="D2EEF5"/>
            </w:tcBorders>
            <w:vMerge w:val="restart"/>
            <w:shd w:val="clear" w:color="auto" w:fill="D2EEF5"/>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D2EEF5"/>
            </w:tcBorders>
            <w:vMerge w:val="restart"/>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80" w:type="dxa"/>
            <w:vAlign w:val="bottom"/>
            <w:shd w:val="clear" w:color="auto" w:fill="D2EEF5"/>
          </w:tcPr>
          <w:p>
            <w:pPr>
              <w:spacing w:after="0"/>
              <w:rPr>
                <w:sz w:val="10"/>
                <w:szCs w:val="10"/>
                <w:color w:val="auto"/>
              </w:rPr>
            </w:pPr>
          </w:p>
        </w:tc>
        <w:tc>
          <w:tcPr>
            <w:tcW w:w="3520" w:type="dxa"/>
            <w:vAlign w:val="bottom"/>
            <w:shd w:val="clear" w:color="auto" w:fill="D2EEF5"/>
          </w:tcPr>
          <w:p>
            <w:pPr>
              <w:spacing w:after="0"/>
              <w:rPr>
                <w:sz w:val="10"/>
                <w:szCs w:val="10"/>
                <w:color w:val="auto"/>
              </w:rPr>
            </w:pPr>
          </w:p>
        </w:tc>
        <w:tc>
          <w:tcPr>
            <w:tcW w:w="300" w:type="dxa"/>
            <w:vAlign w:val="bottom"/>
            <w:vMerge w:val="continue"/>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1020" w:type="dxa"/>
            <w:vAlign w:val="bottom"/>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880" w:type="dxa"/>
            <w:vAlign w:val="bottom"/>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40" w:type="dxa"/>
            <w:vAlign w:val="bottom"/>
            <w:shd w:val="clear" w:color="auto" w:fill="D2EEF5"/>
          </w:tcPr>
          <w:p>
            <w:pPr>
              <w:spacing w:after="0"/>
              <w:rPr>
                <w:sz w:val="10"/>
                <w:szCs w:val="10"/>
                <w:color w:val="auto"/>
              </w:rPr>
            </w:pPr>
          </w:p>
        </w:tc>
        <w:tc>
          <w:tcPr>
            <w:tcW w:w="680" w:type="dxa"/>
            <w:vAlign w:val="bottom"/>
            <w:tcBorders>
              <w:bottom w:val="single" w:sz="8" w:color="auto"/>
            </w:tcBorders>
            <w:vMerge w:val="continue"/>
            <w:shd w:val="clear" w:color="auto" w:fill="D2EEF5"/>
          </w:tcPr>
          <w:p>
            <w:pPr>
              <w:spacing w:after="0"/>
              <w:rPr>
                <w:sz w:val="10"/>
                <w:szCs w:val="10"/>
                <w:color w:val="auto"/>
              </w:rPr>
            </w:pPr>
          </w:p>
        </w:tc>
        <w:tc>
          <w:tcPr>
            <w:tcW w:w="240" w:type="dxa"/>
            <w:vAlign w:val="bottom"/>
            <w:tcBorders>
              <w:bottom w:val="single" w:sz="8" w:color="auto"/>
            </w:tcBorders>
            <w:vMerge w:val="continue"/>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140" w:type="dxa"/>
            <w:vAlign w:val="bottom"/>
            <w:shd w:val="clear" w:color="auto" w:fill="D2EEF5"/>
          </w:tcPr>
          <w:p>
            <w:pPr>
              <w:spacing w:after="0"/>
              <w:rPr>
                <w:sz w:val="10"/>
                <w:szCs w:val="10"/>
                <w:color w:val="auto"/>
              </w:rPr>
            </w:pPr>
          </w:p>
        </w:tc>
        <w:tc>
          <w:tcPr>
            <w:tcW w:w="40" w:type="dxa"/>
            <w:vAlign w:val="bottom"/>
            <w:shd w:val="clear" w:color="auto" w:fill="D2EEF5"/>
          </w:tcPr>
          <w:p>
            <w:pPr>
              <w:spacing w:after="0"/>
              <w:rPr>
                <w:sz w:val="10"/>
                <w:szCs w:val="10"/>
                <w:color w:val="auto"/>
              </w:rPr>
            </w:pPr>
          </w:p>
        </w:tc>
        <w:tc>
          <w:tcPr>
            <w:tcW w:w="980" w:type="dxa"/>
            <w:vAlign w:val="bottom"/>
            <w:shd w:val="clear" w:color="auto" w:fill="D2EEF5"/>
          </w:tcPr>
          <w:p>
            <w:pPr>
              <w:spacing w:after="0"/>
              <w:rPr>
                <w:sz w:val="10"/>
                <w:szCs w:val="10"/>
                <w:color w:val="auto"/>
              </w:rPr>
            </w:pPr>
          </w:p>
        </w:tc>
        <w:tc>
          <w:tcPr>
            <w:tcW w:w="80" w:type="dxa"/>
            <w:vAlign w:val="bottom"/>
            <w:tcBorders>
              <w:right w:val="single" w:sz="8" w:color="D2EEF5"/>
            </w:tcBorders>
            <w:shd w:val="clear" w:color="auto" w:fill="D2EEF5"/>
          </w:tcPr>
          <w:p>
            <w:pPr>
              <w:spacing w:after="0"/>
              <w:rPr>
                <w:sz w:val="10"/>
                <w:szCs w:val="10"/>
                <w:color w:val="auto"/>
              </w:rPr>
            </w:pPr>
          </w:p>
        </w:tc>
        <w:tc>
          <w:tcPr>
            <w:tcW w:w="20" w:type="dxa"/>
            <w:vAlign w:val="bottom"/>
            <w:shd w:val="clear" w:color="auto" w:fill="D2EEF5"/>
          </w:tcPr>
          <w:p>
            <w:pPr>
              <w:spacing w:after="0"/>
              <w:rPr>
                <w:sz w:val="10"/>
                <w:szCs w:val="10"/>
                <w:color w:val="auto"/>
              </w:rPr>
            </w:pPr>
          </w:p>
        </w:tc>
        <w:tc>
          <w:tcPr>
            <w:tcW w:w="180" w:type="dxa"/>
            <w:vAlign w:val="bottom"/>
            <w:shd w:val="clear" w:color="auto" w:fill="D2EEF5"/>
          </w:tcPr>
          <w:p>
            <w:pPr>
              <w:spacing w:after="0"/>
              <w:rPr>
                <w:sz w:val="10"/>
                <w:szCs w:val="10"/>
                <w:color w:val="auto"/>
              </w:rPr>
            </w:pPr>
          </w:p>
        </w:tc>
        <w:tc>
          <w:tcPr>
            <w:tcW w:w="840" w:type="dxa"/>
            <w:vAlign w:val="bottom"/>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60" w:type="dxa"/>
            <w:vAlign w:val="bottom"/>
            <w:shd w:val="clear" w:color="auto" w:fill="D2EEF5"/>
          </w:tcPr>
          <w:p>
            <w:pPr>
              <w:spacing w:after="0"/>
              <w:rPr>
                <w:sz w:val="10"/>
                <w:szCs w:val="10"/>
                <w:color w:val="auto"/>
              </w:rPr>
            </w:pPr>
          </w:p>
        </w:tc>
        <w:tc>
          <w:tcPr>
            <w:tcW w:w="680" w:type="dxa"/>
            <w:vAlign w:val="bottom"/>
            <w:tcBorders>
              <w:bottom w:val="single" w:sz="8" w:color="auto"/>
            </w:tcBorders>
            <w:vMerge w:val="continue"/>
            <w:shd w:val="clear" w:color="auto" w:fill="D2EEF5"/>
          </w:tcPr>
          <w:p>
            <w:pPr>
              <w:spacing w:after="0"/>
              <w:rPr>
                <w:sz w:val="10"/>
                <w:szCs w:val="10"/>
                <w:color w:val="auto"/>
              </w:rPr>
            </w:pPr>
          </w:p>
        </w:tc>
        <w:tc>
          <w:tcPr>
            <w:tcW w:w="240" w:type="dxa"/>
            <w:vAlign w:val="bottom"/>
            <w:tcBorders>
              <w:bottom w:val="single" w:sz="8" w:color="auto"/>
            </w:tcBorders>
            <w:vMerge w:val="continue"/>
            <w:shd w:val="clear" w:color="auto" w:fill="D2EEF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800" w:type="dxa"/>
            <w:vAlign w:val="bottom"/>
            <w:gridSpan w:val="2"/>
            <w:vMerge w:val="continue"/>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0"/>
              </w:rPr>
              <w:t>(5)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2.94 %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0" w:type="dxa"/>
            <w:vAlign w:val="bottom"/>
            <w:tcBorders>
              <w:top w:val="single" w:sz="8" w:color="D2EEF5"/>
              <w:bottom w:val="single" w:sz="8" w:color="auto"/>
            </w:tcBorders>
            <w:shd w:val="clear" w:color="auto" w:fill="D2EEF5"/>
          </w:tcPr>
          <w:p>
            <w:pPr>
              <w:spacing w:after="0"/>
              <w:rPr>
                <w:sz w:val="16"/>
                <w:szCs w:val="16"/>
                <w:color w:val="auto"/>
              </w:rPr>
            </w:pPr>
          </w:p>
        </w:tc>
        <w:tc>
          <w:tcPr>
            <w:tcW w:w="3520" w:type="dxa"/>
            <w:vAlign w:val="bottom"/>
            <w:tcBorders>
              <w:top w:val="single" w:sz="8" w:color="D2EEF5"/>
              <w:bottom w:val="single" w:sz="8" w:color="auto"/>
            </w:tcBorders>
            <w:shd w:val="clear" w:color="auto" w:fill="D2EEF5"/>
          </w:tcPr>
          <w:p>
            <w:pPr>
              <w:spacing w:after="0"/>
              <w:rPr>
                <w:sz w:val="16"/>
                <w:szCs w:val="16"/>
                <w:color w:val="auto"/>
              </w:rPr>
            </w:pPr>
          </w:p>
        </w:tc>
        <w:tc>
          <w:tcPr>
            <w:tcW w:w="30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102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88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680" w:type="dxa"/>
            <w:vAlign w:val="bottom"/>
            <w:tcBorders>
              <w:top w:val="single" w:sz="8" w:color="auto"/>
            </w:tcBorders>
            <w:shd w:val="clear" w:color="auto" w:fill="D2EEF5"/>
          </w:tcPr>
          <w:p>
            <w:pPr>
              <w:spacing w:after="0"/>
              <w:rPr>
                <w:sz w:val="16"/>
                <w:szCs w:val="16"/>
                <w:color w:val="auto"/>
              </w:rPr>
            </w:pPr>
          </w:p>
        </w:tc>
        <w:tc>
          <w:tcPr>
            <w:tcW w:w="24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980" w:type="dxa"/>
            <w:vAlign w:val="bottom"/>
            <w:tcBorders>
              <w:top w:val="single" w:sz="8" w:color="D2EEF5"/>
            </w:tcBorders>
            <w:shd w:val="clear" w:color="auto" w:fill="D2EEF5"/>
          </w:tcPr>
          <w:p>
            <w:pPr>
              <w:spacing w:after="0"/>
              <w:rPr>
                <w:sz w:val="16"/>
                <w:szCs w:val="16"/>
                <w:color w:val="auto"/>
              </w:rPr>
            </w:pPr>
          </w:p>
        </w:tc>
        <w:tc>
          <w:tcPr>
            <w:tcW w:w="80" w:type="dxa"/>
            <w:vAlign w:val="bottom"/>
            <w:tcBorders>
              <w:top w:val="single" w:sz="8" w:color="D2EEF5"/>
              <w:right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D2EEF5"/>
            </w:tcBorders>
            <w:shd w:val="clear" w:color="auto" w:fill="D2EEF5"/>
          </w:tcPr>
          <w:p>
            <w:pPr>
              <w:spacing w:after="0"/>
              <w:rPr>
                <w:sz w:val="16"/>
                <w:szCs w:val="16"/>
                <w:color w:val="auto"/>
              </w:rPr>
            </w:pPr>
          </w:p>
        </w:tc>
        <w:tc>
          <w:tcPr>
            <w:tcW w:w="84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680" w:type="dxa"/>
            <w:vAlign w:val="bottom"/>
            <w:tcBorders>
              <w:top w:val="single" w:sz="8" w:color="auto"/>
            </w:tcBorders>
            <w:shd w:val="clear" w:color="auto" w:fill="D2EEF5"/>
          </w:tcPr>
          <w:p>
            <w:pPr>
              <w:spacing w:after="0"/>
              <w:rPr>
                <w:sz w:val="16"/>
                <w:szCs w:val="16"/>
                <w:color w:val="auto"/>
              </w:rPr>
            </w:pPr>
          </w:p>
        </w:tc>
        <w:tc>
          <w:tcPr>
            <w:tcW w:w="240" w:type="dxa"/>
            <w:vAlign w:val="bottom"/>
            <w:tcBorders>
              <w:top w:val="single" w:sz="8" w:color="auto"/>
            </w:tcBorders>
            <w:shd w:val="clear" w:color="auto" w:fill="D2EEF5"/>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4096385</wp:posOffset>
                </wp:positionH>
                <wp:positionV relativeFrom="paragraph">
                  <wp:posOffset>-5276215</wp:posOffset>
                </wp:positionV>
                <wp:extent cx="27305" cy="127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2EEF5"/>
                        </a:solidFill>
                      </wps:spPr>
                      <wps:bodyPr/>
                    </wps:wsp>
                  </a:graphicData>
                </a:graphic>
              </wp:anchor>
            </w:drawing>
          </mc:Choice>
          <mc:Fallback>
            <w:pict>
              <v:rect id="Shape 4" o:spid="_x0000_s1029" style="position:absolute;margin-left:322.55pt;margin-top:-415.44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4714875</wp:posOffset>
                </wp:positionH>
                <wp:positionV relativeFrom="paragraph">
                  <wp:posOffset>-5276215</wp:posOffset>
                </wp:positionV>
                <wp:extent cx="29210" cy="127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5" o:spid="_x0000_s1030" style="position:absolute;margin-left:371.25pt;margin-top:-415.4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5524500</wp:posOffset>
                </wp:positionH>
                <wp:positionV relativeFrom="paragraph">
                  <wp:posOffset>-5276215</wp:posOffset>
                </wp:positionV>
                <wp:extent cx="28575" cy="127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D2EEF5"/>
                        </a:solidFill>
                      </wps:spPr>
                      <wps:bodyPr/>
                    </wps:wsp>
                  </a:graphicData>
                </a:graphic>
              </wp:anchor>
            </w:drawing>
          </mc:Choice>
          <mc:Fallback>
            <w:pict>
              <v:rect id="Shape 6" o:spid="_x0000_s1031" style="position:absolute;margin-left:435pt;margin-top:-415.4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6238875</wp:posOffset>
                </wp:positionH>
                <wp:positionV relativeFrom="paragraph">
                  <wp:posOffset>-5276215</wp:posOffset>
                </wp:positionV>
                <wp:extent cx="29210" cy="127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7" o:spid="_x0000_s1032" style="position:absolute;margin-left:491.25pt;margin-top:-415.4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280" w:hanging="280"/>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Average balances - Daily average balances are used to calculate yields/rates.</w:t>
      </w:r>
    </w:p>
    <w:p>
      <w:pPr>
        <w:spacing w:after="0" w:line="32" w:lineRule="exact"/>
        <w:rPr>
          <w:rFonts w:ascii="Arial" w:cs="Arial" w:eastAsia="Arial" w:hAnsi="Arial"/>
          <w:sz w:val="16"/>
          <w:szCs w:val="16"/>
          <w:color w:val="auto"/>
        </w:rPr>
      </w:pPr>
    </w:p>
    <w:p>
      <w:pPr>
        <w:ind w:left="280" w:hanging="280"/>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Average loan balances include non-accrual loans. Interest income on loans includes accretion of deferred loan fees, net of deferred loan costs.</w:t>
      </w:r>
    </w:p>
    <w:p>
      <w:pPr>
        <w:spacing w:after="0" w:line="56" w:lineRule="exact"/>
        <w:rPr>
          <w:rFonts w:ascii="Arial" w:cs="Arial" w:eastAsia="Arial" w:hAnsi="Arial"/>
          <w:sz w:val="16"/>
          <w:szCs w:val="16"/>
          <w:color w:val="auto"/>
        </w:rPr>
      </w:pPr>
    </w:p>
    <w:p>
      <w:pPr>
        <w:ind w:left="280" w:hanging="280"/>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fair value except for securities held to maturity. This amount includes FHLB stock.</w:t>
      </w:r>
    </w:p>
    <w:p>
      <w:pPr>
        <w:spacing w:after="0" w:line="56" w:lineRule="exact"/>
        <w:rPr>
          <w:rFonts w:ascii="Arial" w:cs="Arial" w:eastAsia="Arial" w:hAnsi="Arial"/>
          <w:sz w:val="16"/>
          <w:szCs w:val="16"/>
          <w:color w:val="auto"/>
        </w:rPr>
      </w:pPr>
    </w:p>
    <w:p>
      <w:pPr>
        <w:ind w:left="280" w:hanging="280"/>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spread is the weighted average yield on total interest-earning assets minus the weighted average rate on total interest-bearing liabilities.</w:t>
      </w:r>
    </w:p>
    <w:p>
      <w:pPr>
        <w:spacing w:after="0" w:line="56" w:lineRule="exact"/>
        <w:rPr>
          <w:rFonts w:ascii="Arial" w:cs="Arial" w:eastAsia="Arial" w:hAnsi="Arial"/>
          <w:sz w:val="16"/>
          <w:szCs w:val="16"/>
          <w:color w:val="auto"/>
        </w:rPr>
      </w:pPr>
    </w:p>
    <w:p>
      <w:pPr>
        <w:ind w:left="280" w:hanging="280"/>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margin is the ratio of net interest income to average total interest-earning assets.</w:t>
      </w:r>
    </w:p>
    <w:p>
      <w:pPr>
        <w:spacing w:after="0" w:line="282" w:lineRule="exact"/>
        <w:rPr>
          <w:sz w:val="20"/>
          <w:szCs w:val="20"/>
          <w:color w:val="auto"/>
        </w:rPr>
      </w:pPr>
    </w:p>
    <w:p>
      <w:pPr>
        <w:jc w:val="both"/>
        <w:ind w:firstLine="362"/>
        <w:spacing w:after="0" w:line="250" w:lineRule="auto"/>
        <w:rPr>
          <w:sz w:val="20"/>
          <w:szCs w:val="20"/>
          <w:color w:val="auto"/>
        </w:rPr>
      </w:pPr>
      <w:r>
        <w:rPr>
          <w:rFonts w:ascii="Arial" w:cs="Arial" w:eastAsia="Arial" w:hAnsi="Arial"/>
          <w:sz w:val="20"/>
          <w:szCs w:val="20"/>
          <w:color w:val="auto"/>
        </w:rPr>
        <w:t>Net interest income before the provision for credit losses was $69.9 million for the year ended December 31, 2024, an increase of $11.4 million or 19.4%, from $58.6 million for the year ended December 31, 2023. This increase was primarily attributable to increase in weighted average yields on interest-earning assets growing at a higher pace than the increase in weighted average rates paid on interest-earning liabilities. Additionally, the increase in the volume of interest-earning assets was higher than interest-earning liabilities.</w:t>
      </w:r>
    </w:p>
    <w:p>
      <w:pPr>
        <w:spacing w:after="0" w:line="183"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20"/>
          <w:szCs w:val="20"/>
          <w:color w:val="auto"/>
        </w:rPr>
        <w:t>The net interest margin was 2.94% for the year ended December 31, 2024 and 2.79% for the year ended 2023. Although the overall and individual yields for interest-earning assets and interest-bearing liabilities both increased in 2024, the yield on interest- earning assets, especially on loans, had a greater increase when compared to 2023. The increase in our yields and cost of funds was primarily due to the interest rate market.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have any tax-exempt securities at both December 31, 2024 and 2023.</w:t>
      </w:r>
    </w:p>
    <w:p>
      <w:pPr>
        <w:spacing w:after="0" w:line="24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1C2790"/>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Credit Losses</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ACL represents expected credit losses in our portfolio as the measurement date. We maintain an adequate ACL that can mitigate expected credit losses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 statistical trends and economic conditions and other applicable factors.</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provision for credit loss for the year ended December 31, 2024, was $3.2 million compared to $2.4 million in provision expense for the same period in 2023. The ACL as a percentage of total loans was 1.22% at December 31, 2024 compared to 1.18% at December 31, 2023.</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“Allowance for Credit Losses” below for further discussion on how the ACL was calculated for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Income</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Net interest income and other types of recurring non-interest income are generated from our operations. Our services and products generate service charges and fees, mainly from our depository accounts. We also generate income from gain on sale of loans though our interest rate swap and SBA programs. In addition, we own life insurance policies on several employees and generate income reflecting the increase in the cash surrender value of these policies.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components of non-interest income for the periods indicated (in thousands):</w:t>
      </w:r>
    </w:p>
    <w:p>
      <w:pPr>
        <w:sectPr>
          <w:pgSz w:w="12240" w:h="15840"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Service fees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6028690" cy="14605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46050"/>
                        </a:xfrm>
                        <a:prstGeom prst="rect">
                          <a:avLst/>
                        </a:prstGeom>
                        <a:solidFill>
                          <a:srgbClr val="D2EEF5"/>
                        </a:solidFill>
                      </wps:spPr>
                      <wps:bodyPr/>
                    </wps:wsp>
                  </a:graphicData>
                </a:graphic>
              </wp:anchor>
            </w:drawing>
          </mc:Choice>
          <mc:Fallback>
            <w:pict>
              <v:rect id="Shape 8" o:spid="_x0000_s1033" style="position:absolute;margin-left:0pt;margin-top:-10pt;width:474.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5152390" cy="1517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151765"/>
                        </a:xfrm>
                        <a:prstGeom prst="rect">
                          <a:avLst/>
                        </a:prstGeom>
                        <a:solidFill>
                          <a:srgbClr val="D2EEF5"/>
                        </a:solidFill>
                      </wps:spPr>
                      <wps:bodyPr/>
                    </wps:wsp>
                  </a:graphicData>
                </a:graphic>
              </wp:anchor>
            </w:drawing>
          </mc:Choice>
          <mc:Fallback>
            <w:pict>
              <v:rect id="Shape 9" o:spid="_x0000_s1034" style="position:absolute;margin-left:0pt;margin-top:-10.4499pt;width:405.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Gain (loss) on sale of securities available for sale,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6028690" cy="1524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2400"/>
                        </a:xfrm>
                        <a:prstGeom prst="rect">
                          <a:avLst/>
                        </a:prstGeom>
                        <a:solidFill>
                          <a:srgbClr val="D2EEF5"/>
                        </a:solidFill>
                      </wps:spPr>
                      <wps:bodyPr/>
                    </wps:wsp>
                  </a:graphicData>
                </a:graphic>
              </wp:anchor>
            </w:drawing>
          </mc:Choice>
          <mc:Fallback>
            <w:pict>
              <v:rect id="Shape 10" o:spid="_x0000_s1035" style="position:absolute;margin-left:0pt;margin-top:1.8pt;width:474.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loans held for sale, net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Other non-interest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6028690" cy="1555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5575"/>
                        </a:xfrm>
                        <a:prstGeom prst="rect">
                          <a:avLst/>
                        </a:prstGeom>
                        <a:solidFill>
                          <a:srgbClr val="D2EEF5"/>
                        </a:solidFill>
                      </wps:spPr>
                      <wps:bodyPr/>
                    </wps:wsp>
                  </a:graphicData>
                </a:graphic>
              </wp:anchor>
            </w:drawing>
          </mc:Choice>
          <mc:Fallback>
            <w:pict>
              <v:rect id="Shape 11" o:spid="_x0000_s1036" style="position:absolute;margin-left:0pt;margin-top:2pt;width:474.7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515239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4763"/>
                        </a:xfrm>
                        <a:prstGeom prst="line">
                          <a:avLst/>
                        </a:prstGeom>
                        <a:solidFill>
                          <a:srgbClr val="FFFFFF"/>
                        </a:solidFill>
                        <a:ln w="6108">
                          <a:solidFill>
                            <a:srgbClr val="D2EEF5"/>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405.7pt,1.75pt" o:allowincell="f" strokecolor="#D2EEF5" strokeweight="0.4809pt"/>
            </w:pict>
          </mc:Fallback>
        </mc:AlternateConten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non-interest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85090</wp:posOffset>
                </wp:positionH>
                <wp:positionV relativeFrom="paragraph">
                  <wp:posOffset>-119380</wp:posOffset>
                </wp:positionV>
                <wp:extent cx="5067300" cy="13081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130810"/>
                        </a:xfrm>
                        <a:prstGeom prst="rect">
                          <a:avLst/>
                        </a:prstGeom>
                        <a:solidFill>
                          <a:srgbClr val="D2EEF5"/>
                        </a:solidFill>
                      </wps:spPr>
                      <wps:bodyPr/>
                    </wps:wsp>
                  </a:graphicData>
                </a:graphic>
              </wp:anchor>
            </w:drawing>
          </mc:Choice>
          <mc:Fallback>
            <w:pict>
              <v:rect id="Shape 13" o:spid="_x0000_s1038" style="position:absolute;margin-left:6.7pt;margin-top:-9.3999pt;width:399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15875</wp:posOffset>
                </wp:positionV>
                <wp:extent cx="170561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56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pt,1.25pt" to="135pt,1.25pt" o:allowincell="f" strokecolor="#000000" strokeweight="0.4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D2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8,839</w:t>
            </w:r>
          </w:p>
        </w:tc>
        <w:tc>
          <w:tcPr>
            <w:tcW w:w="60" w:type="dxa"/>
            <w:vAlign w:val="bottom"/>
          </w:tcPr>
          <w:p>
            <w:pPr>
              <w:spacing w:after="0"/>
              <w:rPr>
                <w:sz w:val="19"/>
                <w:szCs w:val="19"/>
                <w:color w:val="auto"/>
              </w:rPr>
            </w:pPr>
          </w:p>
        </w:tc>
        <w:tc>
          <w:tcPr>
            <w:tcW w:w="80" w:type="dxa"/>
            <w:vAlign w:val="bottom"/>
            <w:tcBorders>
              <w:left w:val="single" w:sz="8" w:color="D2EEF5"/>
            </w:tcBorders>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1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7"/>
                <w:szCs w:val="17"/>
                <w:color w:val="auto"/>
              </w:rPr>
            </w:pPr>
          </w:p>
        </w:tc>
        <w:tc>
          <w:tcPr>
            <w:tcW w:w="80" w:type="dxa"/>
            <w:vAlign w:val="bottom"/>
            <w:tcBorders>
              <w:left w:val="single" w:sz="8" w:color="D2EEF5"/>
            </w:tcBorders>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3,140</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8"/>
        </w:trPr>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line="20" w:lineRule="exact"/>
              <w:rPr>
                <w:sz w:val="1"/>
                <w:szCs w:val="1"/>
                <w:color w:val="auto"/>
              </w:rPr>
            </w:pPr>
          </w:p>
        </w:tc>
      </w:tr>
      <w:tr>
        <w:trPr>
          <w:trHeight w:val="208"/>
        </w:trPr>
        <w:tc>
          <w:tcPr>
            <w:tcW w:w="20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12,740</w:t>
            </w:r>
          </w:p>
        </w:tc>
        <w:tc>
          <w:tcPr>
            <w:tcW w:w="60" w:type="dxa"/>
            <w:vAlign w:val="bottom"/>
            <w:tcBorders>
              <w:bottom w:val="single" w:sz="8" w:color="auto"/>
            </w:tcBorders>
            <w:vMerge w:val="continue"/>
          </w:tcPr>
          <w:p>
            <w:pPr>
              <w:spacing w:after="0"/>
              <w:rPr>
                <w:sz w:val="18"/>
                <w:szCs w:val="18"/>
                <w:color w:val="auto"/>
              </w:rPr>
            </w:pPr>
          </w:p>
        </w:tc>
        <w:tc>
          <w:tcPr>
            <w:tcW w:w="80" w:type="dxa"/>
            <w:vAlign w:val="bottom"/>
            <w:tcBorders>
              <w:left w:val="single" w:sz="8" w:color="D2EEF5"/>
              <w:bottom w:val="single" w:sz="8" w:color="auto"/>
            </w:tcBorders>
            <w:shd w:val="clear" w:color="auto" w:fill="D2EEF5"/>
          </w:tcPr>
          <w:p>
            <w:pPr>
              <w:spacing w:after="0"/>
              <w:rPr>
                <w:sz w:val="18"/>
                <w:szCs w:val="18"/>
                <w:color w:val="auto"/>
              </w:rPr>
            </w:pPr>
          </w:p>
        </w:tc>
        <w:tc>
          <w:tcPr>
            <w:tcW w:w="180" w:type="dxa"/>
            <w:vAlign w:val="bottom"/>
            <w:tcBorders>
              <w:bottom w:val="single" w:sz="8" w:color="auto"/>
            </w:tcBorders>
            <w:vMerge w:val="continue"/>
            <w:shd w:val="clear" w:color="auto" w:fill="D2EEF5"/>
          </w:tcPr>
          <w:p>
            <w:pPr>
              <w:spacing w:after="0"/>
              <w:rPr>
                <w:sz w:val="18"/>
                <w:szCs w:val="18"/>
                <w:color w:val="auto"/>
              </w:rPr>
            </w:pPr>
          </w:p>
        </w:tc>
        <w:tc>
          <w:tcPr>
            <w:tcW w:w="1120" w:type="dxa"/>
            <w:vAlign w:val="bottom"/>
            <w:tcBorders>
              <w:bottom w:val="single" w:sz="8" w:color="auto"/>
            </w:tcBorders>
            <w:vMerge w:val="continue"/>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380" w:space="720"/>
            <w:col w:w="2700"/>
          </w:cols>
          <w:pgMar w:left="720" w:top="355" w:right="720" w:bottom="0" w:gutter="0" w:footer="0" w:header="0"/>
          <w:type w:val="continuous"/>
        </w:sectPr>
      </w:pPr>
    </w:p>
    <w:p>
      <w:pPr>
        <w:spacing w:after="0" w:line="11" w:lineRule="exact"/>
        <w:rPr>
          <w:sz w:val="20"/>
          <w:szCs w:val="20"/>
          <w:color w:val="auto"/>
        </w:rPr>
      </w:pPr>
    </w:p>
    <w:p>
      <w:pPr>
        <w:jc w:val="both"/>
        <w:ind w:firstLine="361"/>
        <w:spacing w:after="0" w:line="247" w:lineRule="auto"/>
        <w:rPr>
          <w:sz w:val="20"/>
          <w:szCs w:val="20"/>
          <w:color w:val="auto"/>
        </w:rPr>
      </w:pPr>
      <w:r>
        <w:rPr>
          <w:rFonts w:ascii="Arial" w:cs="Arial" w:eastAsia="Arial" w:hAnsi="Arial"/>
          <w:sz w:val="20"/>
          <w:szCs w:val="20"/>
          <w:color w:val="auto"/>
        </w:rPr>
        <w:t>Non- interest income for the year ended December 31, 2024 was $12.7 million compared to $7.4 million for the same period in 2023. This increase was primarily driven by a $2.9 million increase in interest rate swap income, $415 thousand increase in wire transfer fees, and $530 thousand increase in prepayment penalties reported under service fees. Additionally, in 2023, the Company executed a portfolio restructuring strategy which resulted in the sale of lower-yielding available-for-sale securities at a loss in order to better position our securities portfolio. The loss on the sale of securities was $1.9 million for 2023. Proceeds from the sale transactions were primarily reinvested in securities and loans bearing yields higher than those on the securities that were sold.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components of non-interest expense for the periods indicated (in thousands):</w:t>
      </w:r>
    </w:p>
    <w:p>
      <w:pPr>
        <w:sectPr>
          <w:pgSz w:w="12240" w:h="15840" w:orient="portrait"/>
          <w:cols w:equalWidth="0" w:num="1">
            <w:col w:w="10800"/>
          </w:cols>
          <w:pgMar w:left="720" w:top="35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Salaries and employee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6028690" cy="1460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46050"/>
                        </a:xfrm>
                        <a:prstGeom prst="rect">
                          <a:avLst/>
                        </a:prstGeom>
                        <a:solidFill>
                          <a:srgbClr val="D2EEF5"/>
                        </a:solidFill>
                      </wps:spPr>
                      <wps:bodyPr/>
                    </wps:wsp>
                  </a:graphicData>
                </a:graphic>
              </wp:anchor>
            </w:drawing>
          </mc:Choice>
          <mc:Fallback>
            <w:pict>
              <v:rect id="Shape 15" o:spid="_x0000_s1040" style="position:absolute;margin-left:0pt;margin-top:-10pt;width:474.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5152390" cy="1517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151765"/>
                        </a:xfrm>
                        <a:prstGeom prst="rect">
                          <a:avLst/>
                        </a:prstGeom>
                        <a:solidFill>
                          <a:srgbClr val="D2EEF5"/>
                        </a:solidFill>
                      </wps:spPr>
                      <wps:bodyPr/>
                    </wps:wsp>
                  </a:graphicData>
                </a:graphic>
              </wp:anchor>
            </w:drawing>
          </mc:Choice>
          <mc:Fallback>
            <w:pict>
              <v:rect id="Shape 16" o:spid="_x0000_s1041" style="position:absolute;margin-left:0pt;margin-top:-10.4499pt;width:405.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Occupancy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028690" cy="1524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2400"/>
                        </a:xfrm>
                        <a:prstGeom prst="rect">
                          <a:avLst/>
                        </a:prstGeom>
                        <a:solidFill>
                          <a:srgbClr val="D2EEF5"/>
                        </a:solidFill>
                      </wps:spPr>
                      <wps:bodyPr/>
                    </wps:wsp>
                  </a:graphicData>
                </a:graphic>
              </wp:anchor>
            </w:drawing>
          </mc:Choice>
          <mc:Fallback>
            <w:pict>
              <v:rect id="Shape 17" o:spid="_x0000_s1042" style="position:absolute;margin-left:0pt;margin-top:1.25pt;width:474.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assessment and fees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Consulting and legal fees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6028690" cy="1524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2400"/>
                        </a:xfrm>
                        <a:prstGeom prst="rect">
                          <a:avLst/>
                        </a:prstGeom>
                        <a:solidFill>
                          <a:srgbClr val="D2EEF5"/>
                        </a:solidFill>
                      </wps:spPr>
                      <wps:bodyPr/>
                    </wps:wsp>
                  </a:graphicData>
                </a:graphic>
              </wp:anchor>
            </w:drawing>
          </mc:Choice>
          <mc:Fallback>
            <w:pict>
              <v:rect id="Shape 18" o:spid="_x0000_s1043" style="position:absolute;margin-left:0pt;margin-top:1.5pt;width:474.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Network and information technology services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6028690" cy="15557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5575"/>
                        </a:xfrm>
                        <a:prstGeom prst="rect">
                          <a:avLst/>
                        </a:prstGeom>
                        <a:solidFill>
                          <a:srgbClr val="D2EEF5"/>
                        </a:solidFill>
                      </wps:spPr>
                      <wps:bodyPr/>
                    </wps:wsp>
                  </a:graphicData>
                </a:graphic>
              </wp:anchor>
            </w:drawing>
          </mc:Choice>
          <mc:Fallback>
            <w:pict>
              <v:rect id="Shape 19" o:spid="_x0000_s1044" style="position:absolute;margin-left:0pt;margin-top:2pt;width:474.7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51523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4763"/>
                        </a:xfrm>
                        <a:prstGeom prst="line">
                          <a:avLst/>
                        </a:prstGeom>
                        <a:solidFill>
                          <a:srgbClr val="FFFFFF"/>
                        </a:solidFill>
                        <a:ln w="6096">
                          <a:solidFill>
                            <a:srgbClr val="D2EEF5"/>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405.7pt,1.75pt" o:allowincell="f" strokecolor="#D2EEF5" strokeweight="0.48pt"/>
            </w:pict>
          </mc:Fallback>
        </mc:AlternateConten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non-interest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85090</wp:posOffset>
                </wp:positionH>
                <wp:positionV relativeFrom="paragraph">
                  <wp:posOffset>-119380</wp:posOffset>
                </wp:positionV>
                <wp:extent cx="5067300" cy="13081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130810"/>
                        </a:xfrm>
                        <a:prstGeom prst="rect">
                          <a:avLst/>
                        </a:prstGeom>
                        <a:solidFill>
                          <a:srgbClr val="D2EEF5"/>
                        </a:solidFill>
                      </wps:spPr>
                      <wps:bodyPr/>
                    </wps:wsp>
                  </a:graphicData>
                </a:graphic>
              </wp:anchor>
            </w:drawing>
          </mc:Choice>
          <mc:Fallback>
            <w:pict>
              <v:rect id="Shape 21" o:spid="_x0000_s1046" style="position:absolute;margin-left:6.7pt;margin-top:-9.3999pt;width:399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15875</wp:posOffset>
                </wp:positionV>
                <wp:extent cx="170561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561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pt,1.25pt" to="135pt,1.25pt" o:allowincell="f" strokecolor="#000000" strokeweight="0.479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D2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28,793</w:t>
            </w:r>
          </w:p>
        </w:tc>
        <w:tc>
          <w:tcPr>
            <w:tcW w:w="60" w:type="dxa"/>
            <w:vAlign w:val="bottom"/>
          </w:tcPr>
          <w:p>
            <w:pPr>
              <w:spacing w:after="0"/>
              <w:rPr>
                <w:sz w:val="19"/>
                <w:szCs w:val="19"/>
                <w:color w:val="auto"/>
              </w:rPr>
            </w:pPr>
          </w:p>
        </w:tc>
        <w:tc>
          <w:tcPr>
            <w:tcW w:w="80" w:type="dxa"/>
            <w:vAlign w:val="bottom"/>
            <w:tcBorders>
              <w:left w:val="single" w:sz="8" w:color="D2EEF5"/>
            </w:tcBorders>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24,429</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5,258</w:t>
            </w:r>
          </w:p>
        </w:tc>
        <w:tc>
          <w:tcPr>
            <w:tcW w:w="80" w:type="dxa"/>
            <w:vAlign w:val="bottom"/>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1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1,766</w:t>
            </w:r>
          </w:p>
        </w:tc>
        <w:tc>
          <w:tcPr>
            <w:tcW w:w="60" w:type="dxa"/>
            <w:vAlign w:val="bottom"/>
          </w:tcPr>
          <w:p>
            <w:pPr>
              <w:spacing w:after="0"/>
              <w:rPr>
                <w:sz w:val="17"/>
                <w:szCs w:val="17"/>
                <w:color w:val="auto"/>
              </w:rPr>
            </w:pPr>
          </w:p>
        </w:tc>
        <w:tc>
          <w:tcPr>
            <w:tcW w:w="80" w:type="dxa"/>
            <w:vAlign w:val="bottom"/>
            <w:tcBorders>
              <w:left w:val="single" w:sz="8" w:color="D2EEF5"/>
            </w:tcBorders>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1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7"/>
                <w:szCs w:val="17"/>
                <w:color w:val="auto"/>
              </w:rPr>
            </w:pPr>
          </w:p>
        </w:tc>
        <w:tc>
          <w:tcPr>
            <w:tcW w:w="80" w:type="dxa"/>
            <w:vAlign w:val="bottom"/>
            <w:tcBorders>
              <w:left w:val="single" w:sz="8" w:color="D2EEF5"/>
            </w:tcBorders>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7,664</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8"/>
        </w:trPr>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41,808</w:t>
            </w:r>
          </w:p>
        </w:tc>
        <w:tc>
          <w:tcPr>
            <w:tcW w:w="0" w:type="dxa"/>
            <w:vAlign w:val="bottom"/>
          </w:tcPr>
          <w:p>
            <w:pPr>
              <w:spacing w:after="0" w:line="20" w:lineRule="exact"/>
              <w:rPr>
                <w:sz w:val="1"/>
                <w:szCs w:val="1"/>
                <w:color w:val="auto"/>
              </w:rPr>
            </w:pPr>
          </w:p>
        </w:tc>
      </w:tr>
      <w:tr>
        <w:trPr>
          <w:trHeight w:val="208"/>
        </w:trPr>
        <w:tc>
          <w:tcPr>
            <w:tcW w:w="20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47,042</w:t>
            </w:r>
          </w:p>
        </w:tc>
        <w:tc>
          <w:tcPr>
            <w:tcW w:w="60" w:type="dxa"/>
            <w:vAlign w:val="bottom"/>
            <w:tcBorders>
              <w:bottom w:val="single" w:sz="8" w:color="auto"/>
            </w:tcBorders>
            <w:vMerge w:val="continue"/>
          </w:tcPr>
          <w:p>
            <w:pPr>
              <w:spacing w:after="0"/>
              <w:rPr>
                <w:sz w:val="18"/>
                <w:szCs w:val="18"/>
                <w:color w:val="auto"/>
              </w:rPr>
            </w:pPr>
          </w:p>
        </w:tc>
        <w:tc>
          <w:tcPr>
            <w:tcW w:w="80" w:type="dxa"/>
            <w:vAlign w:val="bottom"/>
            <w:tcBorders>
              <w:left w:val="single" w:sz="8" w:color="D2EEF5"/>
              <w:bottom w:val="single" w:sz="8" w:color="auto"/>
            </w:tcBorders>
            <w:shd w:val="clear" w:color="auto" w:fill="D2EEF5"/>
          </w:tcPr>
          <w:p>
            <w:pPr>
              <w:spacing w:after="0"/>
              <w:rPr>
                <w:sz w:val="18"/>
                <w:szCs w:val="18"/>
                <w:color w:val="auto"/>
              </w:rPr>
            </w:pPr>
          </w:p>
        </w:tc>
        <w:tc>
          <w:tcPr>
            <w:tcW w:w="180" w:type="dxa"/>
            <w:vAlign w:val="bottom"/>
            <w:tcBorders>
              <w:bottom w:val="single" w:sz="8" w:color="auto"/>
            </w:tcBorders>
            <w:vMerge w:val="continue"/>
            <w:shd w:val="clear" w:color="auto" w:fill="D2EEF5"/>
          </w:tcPr>
          <w:p>
            <w:pPr>
              <w:spacing w:after="0"/>
              <w:rPr>
                <w:sz w:val="18"/>
                <w:szCs w:val="18"/>
                <w:color w:val="auto"/>
              </w:rPr>
            </w:pPr>
          </w:p>
        </w:tc>
        <w:tc>
          <w:tcPr>
            <w:tcW w:w="1120" w:type="dxa"/>
            <w:vAlign w:val="bottom"/>
            <w:tcBorders>
              <w:bottom w:val="single" w:sz="8" w:color="auto"/>
            </w:tcBorders>
            <w:vMerge w:val="continue"/>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380" w:space="720"/>
            <w:col w:w="2700"/>
          </w:cols>
          <w:pgMar w:left="720" w:top="355" w:right="720" w:bottom="0" w:gutter="0" w:footer="0" w:header="0"/>
          <w:type w:val="continuous"/>
        </w:sectPr>
      </w:pPr>
    </w:p>
    <w:p>
      <w:pPr>
        <w:spacing w:after="0" w:line="9"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Non- interest expense for the year ended December 31, 2024 increased $5.2 million or 12.5%, compared to the same period in 2023. The increase is primarily due to $4.4 million or 17.9% increase in salaries and employee benefits consisting of a $1.2 million or 6.5% increase due to merit promotions and new hires, a $1.8 million increase in bonus and sales incentives, and a $1.1 million increase in stock-based compensation due to the Company’s financial performance in 2024. Other operating expense had an increase of $883 thousand or 13.0% consisting of a $157 thousand increase in internet</w:t>
      </w:r>
    </w:p>
    <w:p>
      <w:pPr>
        <w:spacing w:after="0" w:line="25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1"/>
        <w:spacing w:after="0" w:line="282" w:lineRule="auto"/>
        <w:rPr>
          <w:sz w:val="20"/>
          <w:szCs w:val="20"/>
          <w:color w:val="auto"/>
        </w:rPr>
      </w:pPr>
      <w:r>
        <w:rPr>
          <w:rFonts w:ascii="Arial" w:cs="Arial" w:eastAsia="Arial" w:hAnsi="Arial"/>
          <w:sz w:val="20"/>
          <w:szCs w:val="20"/>
          <w:color w:val="auto"/>
        </w:rPr>
        <w:t>banking fees, a $ 123 thousand increase in insurance expense, a $229 thousand increase in director’s fees, and a $374 thousand in other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 owned life insurance policies for key employees, purchasing municipal bonds, and overall taxable income will be important elements in determining our effective tax rate.</w:t>
      </w:r>
    </w:p>
    <w:p>
      <w:pPr>
        <w:spacing w:after="0" w:line="179" w:lineRule="exact"/>
        <w:rPr>
          <w:sz w:val="20"/>
          <w:szCs w:val="20"/>
          <w:color w:val="auto"/>
        </w:rPr>
      </w:pPr>
    </w:p>
    <w:p>
      <w:pPr>
        <w:jc w:val="both"/>
        <w:ind w:firstLine="416"/>
        <w:spacing w:after="0" w:line="260" w:lineRule="auto"/>
        <w:rPr>
          <w:sz w:val="20"/>
          <w:szCs w:val="20"/>
          <w:color w:val="auto"/>
        </w:rPr>
      </w:pPr>
      <w:r>
        <w:rPr>
          <w:rFonts w:ascii="Arial" w:cs="Arial" w:eastAsia="Arial" w:hAnsi="Arial"/>
          <w:sz w:val="20"/>
          <w:szCs w:val="20"/>
          <w:color w:val="auto"/>
        </w:rPr>
        <w:t>Income tax expense for the year ended December 31, 2024 was $7.8 million, compared to $5.3 million for the year ended December 31, 2023. The effective tax rate for the year ended December 31, 2024 was 24.0% and for the year ended December 31, 2023 was 24.1%.</w:t>
      </w:r>
    </w:p>
    <w:p>
      <w:pPr>
        <w:spacing w:after="0" w:line="17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a further discussion on income taxes, see Note 6 “Income Taxes” to the Consolidated Financial Statements set forth in Item 8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Rate/Volume Analysis</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table below sets forth information regarding changes in interest income and interest expense for the periods indicated (in thousands) .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 volume are proportionately allocated between rate and volume variance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rPr>
              <w:t>Years Ended 2024 vs.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10"/>
          </w:tcPr>
          <w:p>
            <w:pPr>
              <w:ind w:left="440"/>
              <w:spacing w:after="0"/>
              <w:rPr>
                <w:sz w:val="20"/>
                <w:szCs w:val="20"/>
                <w:color w:val="auto"/>
              </w:rPr>
            </w:pPr>
            <w:r>
              <w:rPr>
                <w:rFonts w:ascii="Arial" w:cs="Arial" w:eastAsia="Arial" w:hAnsi="Arial"/>
                <w:sz w:val="18"/>
                <w:szCs w:val="18"/>
                <w:b w:val="1"/>
                <w:bCs w:val="1"/>
                <w:color w:val="auto"/>
              </w:rPr>
              <w:t>Years Ended 2023 vs. 2022</w:t>
            </w:r>
          </w:p>
        </w:tc>
      </w:tr>
      <w:tr>
        <w:trPr>
          <w:trHeight w:val="206"/>
        </w:trPr>
        <w:tc>
          <w:tcPr>
            <w:tcW w:w="39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320" w:type="dxa"/>
            <w:vAlign w:val="bottom"/>
            <w:tcBorders>
              <w:top w:val="single" w:sz="8" w:color="auto"/>
              <w:bottom w:val="single" w:sz="8" w:color="auto"/>
            </w:tcBorders>
            <w:gridSpan w:val="7"/>
          </w:tcPr>
          <w:p>
            <w:pPr>
              <w:jc w:val="right"/>
              <w:ind w:right="50"/>
              <w:spacing w:after="0" w:line="206" w:lineRule="exact"/>
              <w:rPr>
                <w:sz w:val="20"/>
                <w:szCs w:val="20"/>
                <w:color w:val="auto"/>
              </w:rPr>
            </w:pPr>
            <w:r>
              <w:rPr>
                <w:rFonts w:ascii="Arial" w:cs="Arial" w:eastAsia="Arial" w:hAnsi="Arial"/>
                <w:sz w:val="18"/>
                <w:szCs w:val="18"/>
                <w:b w:val="1"/>
                <w:bCs w:val="1"/>
                <w:color w:val="auto"/>
                <w:w w:val="99"/>
              </w:rPr>
              <w:t>Increase (decrease) due to change in</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300" w:type="dxa"/>
            <w:vAlign w:val="bottom"/>
            <w:tcBorders>
              <w:top w:val="single" w:sz="8" w:color="auto"/>
              <w:bottom w:val="single" w:sz="8" w:color="auto"/>
            </w:tcBorders>
            <w:gridSpan w:val="9"/>
          </w:tcPr>
          <w:p>
            <w:pPr>
              <w:jc w:val="right"/>
              <w:ind w:right="30"/>
              <w:spacing w:after="0" w:line="206" w:lineRule="exact"/>
              <w:rPr>
                <w:sz w:val="20"/>
                <w:szCs w:val="20"/>
                <w:color w:val="auto"/>
              </w:rPr>
            </w:pPr>
            <w:r>
              <w:rPr>
                <w:rFonts w:ascii="Arial" w:cs="Arial" w:eastAsia="Arial" w:hAnsi="Arial"/>
                <w:sz w:val="18"/>
                <w:szCs w:val="18"/>
                <w:b w:val="1"/>
                <w:bCs w:val="1"/>
                <w:color w:val="auto"/>
                <w:w w:val="99"/>
              </w:rPr>
              <w:t>Increase (decrease) due to change in</w:t>
            </w:r>
          </w:p>
        </w:tc>
        <w:tc>
          <w:tcPr>
            <w:tcW w:w="2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Volume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0"/>
              <w:spacing w:after="0" w:line="203" w:lineRule="exact"/>
              <w:rPr>
                <w:sz w:val="20"/>
                <w:szCs w:val="20"/>
                <w:color w:val="auto"/>
              </w:rPr>
            </w:pPr>
            <w:r>
              <w:rPr>
                <w:rFonts w:ascii="Arial" w:cs="Arial" w:eastAsia="Arial" w:hAnsi="Arial"/>
                <w:sz w:val="18"/>
                <w:szCs w:val="18"/>
                <w:b w:val="1"/>
                <w:bCs w:val="1"/>
                <w:color w:val="auto"/>
              </w:rPr>
              <w:t>Rate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10"/>
              <w:spacing w:after="0" w:line="203" w:lineRule="exact"/>
              <w:rPr>
                <w:sz w:val="20"/>
                <w:szCs w:val="20"/>
                <w:color w:val="auto"/>
              </w:rPr>
            </w:pPr>
            <w:r>
              <w:rPr>
                <w:rFonts w:ascii="Arial" w:cs="Arial" w:eastAsia="Arial" w:hAnsi="Arial"/>
                <w:sz w:val="18"/>
                <w:szCs w:val="18"/>
                <w:b w:val="1"/>
                <w:bCs w:val="1"/>
                <w:color w:val="auto"/>
              </w:rPr>
              <w:t>Net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180"/>
              <w:spacing w:after="0" w:line="203" w:lineRule="exact"/>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20"/>
              <w:spacing w:after="0" w:line="203" w:lineRule="exact"/>
              <w:rPr>
                <w:sz w:val="20"/>
                <w:szCs w:val="20"/>
                <w:color w:val="auto"/>
              </w:rPr>
            </w:pPr>
            <w:r>
              <w:rPr>
                <w:rFonts w:ascii="Arial" w:cs="Arial" w:eastAsia="Arial" w:hAnsi="Arial"/>
                <w:sz w:val="18"/>
                <w:szCs w:val="18"/>
                <w:b w:val="1"/>
                <w:bCs w:val="1"/>
                <w:color w:val="auto"/>
              </w:rPr>
              <w:t>Rate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7"/>
                <w:szCs w:val="17"/>
                <w:color w:val="auto"/>
              </w:rPr>
            </w:pPr>
          </w:p>
        </w:tc>
      </w:tr>
      <w:tr>
        <w:trPr>
          <w:trHeight w:val="206"/>
        </w:trPr>
        <w:tc>
          <w:tcPr>
            <w:tcW w:w="3920" w:type="dxa"/>
            <w:vAlign w:val="bottom"/>
            <w:tcBorders>
              <w:top w:val="single" w:sz="8" w:color="D2EEF5"/>
            </w:tcBorders>
            <w:shd w:val="clear" w:color="auto" w:fill="D2EEF5"/>
          </w:tcPr>
          <w:p>
            <w:pPr>
              <w:spacing w:after="0" w:line="206" w:lineRule="exact"/>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D2EEF5"/>
          </w:tcPr>
          <w:p>
            <w:pPr>
              <w:spacing w:after="0"/>
              <w:rPr>
                <w:sz w:val="17"/>
                <w:szCs w:val="17"/>
                <w:color w:val="auto"/>
              </w:rPr>
            </w:pPr>
          </w:p>
        </w:tc>
        <w:tc>
          <w:tcPr>
            <w:tcW w:w="112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D2EEF5"/>
            </w:tcBorders>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spacing w:after="0"/>
              <w:rPr>
                <w:sz w:val="17"/>
                <w:szCs w:val="17"/>
                <w:color w:val="auto"/>
              </w:rPr>
            </w:pPr>
          </w:p>
        </w:tc>
        <w:tc>
          <w:tcPr>
            <w:tcW w:w="840" w:type="dxa"/>
            <w:vAlign w:val="bottom"/>
            <w:tcBorders>
              <w:top w:val="single" w:sz="8" w:color="auto"/>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280" w:type="dxa"/>
            <w:vAlign w:val="bottom"/>
            <w:tcBorders>
              <w:top w:val="single" w:sz="8" w:color="auto"/>
            </w:tcBorders>
            <w:shd w:val="clear" w:color="auto" w:fill="D2EEF5"/>
          </w:tcPr>
          <w:p>
            <w:pPr>
              <w:spacing w:after="0"/>
              <w:rPr>
                <w:sz w:val="17"/>
                <w:szCs w:val="17"/>
                <w:color w:val="auto"/>
              </w:rPr>
            </w:pPr>
          </w:p>
        </w:tc>
        <w:tc>
          <w:tcPr>
            <w:tcW w:w="780" w:type="dxa"/>
            <w:vAlign w:val="bottom"/>
            <w:tcBorders>
              <w:top w:val="single" w:sz="8" w:color="auto"/>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112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spacing w:after="0"/>
              <w:rPr>
                <w:sz w:val="17"/>
                <w:szCs w:val="17"/>
                <w:color w:val="auto"/>
              </w:rPr>
            </w:pPr>
          </w:p>
        </w:tc>
        <w:tc>
          <w:tcPr>
            <w:tcW w:w="84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260" w:type="dxa"/>
            <w:vAlign w:val="bottom"/>
            <w:tcBorders>
              <w:top w:val="single" w:sz="8" w:color="auto"/>
            </w:tcBorders>
            <w:shd w:val="clear" w:color="auto" w:fill="D2EEF5"/>
          </w:tcPr>
          <w:p>
            <w:pPr>
              <w:spacing w:after="0"/>
              <w:rPr>
                <w:sz w:val="17"/>
                <w:szCs w:val="17"/>
                <w:color w:val="auto"/>
              </w:rPr>
            </w:pPr>
          </w:p>
        </w:tc>
        <w:tc>
          <w:tcPr>
            <w:tcW w:w="780" w:type="dxa"/>
            <w:vAlign w:val="bottom"/>
            <w:tcBorders>
              <w:top w:val="single" w:sz="8" w:color="auto"/>
            </w:tcBorders>
            <w:shd w:val="clear" w:color="auto" w:fill="D2EEF5"/>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92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4"/>
                <w:szCs w:val="24"/>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13,949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13,403</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27,352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12,026</w:t>
            </w:r>
          </w:p>
        </w:tc>
        <w:tc>
          <w:tcPr>
            <w:tcW w:w="2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15,033</w:t>
            </w:r>
          </w:p>
        </w:tc>
        <w:tc>
          <w:tcPr>
            <w:tcW w:w="2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27,059</w:t>
            </w:r>
          </w:p>
        </w:tc>
        <w:tc>
          <w:tcPr>
            <w:tcW w:w="20" w:type="dxa"/>
            <w:vAlign w:val="bottom"/>
          </w:tcPr>
          <w:p>
            <w:pPr>
              <w:spacing w:after="0"/>
              <w:rPr>
                <w:sz w:val="19"/>
                <w:szCs w:val="19"/>
                <w:color w:val="auto"/>
              </w:rPr>
            </w:pPr>
          </w:p>
        </w:tc>
      </w:tr>
      <w:tr>
        <w:trPr>
          <w:trHeight w:val="226"/>
        </w:trPr>
        <w:tc>
          <w:tcPr>
            <w:tcW w:w="3920" w:type="dxa"/>
            <w:vAlign w:val="bottom"/>
            <w:shd w:val="clear" w:color="auto" w:fill="D2EEF5"/>
          </w:tcPr>
          <w:p>
            <w:pPr>
              <w:ind w:left="140"/>
              <w:spacing w:after="0" w:line="216" w:lineRule="exact"/>
              <w:rPr>
                <w:sz w:val="20"/>
                <w:szCs w:val="20"/>
                <w:color w:val="auto"/>
              </w:rPr>
            </w:pPr>
            <w:r>
              <w:rPr>
                <w:rFonts w:ascii="Arial" w:cs="Arial" w:eastAsia="Arial" w:hAnsi="Arial"/>
                <w:sz w:val="18"/>
                <w:szCs w:val="18"/>
                <w:color w:val="auto"/>
              </w:rPr>
              <w:t xml:space="preserve">Investment securities </w:t>
            </w:r>
            <w:r>
              <w:rPr>
                <w:rFonts w:ascii="Arial" w:cs="Arial" w:eastAsia="Arial" w:hAnsi="Arial"/>
                <w:sz w:val="24"/>
                <w:szCs w:val="24"/>
                <w:color w:val="auto"/>
                <w:vertAlign w:val="superscript"/>
              </w:rPr>
              <w:t>(2)</w:t>
            </w:r>
          </w:p>
        </w:tc>
        <w:tc>
          <w:tcPr>
            <w:tcW w:w="10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1,378</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1,468</w:t>
            </w:r>
          </w:p>
        </w:tc>
        <w:tc>
          <w:tcPr>
            <w:tcW w:w="4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(929)</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1,595</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666</w:t>
            </w:r>
          </w:p>
        </w:tc>
        <w:tc>
          <w:tcPr>
            <w:tcW w:w="20" w:type="dxa"/>
            <w:vAlign w:val="bottom"/>
          </w:tcPr>
          <w:p>
            <w:pPr>
              <w:spacing w:after="0"/>
              <w:rPr>
                <w:sz w:val="19"/>
                <w:szCs w:val="19"/>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Other interest-earning assets</w:t>
            </w:r>
          </w:p>
        </w:tc>
        <w:tc>
          <w:tcPr>
            <w:tcW w:w="100" w:type="dxa"/>
            <w:vAlign w:val="bottom"/>
          </w:tcPr>
          <w:p>
            <w:pPr>
              <w:spacing w:after="0"/>
              <w:rPr>
                <w:sz w:val="19"/>
                <w:szCs w:val="19"/>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9"/>
                <w:szCs w:val="19"/>
                <w:color w:val="auto"/>
              </w:rPr>
            </w:pPr>
          </w:p>
        </w:tc>
      </w:tr>
      <w:tr>
        <w:trPr>
          <w:trHeight w:val="206"/>
        </w:trPr>
        <w:tc>
          <w:tcPr>
            <w:tcW w:w="3920" w:type="dxa"/>
            <w:vAlign w:val="bottom"/>
            <w:tcBorders>
              <w:top w:val="single" w:sz="8" w:color="D2EEF5"/>
            </w:tcBorders>
            <w:shd w:val="clear" w:color="auto" w:fill="D2EEF5"/>
          </w:tcPr>
          <w:p>
            <w:pPr>
              <w:spacing w:after="0" w:line="206" w:lineRule="exact"/>
              <w:rPr>
                <w:sz w:val="20"/>
                <w:szCs w:val="20"/>
                <w:color w:val="auto"/>
              </w:rPr>
            </w:pPr>
            <w:r>
              <w:rPr>
                <w:rFonts w:ascii="Arial" w:cs="Arial" w:eastAsia="Arial" w:hAnsi="Arial"/>
                <w:sz w:val="18"/>
                <w:szCs w:val="18"/>
                <w:b w:val="1"/>
                <w:bCs w:val="1"/>
                <w:color w:val="auto"/>
              </w:rPr>
              <w:t>Total increase in interest income</w:t>
            </w:r>
          </w:p>
        </w:tc>
        <w:tc>
          <w:tcPr>
            <w:tcW w:w="10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15,116</w:t>
            </w:r>
          </w:p>
        </w:tc>
        <w:tc>
          <w:tcPr>
            <w:tcW w:w="60" w:type="dxa"/>
            <w:vAlign w:val="bottom"/>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jc w:val="right"/>
              <w:ind w:right="10"/>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15,100</w:t>
            </w:r>
          </w:p>
        </w:tc>
        <w:tc>
          <w:tcPr>
            <w:tcW w:w="40" w:type="dxa"/>
            <w:vAlign w:val="bottom"/>
            <w:shd w:val="clear" w:color="auto" w:fill="D2EEF5"/>
          </w:tcPr>
          <w:p>
            <w:pPr>
              <w:spacing w:after="0"/>
              <w:rPr>
                <w:sz w:val="17"/>
                <w:szCs w:val="17"/>
                <w:color w:val="auto"/>
              </w:rPr>
            </w:pPr>
          </w:p>
        </w:tc>
        <w:tc>
          <w:tcPr>
            <w:tcW w:w="280" w:type="dxa"/>
            <w:vAlign w:val="bottom"/>
            <w:tcBorders>
              <w:top w:val="single" w:sz="8" w:color="auto"/>
            </w:tcBorders>
            <w:shd w:val="clear" w:color="auto" w:fill="D2EEF5"/>
          </w:tcPr>
          <w:p>
            <w:pPr>
              <w:jc w:val="right"/>
              <w:ind w:right="9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30,216</w:t>
            </w:r>
          </w:p>
        </w:tc>
        <w:tc>
          <w:tcPr>
            <w:tcW w:w="40" w:type="dxa"/>
            <w:vAlign w:val="bottom"/>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11,033</w:t>
            </w:r>
          </w:p>
        </w:tc>
        <w:tc>
          <w:tcPr>
            <w:tcW w:w="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jc w:val="right"/>
              <w:ind w:right="10"/>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18,884</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60" w:type="dxa"/>
            <w:vAlign w:val="bottom"/>
            <w:tcBorders>
              <w:top w:val="single" w:sz="8" w:color="auto"/>
            </w:tcBorders>
            <w:shd w:val="clear" w:color="auto" w:fill="D2EEF5"/>
          </w:tcPr>
          <w:p>
            <w:pPr>
              <w:jc w:val="right"/>
              <w:ind w:right="7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29,917</w:t>
            </w:r>
          </w:p>
        </w:tc>
        <w:tc>
          <w:tcPr>
            <w:tcW w:w="20" w:type="dxa"/>
            <w:vAlign w:val="bottom"/>
          </w:tcPr>
          <w:p>
            <w:pPr>
              <w:spacing w:after="0"/>
              <w:rPr>
                <w:sz w:val="17"/>
                <w:szCs w:val="17"/>
                <w:color w:val="auto"/>
              </w:rPr>
            </w:pPr>
          </w:p>
        </w:tc>
      </w:tr>
      <w:tr>
        <w:trPr>
          <w:trHeight w:val="226"/>
        </w:trPr>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92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Interest-bearing demand deposits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9"/>
                <w:szCs w:val="19"/>
                <w:color w:val="auto"/>
              </w:rPr>
            </w:pPr>
          </w:p>
        </w:tc>
      </w:tr>
      <w:tr>
        <w:trPr>
          <w:trHeight w:val="226"/>
        </w:trPr>
        <w:tc>
          <w:tcPr>
            <w:tcW w:w="3920" w:type="dxa"/>
            <w:vAlign w:val="bottom"/>
            <w:shd w:val="clear" w:color="auto" w:fill="D2EEF5"/>
          </w:tcPr>
          <w:p>
            <w:pPr>
              <w:ind w:left="140"/>
              <w:spacing w:after="0"/>
              <w:rPr>
                <w:sz w:val="20"/>
                <w:szCs w:val="20"/>
                <w:color w:val="auto"/>
              </w:rPr>
            </w:pPr>
            <w:r>
              <w:rPr>
                <w:rFonts w:ascii="Arial" w:cs="Arial" w:eastAsia="Arial" w:hAnsi="Arial"/>
                <w:sz w:val="18"/>
                <w:szCs w:val="18"/>
                <w:color w:val="auto"/>
              </w:rPr>
              <w:t>Savings and money market deposits</w:t>
            </w:r>
          </w:p>
        </w:tc>
        <w:tc>
          <w:tcPr>
            <w:tcW w:w="100" w:type="dxa"/>
            <w:vAlign w:val="bottom"/>
            <w:shd w:val="clear" w:color="auto" w:fill="D2EEF5"/>
          </w:tcPr>
          <w:p>
            <w:pPr>
              <w:spacing w:after="0"/>
              <w:rPr>
                <w:sz w:val="19"/>
                <w:szCs w:val="19"/>
                <w:color w:val="auto"/>
              </w:rPr>
            </w:pPr>
          </w:p>
        </w:tc>
        <w:tc>
          <w:tcPr>
            <w:tcW w:w="1120" w:type="dxa"/>
            <w:vAlign w:val="bottom"/>
            <w:shd w:val="clear" w:color="auto" w:fill="D2EEF5"/>
          </w:tcPr>
          <w:p>
            <w:pPr>
              <w:ind w:left="620"/>
              <w:spacing w:after="0"/>
              <w:rPr>
                <w:sz w:val="20"/>
                <w:szCs w:val="20"/>
                <w:color w:val="auto"/>
              </w:rPr>
            </w:pPr>
            <w:r>
              <w:rPr>
                <w:rFonts w:ascii="Arial" w:cs="Arial" w:eastAsia="Arial" w:hAnsi="Arial"/>
                <w:sz w:val="18"/>
                <w:szCs w:val="18"/>
                <w:color w:val="auto"/>
              </w:rPr>
              <w:t>4,498</w:t>
            </w: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5,942</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10,440</w:t>
            </w:r>
          </w:p>
        </w:tc>
        <w:tc>
          <w:tcPr>
            <w:tcW w:w="4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23,453</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24,485</w:t>
            </w:r>
          </w:p>
        </w:tc>
        <w:tc>
          <w:tcPr>
            <w:tcW w:w="20" w:type="dxa"/>
            <w:vAlign w:val="bottom"/>
          </w:tcPr>
          <w:p>
            <w:pPr>
              <w:spacing w:after="0"/>
              <w:rPr>
                <w:sz w:val="19"/>
                <w:szCs w:val="19"/>
                <w:color w:val="auto"/>
              </w:rPr>
            </w:pPr>
          </w:p>
        </w:tc>
      </w:tr>
      <w:tr>
        <w:trPr>
          <w:trHeight w:val="226"/>
        </w:trPr>
        <w:tc>
          <w:tcPr>
            <w:tcW w:w="392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6,991</w:t>
            </w:r>
          </w:p>
        </w:tc>
        <w:tc>
          <w:tcPr>
            <w:tcW w:w="20" w:type="dxa"/>
            <w:vAlign w:val="bottom"/>
          </w:tcPr>
          <w:p>
            <w:pPr>
              <w:spacing w:after="0"/>
              <w:rPr>
                <w:sz w:val="19"/>
                <w:szCs w:val="19"/>
                <w:color w:val="auto"/>
              </w:rPr>
            </w:pPr>
          </w:p>
        </w:tc>
      </w:tr>
      <w:tr>
        <w:trPr>
          <w:trHeight w:val="226"/>
        </w:trPr>
        <w:tc>
          <w:tcPr>
            <w:tcW w:w="3920" w:type="dxa"/>
            <w:vAlign w:val="bottom"/>
            <w:shd w:val="clear" w:color="auto" w:fill="D2EEF5"/>
          </w:tcPr>
          <w:p>
            <w:pPr>
              <w:ind w:left="140"/>
              <w:spacing w:after="0"/>
              <w:rPr>
                <w:sz w:val="20"/>
                <w:szCs w:val="20"/>
                <w:color w:val="auto"/>
              </w:rPr>
            </w:pPr>
            <w:r>
              <w:rPr>
                <w:rFonts w:ascii="Arial" w:cs="Arial" w:eastAsia="Arial" w:hAnsi="Arial"/>
                <w:sz w:val="18"/>
                <w:szCs w:val="18"/>
                <w:color w:val="auto"/>
              </w:rPr>
              <w:t>Borrowings and repurchase agreements</w:t>
            </w:r>
          </w:p>
        </w:tc>
        <w:tc>
          <w:tcPr>
            <w:tcW w:w="100" w:type="dxa"/>
            <w:vAlign w:val="bottom"/>
            <w:tcBorders>
              <w:bottom w:val="single" w:sz="8" w:color="auto"/>
            </w:tcBorders>
            <w:shd w:val="clear" w:color="auto" w:fill="D2EEF5"/>
          </w:tcPr>
          <w:p>
            <w:pPr>
              <w:spacing w:after="0"/>
              <w:rPr>
                <w:sz w:val="19"/>
                <w:szCs w:val="19"/>
                <w:color w:val="auto"/>
              </w:rPr>
            </w:pPr>
          </w:p>
        </w:tc>
        <w:tc>
          <w:tcPr>
            <w:tcW w:w="1120" w:type="dxa"/>
            <w:vAlign w:val="bottom"/>
            <w:tcBorders>
              <w:bottom w:val="single" w:sz="8" w:color="auto"/>
            </w:tcBorders>
            <w:shd w:val="clear" w:color="auto" w:fill="D2EEF5"/>
          </w:tcPr>
          <w:p>
            <w:pPr>
              <w:ind w:left="620"/>
              <w:spacing w:after="0"/>
              <w:rPr>
                <w:sz w:val="20"/>
                <w:szCs w:val="20"/>
                <w:color w:val="auto"/>
              </w:rPr>
            </w:pPr>
            <w:r>
              <w:rPr>
                <w:rFonts w:ascii="Arial" w:cs="Arial" w:eastAsia="Arial" w:hAnsi="Arial"/>
                <w:sz w:val="18"/>
                <w:szCs w:val="18"/>
                <w:color w:val="auto"/>
              </w:rPr>
              <w:t>2,269</w:t>
            </w:r>
          </w:p>
        </w:tc>
        <w:tc>
          <w:tcPr>
            <w:tcW w:w="60" w:type="dxa"/>
            <w:vAlign w:val="bottom"/>
            <w:shd w:val="clear" w:color="auto" w:fill="D2EEF5"/>
          </w:tcPr>
          <w:p>
            <w:pPr>
              <w:spacing w:after="0"/>
              <w:rPr>
                <w:sz w:val="19"/>
                <w:szCs w:val="19"/>
                <w:color w:val="auto"/>
              </w:rPr>
            </w:pPr>
          </w:p>
        </w:tc>
        <w:tc>
          <w:tcPr>
            <w:tcW w:w="200" w:type="dxa"/>
            <w:vAlign w:val="bottom"/>
            <w:tcBorders>
              <w:bottom w:val="single" w:sz="8" w:color="auto"/>
            </w:tcBorders>
            <w:shd w:val="clear" w:color="auto" w:fill="D2EEF5"/>
          </w:tcPr>
          <w:p>
            <w:pPr>
              <w:spacing w:after="0"/>
              <w:rPr>
                <w:sz w:val="19"/>
                <w:szCs w:val="19"/>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677</w:t>
            </w:r>
          </w:p>
        </w:tc>
        <w:tc>
          <w:tcPr>
            <w:tcW w:w="40" w:type="dxa"/>
            <w:vAlign w:val="bottom"/>
            <w:shd w:val="clear" w:color="auto" w:fill="D2EEF5"/>
          </w:tcPr>
          <w:p>
            <w:pPr>
              <w:spacing w:after="0"/>
              <w:rPr>
                <w:sz w:val="19"/>
                <w:szCs w:val="19"/>
                <w:color w:val="auto"/>
              </w:rPr>
            </w:pPr>
          </w:p>
        </w:tc>
        <w:tc>
          <w:tcPr>
            <w:tcW w:w="280" w:type="dxa"/>
            <w:vAlign w:val="bottom"/>
            <w:tcBorders>
              <w:bottom w:val="single" w:sz="8" w:color="auto"/>
            </w:tcBorders>
            <w:shd w:val="clear" w:color="auto" w:fill="D2EEF5"/>
          </w:tcPr>
          <w:p>
            <w:pPr>
              <w:spacing w:after="0"/>
              <w:rPr>
                <w:sz w:val="19"/>
                <w:szCs w:val="19"/>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2,946</w:t>
            </w:r>
          </w:p>
        </w:tc>
        <w:tc>
          <w:tcPr>
            <w:tcW w:w="40" w:type="dxa"/>
            <w:vAlign w:val="bottom"/>
            <w:shd w:val="clear" w:color="auto" w:fill="D2EEF5"/>
          </w:tcPr>
          <w:p>
            <w:pPr>
              <w:spacing w:after="0"/>
              <w:rPr>
                <w:sz w:val="19"/>
                <w:szCs w:val="19"/>
                <w:color w:val="auto"/>
              </w:rPr>
            </w:pPr>
          </w:p>
        </w:tc>
        <w:tc>
          <w:tcPr>
            <w:tcW w:w="120" w:type="dxa"/>
            <w:vAlign w:val="bottom"/>
            <w:tcBorders>
              <w:bottom w:val="single" w:sz="8" w:color="auto"/>
            </w:tcBorders>
            <w:shd w:val="clear" w:color="auto" w:fill="D2EEF5"/>
          </w:tcPr>
          <w:p>
            <w:pPr>
              <w:spacing w:after="0"/>
              <w:rPr>
                <w:sz w:val="19"/>
                <w:szCs w:val="19"/>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985</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0" w:type="dxa"/>
            <w:vAlign w:val="bottom"/>
            <w:tcBorders>
              <w:bottom w:val="single" w:sz="8" w:color="auto"/>
            </w:tcBorders>
            <w:shd w:val="clear" w:color="auto" w:fill="D2EEF5"/>
          </w:tcPr>
          <w:p>
            <w:pPr>
              <w:spacing w:after="0"/>
              <w:rPr>
                <w:sz w:val="19"/>
                <w:szCs w:val="19"/>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1,734</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60" w:type="dxa"/>
            <w:vAlign w:val="bottom"/>
            <w:tcBorders>
              <w:bottom w:val="single" w:sz="8" w:color="auto"/>
            </w:tcBorders>
            <w:shd w:val="clear" w:color="auto" w:fill="D2EEF5"/>
          </w:tcPr>
          <w:p>
            <w:pPr>
              <w:spacing w:after="0"/>
              <w:rPr>
                <w:sz w:val="19"/>
                <w:szCs w:val="19"/>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19"/>
                <w:szCs w:val="19"/>
                <w:color w:val="auto"/>
              </w:rPr>
            </w:pPr>
          </w:p>
        </w:tc>
      </w:tr>
      <w:tr>
        <w:trPr>
          <w:trHeight w:val="203"/>
        </w:trPr>
        <w:tc>
          <w:tcPr>
            <w:tcW w:w="3920" w:type="dxa"/>
            <w:vAlign w:val="bottom"/>
            <w:tcBorders>
              <w:bottom w:val="single" w:sz="8" w:color="D2EEF5"/>
            </w:tcBorders>
          </w:tcPr>
          <w:p>
            <w:pPr>
              <w:spacing w:after="0" w:line="203" w:lineRule="exact"/>
              <w:rPr>
                <w:sz w:val="20"/>
                <w:szCs w:val="20"/>
                <w:color w:val="auto"/>
              </w:rPr>
            </w:pPr>
            <w:r>
              <w:rPr>
                <w:rFonts w:ascii="Arial" w:cs="Arial" w:eastAsia="Arial" w:hAnsi="Arial"/>
                <w:sz w:val="18"/>
                <w:szCs w:val="18"/>
                <w:b w:val="1"/>
                <w:bCs w:val="1"/>
                <w:color w:val="auto"/>
              </w:rPr>
              <w:t>Total increase in interest expense</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620"/>
              <w:spacing w:after="0" w:line="203" w:lineRule="exact"/>
              <w:rPr>
                <w:sz w:val="20"/>
                <w:szCs w:val="20"/>
                <w:color w:val="auto"/>
              </w:rPr>
            </w:pPr>
            <w:r>
              <w:rPr>
                <w:rFonts w:ascii="Arial" w:cs="Arial" w:eastAsia="Arial" w:hAnsi="Arial"/>
                <w:sz w:val="18"/>
                <w:szCs w:val="18"/>
                <w:color w:val="auto"/>
              </w:rPr>
              <w:t>8,614</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10,235</w:t>
            </w: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18,848</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35,010</w:t>
            </w:r>
          </w:p>
        </w:tc>
        <w:tc>
          <w:tcPr>
            <w:tcW w:w="20" w:type="dxa"/>
            <w:vAlign w:val="bottom"/>
          </w:tcPr>
          <w:p>
            <w:pPr>
              <w:spacing w:after="0"/>
              <w:rPr>
                <w:sz w:val="17"/>
                <w:szCs w:val="17"/>
                <w:color w:val="auto"/>
              </w:rPr>
            </w:pPr>
          </w:p>
        </w:tc>
      </w:tr>
      <w:tr>
        <w:trPr>
          <w:trHeight w:val="206"/>
        </w:trPr>
        <w:tc>
          <w:tcPr>
            <w:tcW w:w="3920" w:type="dxa"/>
            <w:vAlign w:val="bottom"/>
            <w:shd w:val="clear" w:color="auto" w:fill="D2EEF5"/>
          </w:tcPr>
          <w:p>
            <w:pPr>
              <w:spacing w:after="0" w:line="206" w:lineRule="exact"/>
              <w:rPr>
                <w:sz w:val="20"/>
                <w:szCs w:val="20"/>
                <w:color w:val="auto"/>
              </w:rPr>
            </w:pPr>
            <w:r>
              <w:rPr>
                <w:rFonts w:ascii="Arial" w:cs="Arial" w:eastAsia="Arial" w:hAnsi="Arial"/>
                <w:sz w:val="18"/>
                <w:szCs w:val="18"/>
                <w:b w:val="1"/>
                <w:bCs w:val="1"/>
                <w:color w:val="auto"/>
              </w:rPr>
              <w:t>Increase (decrease) in net interest income</w:t>
            </w:r>
          </w:p>
        </w:tc>
        <w:tc>
          <w:tcPr>
            <w:tcW w:w="10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EF5"/>
          </w:tcPr>
          <w:p>
            <w:pPr>
              <w:ind w:left="620"/>
              <w:spacing w:after="0" w:line="206" w:lineRule="exact"/>
              <w:rPr>
                <w:sz w:val="20"/>
                <w:szCs w:val="20"/>
                <w:color w:val="auto"/>
              </w:rPr>
            </w:pPr>
            <w:r>
              <w:rPr>
                <w:rFonts w:ascii="Arial" w:cs="Arial" w:eastAsia="Arial" w:hAnsi="Arial"/>
                <w:sz w:val="18"/>
                <w:szCs w:val="18"/>
                <w:color w:val="auto"/>
              </w:rPr>
              <w:t>6,502</w:t>
            </w:r>
          </w:p>
        </w:tc>
        <w:tc>
          <w:tcPr>
            <w:tcW w:w="60" w:type="dxa"/>
            <w:vAlign w:val="bottom"/>
            <w:shd w:val="clear" w:color="auto" w:fill="D2EEF5"/>
          </w:tcPr>
          <w:p>
            <w:pPr>
              <w:spacing w:after="0"/>
              <w:rPr>
                <w:sz w:val="17"/>
                <w:szCs w:val="17"/>
                <w:color w:val="auto"/>
              </w:rPr>
            </w:pPr>
          </w:p>
        </w:tc>
        <w:tc>
          <w:tcPr>
            <w:tcW w:w="200" w:type="dxa"/>
            <w:vAlign w:val="bottom"/>
            <w:tcBorders>
              <w:bottom w:val="single" w:sz="8" w:color="auto"/>
            </w:tcBorders>
            <w:shd w:val="clear" w:color="auto" w:fill="D2EEF5"/>
          </w:tcPr>
          <w:p>
            <w:pPr>
              <w:jc w:val="right"/>
              <w:ind w:right="10"/>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4,865</w:t>
            </w:r>
          </w:p>
        </w:tc>
        <w:tc>
          <w:tcPr>
            <w:tcW w:w="40" w:type="dxa"/>
            <w:vAlign w:val="bottom"/>
            <w:shd w:val="clear" w:color="auto" w:fill="D2EEF5"/>
          </w:tcPr>
          <w:p>
            <w:pPr>
              <w:spacing w:after="0"/>
              <w:rPr>
                <w:sz w:val="17"/>
                <w:szCs w:val="17"/>
                <w:color w:val="auto"/>
              </w:rPr>
            </w:pPr>
          </w:p>
        </w:tc>
        <w:tc>
          <w:tcPr>
            <w:tcW w:w="280" w:type="dxa"/>
            <w:vAlign w:val="bottom"/>
            <w:tcBorders>
              <w:bottom w:val="single" w:sz="8" w:color="auto"/>
            </w:tcBorders>
            <w:shd w:val="clear" w:color="auto" w:fill="D2EEF5"/>
          </w:tcPr>
          <w:p>
            <w:pPr>
              <w:jc w:val="right"/>
              <w:ind w:right="9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11,368</w:t>
            </w:r>
          </w:p>
        </w:tc>
        <w:tc>
          <w:tcPr>
            <w:tcW w:w="40" w:type="dxa"/>
            <w:vAlign w:val="bottom"/>
            <w:shd w:val="clear" w:color="auto" w:fill="D2EEF5"/>
          </w:tcPr>
          <w:p>
            <w:pPr>
              <w:spacing w:after="0"/>
              <w:rPr>
                <w:sz w:val="17"/>
                <w:szCs w:val="17"/>
                <w:color w:val="auto"/>
              </w:rPr>
            </w:pPr>
          </w:p>
        </w:tc>
        <w:tc>
          <w:tcPr>
            <w:tcW w:w="12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8,700</w:t>
            </w:r>
          </w:p>
        </w:tc>
        <w:tc>
          <w:tcPr>
            <w:tcW w:w="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tcBorders>
              <w:bottom w:val="single" w:sz="8" w:color="auto"/>
            </w:tcBorders>
            <w:shd w:val="clear" w:color="auto" w:fill="D2EEF5"/>
          </w:tcPr>
          <w:p>
            <w:pPr>
              <w:jc w:val="right"/>
              <w:ind w:right="10"/>
              <w:spacing w:after="0" w:line="206" w:lineRule="exact"/>
              <w:rPr>
                <w:sz w:val="20"/>
                <w:szCs w:val="20"/>
                <w:color w:val="auto"/>
              </w:rPr>
            </w:pPr>
            <w:r>
              <w:rPr>
                <w:rFonts w:ascii="Arial" w:cs="Arial" w:eastAsia="Arial" w:hAnsi="Arial"/>
                <w:sz w:val="18"/>
                <w:szCs w:val="18"/>
                <w:color w:val="auto"/>
                <w:w w:val="79"/>
                <w:shd w:val="clear" w:color="auto" w:fill="D2EEF5"/>
              </w:rPr>
              <w:t>$</w:t>
            </w:r>
          </w:p>
        </w:tc>
        <w:tc>
          <w:tcPr>
            <w:tcW w:w="84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shd w:val="clear" w:color="auto" w:fill="D2EEF5"/>
              </w:rPr>
              <w:t>(13,793)</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60" w:type="dxa"/>
            <w:vAlign w:val="bottom"/>
            <w:tcBorders>
              <w:bottom w:val="single" w:sz="8" w:color="auto"/>
            </w:tcBorders>
            <w:shd w:val="clear" w:color="auto" w:fill="D2EEF5"/>
          </w:tcPr>
          <w:p>
            <w:pPr>
              <w:jc w:val="right"/>
              <w:ind w:right="7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D2EEF5"/>
          </w:tcPr>
          <w:p>
            <w:pPr>
              <w:jc w:val="right"/>
              <w:spacing w:after="0" w:line="206" w:lineRule="exact"/>
              <w:rPr>
                <w:sz w:val="20"/>
                <w:szCs w:val="20"/>
                <w:color w:val="auto"/>
              </w:rPr>
            </w:pPr>
            <w:r>
              <w:rPr>
                <w:rFonts w:ascii="Arial" w:cs="Arial" w:eastAsia="Arial" w:hAnsi="Arial"/>
                <w:sz w:val="18"/>
                <w:szCs w:val="18"/>
                <w:color w:val="auto"/>
              </w:rPr>
              <w:t>(5,093)</w:t>
            </w:r>
          </w:p>
        </w:tc>
        <w:tc>
          <w:tcPr>
            <w:tcW w:w="2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3267075</wp:posOffset>
                </wp:positionH>
                <wp:positionV relativeFrom="paragraph">
                  <wp:posOffset>-1887855</wp:posOffset>
                </wp:positionV>
                <wp:extent cx="29210" cy="120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23" o:spid="_x0000_s1048" style="position:absolute;margin-left:257.25pt;margin-top:-148.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3962400</wp:posOffset>
                </wp:positionH>
                <wp:positionV relativeFrom="paragraph">
                  <wp:posOffset>-1887855</wp:posOffset>
                </wp:positionV>
                <wp:extent cx="28575" cy="1206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2EEF5"/>
                        </a:solidFill>
                      </wps:spPr>
                      <wps:bodyPr/>
                    </wps:wsp>
                  </a:graphicData>
                </a:graphic>
              </wp:anchor>
            </w:drawing>
          </mc:Choice>
          <mc:Fallback>
            <w:pict>
              <v:rect id="Shape 24" o:spid="_x0000_s1049" style="position:absolute;margin-left:312pt;margin-top:-148.6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4657090</wp:posOffset>
                </wp:positionH>
                <wp:positionV relativeFrom="paragraph">
                  <wp:posOffset>-1887855</wp:posOffset>
                </wp:positionV>
                <wp:extent cx="29210" cy="120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25" o:spid="_x0000_s1050" style="position:absolute;margin-left:366.7pt;margin-top:-148.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5467985</wp:posOffset>
                </wp:positionH>
                <wp:positionV relativeFrom="paragraph">
                  <wp:posOffset>-1887855</wp:posOffset>
                </wp:positionV>
                <wp:extent cx="27305" cy="1206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065"/>
                        </a:xfrm>
                        <a:prstGeom prst="rect">
                          <a:avLst/>
                        </a:prstGeom>
                        <a:solidFill>
                          <a:srgbClr val="D2EEF5"/>
                        </a:solidFill>
                      </wps:spPr>
                      <wps:bodyPr/>
                    </wps:wsp>
                  </a:graphicData>
                </a:graphic>
              </wp:anchor>
            </w:drawing>
          </mc:Choice>
          <mc:Fallback>
            <w:pict>
              <v:rect id="Shape 26" o:spid="_x0000_s1051" style="position:absolute;margin-left:430.55pt;margin-top:-148.6499pt;width:2.1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-1887855</wp:posOffset>
                </wp:positionV>
                <wp:extent cx="29210" cy="1206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27" o:spid="_x0000_s1052" style="position:absolute;margin-left:485.25pt;margin-top:-148.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3267075</wp:posOffset>
                </wp:positionH>
                <wp:positionV relativeFrom="paragraph">
                  <wp:posOffset>-1316355</wp:posOffset>
                </wp:positionV>
                <wp:extent cx="29210" cy="120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28" o:spid="_x0000_s1053" style="position:absolute;margin-left:257.25pt;margin-top:-10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3962400</wp:posOffset>
                </wp:positionH>
                <wp:positionV relativeFrom="paragraph">
                  <wp:posOffset>-1316355</wp:posOffset>
                </wp:positionV>
                <wp:extent cx="28575" cy="1206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2EEF5"/>
                        </a:solidFill>
                      </wps:spPr>
                      <wps:bodyPr/>
                    </wps:wsp>
                  </a:graphicData>
                </a:graphic>
              </wp:anchor>
            </w:drawing>
          </mc:Choice>
          <mc:Fallback>
            <w:pict>
              <v:rect id="Shape 29" o:spid="_x0000_s1054" style="position:absolute;margin-left:312pt;margin-top:-103.6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4657090</wp:posOffset>
                </wp:positionH>
                <wp:positionV relativeFrom="paragraph">
                  <wp:posOffset>-1316355</wp:posOffset>
                </wp:positionV>
                <wp:extent cx="29210" cy="120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30" o:spid="_x0000_s1055" style="position:absolute;margin-left:366.7pt;margin-top:-10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5467985</wp:posOffset>
                </wp:positionH>
                <wp:positionV relativeFrom="paragraph">
                  <wp:posOffset>-1316355</wp:posOffset>
                </wp:positionV>
                <wp:extent cx="27305" cy="1206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065"/>
                        </a:xfrm>
                        <a:prstGeom prst="rect">
                          <a:avLst/>
                        </a:prstGeom>
                        <a:solidFill>
                          <a:srgbClr val="D2EEF5"/>
                        </a:solidFill>
                      </wps:spPr>
                      <wps:bodyPr/>
                    </wps:wsp>
                  </a:graphicData>
                </a:graphic>
              </wp:anchor>
            </w:drawing>
          </mc:Choice>
          <mc:Fallback>
            <w:pict>
              <v:rect id="Shape 31" o:spid="_x0000_s1056" style="position:absolute;margin-left:430.55pt;margin-top:-103.6499pt;width:2.1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-1316355</wp:posOffset>
                </wp:positionV>
                <wp:extent cx="29210" cy="120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32" o:spid="_x0000_s1057" style="position:absolute;margin-left:485.25pt;margin-top:-10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3267075</wp:posOffset>
                </wp:positionH>
                <wp:positionV relativeFrom="paragraph">
                  <wp:posOffset>-173355</wp:posOffset>
                </wp:positionV>
                <wp:extent cx="29210" cy="1206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33" o:spid="_x0000_s1058" style="position:absolute;margin-left:257.25pt;margin-top:-1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3962400</wp:posOffset>
                </wp:positionH>
                <wp:positionV relativeFrom="paragraph">
                  <wp:posOffset>-173355</wp:posOffset>
                </wp:positionV>
                <wp:extent cx="28575" cy="1206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2EEF5"/>
                        </a:solidFill>
                      </wps:spPr>
                      <wps:bodyPr/>
                    </wps:wsp>
                  </a:graphicData>
                </a:graphic>
              </wp:anchor>
            </w:drawing>
          </mc:Choice>
          <mc:Fallback>
            <w:pict>
              <v:rect id="Shape 34" o:spid="_x0000_s1059" style="position:absolute;margin-left:312pt;margin-top:-13.6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4657090</wp:posOffset>
                </wp:positionH>
                <wp:positionV relativeFrom="paragraph">
                  <wp:posOffset>-173355</wp:posOffset>
                </wp:positionV>
                <wp:extent cx="29210" cy="120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35" o:spid="_x0000_s1060" style="position:absolute;margin-left:366.7pt;margin-top:-1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5467985</wp:posOffset>
                </wp:positionH>
                <wp:positionV relativeFrom="paragraph">
                  <wp:posOffset>-173355</wp:posOffset>
                </wp:positionV>
                <wp:extent cx="27305" cy="120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065"/>
                        </a:xfrm>
                        <a:prstGeom prst="rect">
                          <a:avLst/>
                        </a:prstGeom>
                        <a:solidFill>
                          <a:srgbClr val="D2EEF5"/>
                        </a:solidFill>
                      </wps:spPr>
                      <wps:bodyPr/>
                    </wps:wsp>
                  </a:graphicData>
                </a:graphic>
              </wp:anchor>
            </w:drawing>
          </mc:Choice>
          <mc:Fallback>
            <w:pict>
              <v:rect id="Shape 36" o:spid="_x0000_s1061" style="position:absolute;margin-left:430.55pt;margin-top:-13.6499pt;width:2.1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-173355</wp:posOffset>
                </wp:positionV>
                <wp:extent cx="29210" cy="120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2EEF5"/>
                        </a:solidFill>
                      </wps:spPr>
                      <wps:bodyPr/>
                    </wps:wsp>
                  </a:graphicData>
                </a:graphic>
              </wp:anchor>
            </w:drawing>
          </mc:Choice>
          <mc:Fallback>
            <w:pict>
              <v:rect id="Shape 37" o:spid="_x0000_s1062" style="position:absolute;margin-left:485.25pt;margin-top:-13.6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58" w:lineRule="exact"/>
        <w:rPr>
          <w:sz w:val="20"/>
          <w:szCs w:val="20"/>
          <w:color w:val="auto"/>
        </w:rPr>
      </w:pPr>
    </w:p>
    <w:p>
      <w:pPr>
        <w:ind w:left="280" w:hanging="280"/>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Average loan balances include non-accrual loans. Interest income on loans includes accretion of deferred loan fees, net of deferred loan costs.</w:t>
      </w:r>
    </w:p>
    <w:p>
      <w:pPr>
        <w:spacing w:after="0" w:line="33" w:lineRule="exact"/>
        <w:rPr>
          <w:rFonts w:ascii="Arial" w:cs="Arial" w:eastAsia="Arial" w:hAnsi="Arial"/>
          <w:sz w:val="16"/>
          <w:szCs w:val="16"/>
          <w:color w:val="auto"/>
        </w:rPr>
      </w:pPr>
    </w:p>
    <w:p>
      <w:pPr>
        <w:ind w:left="280" w:hanging="280"/>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fair value except for securities held to maturity. This amount includes FHLB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-248285</wp:posOffset>
                </wp:positionV>
                <wp:extent cx="248539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5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499pt" to="195.7pt,-19.5499pt" o:allowincell="f" strokecolor="#000000" strokeweight="0.4799pt"/>
            </w:pict>
          </mc:Fallback>
        </mc:AlternateContent>
      </w:r>
    </w:p>
    <w:p>
      <w:pPr>
        <w:spacing w:after="0" w:line="24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Both average yields earned on interest-earning assets and average rates paid on interest-bearing liabilities increased in 2024 as a compared to 2023, reflecting the changes in the macro interest rate environment. However, the average yields earned on interest-earning assets increased to a greater degree than rates paid on interest-bearing liabilities. Additionally, interest-earning assets volume growth was greater than the volume growth of interest-bearing liabilities.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have any tax-exempt securities at both December 31, 2024 and December 31, 2023.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Financial Condition</w:t>
      </w:r>
    </w:p>
    <w:p>
      <w:pPr>
        <w:spacing w:after="0" w:line="2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Total assets at December 31, 2024, were $2.6 billion, an increase of $242.1 million, or 10.4%, over total assets of $2.3 billion at December 31, 2023. Total loans increased $192.0 million, or 10.8%, to $2.0 billion at December 31, 2024 compared to $1.8 billion at December 31, 2023. Total deposits increased by $236.9 million, or 12.2%, to $2.2 billion at December 31, 2024 compared to $1.9 billion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2" w:name="page63"/>
    <w:bookmarkEnd w:id="62"/>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it’s asset composition and diversification, and maintain adequate risk-based capital ratios.</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objectives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8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and/or the ALCO of the Company to ensure an appropriate risk and return profile as well as for adherence to the Company’s investment policy.</w:t>
      </w:r>
    </w:p>
    <w:p>
      <w:pPr>
        <w:spacing w:after="0" w:line="18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As of December 31, 2024, the investment portfolio consisted of available -for-sale (“AFS”) and held-to-maturity (“HTM”) debt securities. In 2022, the Company transferred investment securities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income (loss) and in the carrying value of the HTM securities. Such amounts are amortized over the remaining life of the security. There was no impact to net income on the date of transfer. There were no securities transferred from AFS to HTM in 2024 or 2023.</w:t>
      </w:r>
    </w:p>
    <w:p>
      <w:pPr>
        <w:spacing w:after="0" w:line="186"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9"/>
          <w:szCs w:val="19"/>
          <w:color w:val="auto"/>
        </w:rPr>
        <w:t>The book value of the AFS securities is adjusted quarterly for unrealized gain or loss as a valuation allowance, and any gain or loss is reported on an after-tax basis as a component of other comprehensive income (loss) in stockholders’ equity.</w:t>
      </w:r>
    </w:p>
    <w:p>
      <w:pPr>
        <w:spacing w:after="0" w:line="130"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8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monitors the credit quality of HTM securities through the use of credit ratings. Credit ratings are monitored by the Company on at least a quarterly basis. As of December 31, 2024 and December 31, 2023, all HTM securities held by the Company were rated investment grade.</w:t>
      </w:r>
    </w:p>
    <w:p>
      <w:pPr>
        <w:spacing w:after="0" w:line="17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At December 31, 2024, HTM securities included $ 155.5 million of U.S. Government and U.S. Agency issued bonds and mortgage-backed securities. Because of the explicit and/or implicit guarantee on these bonds, the Company holds no reserves on these holdings. The remaining portion of the HTM portfolio is made up of $9.2 million in investment grade corporate bonds. The required reserve for these holdings is determined each quarter using the model described above. For the portion of the HTM exposed to non-government credit risk, the Company utilized the PD/LGD methodology to estimate a $6 thousand ACL as of December 31, 2024. The book value for debt securities classified as HTM represents amortized cost less ACL.</w:t>
      </w:r>
    </w:p>
    <w:p>
      <w:pPr>
        <w:spacing w:after="0" w:line="18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As of December 31, 2024, securities with a market value of $66.1 million were pledged to secure public deposits. As of December 31, 2024, the Company did not have any tax-exempt securities in the portfolio.</w:t>
      </w: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3" w:name="page64"/>
    <w:bookmarkEnd w:id="6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presents the amortized cost and fair value of investment securities for the dates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0"/>
        </w:trPr>
        <w:tc>
          <w:tcPr>
            <w:tcW w:w="5360" w:type="dxa"/>
            <w:vAlign w:val="bottom"/>
            <w:tcBorders>
              <w:top w:val="single" w:sz="8" w:color="D2EEF5"/>
              <w:bottom w:val="single" w:sz="8" w:color="D2EEF5"/>
              <w:right w:val="single" w:sz="8" w:color="D2EEF5"/>
            </w:tcBorders>
            <w:shd w:val="clear" w:color="auto" w:fill="D2EEF5"/>
          </w:tcPr>
          <w:p>
            <w:pPr>
              <w:spacing w:after="0" w:line="199" w:lineRule="exact"/>
              <w:rPr>
                <w:sz w:val="20"/>
                <w:szCs w:val="20"/>
                <w:color w:val="auto"/>
              </w:rPr>
            </w:pPr>
            <w:r>
              <w:rPr>
                <w:rFonts w:ascii="Arial" w:cs="Arial" w:eastAsia="Arial" w:hAnsi="Arial"/>
                <w:sz w:val="18"/>
                <w:szCs w:val="18"/>
                <w:color w:val="auto"/>
              </w:rPr>
              <w:t>U.S. Government Agency</w:t>
            </w:r>
          </w:p>
        </w:tc>
        <w:tc>
          <w:tcPr>
            <w:tcW w:w="180" w:type="dxa"/>
            <w:vAlign w:val="bottom"/>
            <w:tcBorders>
              <w:top w:val="single" w:sz="8" w:color="auto"/>
              <w:bottom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top w:val="single" w:sz="8" w:color="auto"/>
              <w:bottom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rPr>
              <w:t>14,279</w:t>
            </w: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w w:val="79"/>
                <w:shd w:val="clear" w:color="auto" w:fill="D2EEF5"/>
              </w:rPr>
              <w:t>$</w:t>
            </w:r>
          </w:p>
        </w:tc>
        <w:tc>
          <w:tcPr>
            <w:tcW w:w="1200" w:type="dxa"/>
            <w:vAlign w:val="bottom"/>
            <w:tcBorders>
              <w:top w:val="single" w:sz="8" w:color="auto"/>
              <w:bottom w:val="single" w:sz="8" w:color="D2EEF5"/>
              <w:right w:val="single" w:sz="8" w:color="D2EEF5"/>
            </w:tcBorders>
            <w:shd w:val="clear" w:color="auto" w:fill="D2EEF5"/>
          </w:tcPr>
          <w:p>
            <w:pPr>
              <w:jc w:val="right"/>
              <w:ind w:right="50"/>
              <w:spacing w:after="0" w:line="199"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auto"/>
              <w:bottom w:val="single" w:sz="8" w:color="D2EEF5"/>
            </w:tcBorders>
            <w:shd w:val="clear" w:color="auto" w:fill="D2EEF5"/>
          </w:tcPr>
          <w:p>
            <w:pPr>
              <w:jc w:val="center"/>
              <w:spacing w:after="0" w:line="199" w:lineRule="exact"/>
              <w:rPr>
                <w:sz w:val="20"/>
                <w:szCs w:val="20"/>
                <w:color w:val="auto"/>
              </w:rPr>
            </w:pPr>
            <w:r>
              <w:rPr>
                <w:rFonts w:ascii="Arial" w:cs="Arial" w:eastAsia="Arial" w:hAnsi="Arial"/>
                <w:sz w:val="18"/>
                <w:szCs w:val="18"/>
                <w:color w:val="auto"/>
                <w:w w:val="99"/>
                <w:shd w:val="clear" w:color="auto" w:fill="D2EEF5"/>
              </w:rPr>
              <w:t>$</w:t>
            </w:r>
          </w:p>
        </w:tc>
        <w:tc>
          <w:tcPr>
            <w:tcW w:w="1200" w:type="dxa"/>
            <w:vAlign w:val="bottom"/>
            <w:tcBorders>
              <w:top w:val="single" w:sz="8" w:color="auto"/>
              <w:bottom w:val="single" w:sz="8" w:color="D2EEF5"/>
              <w:right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rPr>
              <w:t>(1,668)</w:t>
            </w:r>
          </w:p>
        </w:tc>
        <w:tc>
          <w:tcPr>
            <w:tcW w:w="180" w:type="dxa"/>
            <w:vAlign w:val="bottom"/>
            <w:tcBorders>
              <w:top w:val="single" w:sz="8" w:color="auto"/>
              <w:bottom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w w:val="79"/>
                <w:shd w:val="clear" w:color="auto" w:fill="D2EEF5"/>
              </w:rPr>
              <w:t>$</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D2EEF5"/>
            </w:tcBorders>
            <w:shd w:val="clear" w:color="auto" w:fill="D2EEF5"/>
          </w:tcPr>
          <w:p>
            <w:pPr>
              <w:jc w:val="right"/>
              <w:spacing w:after="0" w:line="199" w:lineRule="exact"/>
              <w:rPr>
                <w:sz w:val="20"/>
                <w:szCs w:val="20"/>
                <w:color w:val="auto"/>
              </w:rPr>
            </w:pPr>
            <w:r>
              <w:rPr>
                <w:rFonts w:ascii="Arial" w:cs="Arial" w:eastAsia="Arial" w:hAnsi="Arial"/>
                <w:sz w:val="18"/>
                <w:szCs w:val="18"/>
                <w:color w:val="auto"/>
              </w:rPr>
              <w:t>12,625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58,995</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(12,063)</w:t>
            </w: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46,933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24,925</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(5,614)</w:t>
            </w: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Bank subordinated debt securities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right w:val="single" w:sz="8" w:color="D2EEF5"/>
            </w:tcBorders>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D2EEF5"/>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D2EEF5"/>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60" w:type="dxa"/>
            <w:vAlign w:val="bottom"/>
            <w:tcBorders>
              <w:right w:val="single" w:sz="8" w:color="D2EEF5"/>
            </w:tcBorders>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310,925</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D2EEF5"/>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(51,212)</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20" w:type="dxa"/>
            <w:vAlign w:val="bottom"/>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260,221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42,538</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00" w:type="dxa"/>
            <w:vAlign w:val="bottom"/>
            <w:tcBorders>
              <w:bottom w:val="single" w:sz="8" w:color="D2EEF5"/>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w w:val="99"/>
                <w:shd w:val="clear" w:color="auto" w:fill="D2EEF5"/>
              </w:rPr>
              <w:t>$</w:t>
            </w:r>
          </w:p>
        </w:tc>
        <w:tc>
          <w:tcPr>
            <w:tcW w:w="120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(5,094)</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37,444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40,681</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(4,613)</w:t>
            </w: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36,121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2EEF5"/>
            </w:tcBorders>
            <w:shd w:val="clear" w:color="auto" w:fill="D2EEF5"/>
          </w:tcPr>
          <w:p>
            <w:pPr>
              <w:spacing w:after="0"/>
              <w:rPr>
                <w:sz w:val="19"/>
                <w:szCs w:val="19"/>
                <w:color w:val="auto"/>
              </w:rPr>
            </w:pPr>
          </w:p>
        </w:tc>
        <w:tc>
          <w:tcPr>
            <w:tcW w:w="120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8,829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right w:val="single" w:sz="8" w:color="D2EEF5"/>
            </w:tcBorders>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D2EEF5"/>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D2EEF5"/>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145,540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D2EEF5"/>
              <w:right w:val="single" w:sz="8" w:color="D2EEF5"/>
            </w:tcBorders>
            <w:shd w:val="clear" w:color="auto" w:fill="D2EEF5"/>
          </w:tcPr>
          <w:p>
            <w:pPr>
              <w:spacing w:after="0" w:line="192" w:lineRule="exact"/>
              <w:rPr>
                <w:sz w:val="20"/>
                <w:szCs w:val="20"/>
                <w:color w:val="auto"/>
              </w:rPr>
            </w:pPr>
            <w:r>
              <w:rPr>
                <w:rFonts w:ascii="Arial" w:cs="Arial" w:eastAsia="Arial" w:hAnsi="Arial"/>
                <w:sz w:val="18"/>
                <w:szCs w:val="18"/>
                <w:color w:val="auto"/>
              </w:rPr>
              <w:t>Allowance for credit losses - securities held-to-maturity</w:t>
            </w:r>
          </w:p>
        </w:tc>
        <w:tc>
          <w:tcPr>
            <w:tcW w:w="180" w:type="dxa"/>
            <w:vAlign w:val="bottom"/>
            <w:tcBorders>
              <w:top w:val="single" w:sz="8" w:color="auto"/>
              <w:bottom w:val="single" w:sz="8" w:color="auto"/>
            </w:tcBorders>
            <w:shd w:val="clear" w:color="auto" w:fill="D2EEF5"/>
          </w:tcPr>
          <w:p>
            <w:pPr>
              <w:spacing w:after="0"/>
              <w:rPr>
                <w:sz w:val="18"/>
                <w:szCs w:val="18"/>
                <w:color w:val="auto"/>
              </w:rPr>
            </w:pPr>
          </w:p>
        </w:tc>
        <w:tc>
          <w:tcPr>
            <w:tcW w:w="1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1200" w:type="dxa"/>
            <w:vAlign w:val="bottom"/>
            <w:tcBorders>
              <w:top w:val="single" w:sz="8" w:color="auto"/>
              <w:right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1200" w:type="dxa"/>
            <w:vAlign w:val="bottom"/>
            <w:tcBorders>
              <w:top w:val="single" w:sz="8" w:color="auto"/>
              <w:right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shd w:val="clear" w:color="auto" w:fill="D2EE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0"/>
        </w:trPr>
        <w:tc>
          <w:tcPr>
            <w:tcW w:w="40" w:type="dxa"/>
            <w:vAlign w:val="bottom"/>
            <w:tcBorders>
              <w:top w:val="single" w:sz="8" w:color="D2EEF5"/>
              <w:bottom w:val="single" w:sz="8" w:color="D2EEF5"/>
            </w:tcBorders>
            <w:shd w:val="clear" w:color="auto" w:fill="D2EEF5"/>
          </w:tcPr>
          <w:p>
            <w:pPr>
              <w:spacing w:after="0"/>
              <w:rPr>
                <w:sz w:val="17"/>
                <w:szCs w:val="17"/>
                <w:color w:val="auto"/>
              </w:rPr>
            </w:pPr>
          </w:p>
        </w:tc>
        <w:tc>
          <w:tcPr>
            <w:tcW w:w="5280" w:type="dxa"/>
            <w:vAlign w:val="bottom"/>
            <w:tcBorders>
              <w:top w:val="single" w:sz="8" w:color="D2EEF5"/>
              <w:bottom w:val="single" w:sz="8" w:color="D2EEF5"/>
            </w:tcBorders>
            <w:shd w:val="clear" w:color="auto" w:fill="D2EEF5"/>
          </w:tcPr>
          <w:p>
            <w:pPr>
              <w:spacing w:after="0" w:line="196" w:lineRule="exact"/>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80" w:type="dxa"/>
            <w:vAlign w:val="bottom"/>
            <w:tcBorders>
              <w:top w:val="single" w:sz="8" w:color="auto"/>
              <w:bottom w:val="single" w:sz="8" w:color="D2EEF5"/>
            </w:tcBorders>
            <w:shd w:val="clear" w:color="auto" w:fill="D2EEF5"/>
          </w:tcPr>
          <w:p>
            <w:pPr>
              <w:spacing w:after="0"/>
              <w:rPr>
                <w:sz w:val="17"/>
                <w:szCs w:val="17"/>
                <w:color w:val="auto"/>
              </w:rPr>
            </w:pPr>
          </w:p>
        </w:tc>
        <w:tc>
          <w:tcPr>
            <w:tcW w:w="10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9,664</w:t>
            </w:r>
          </w:p>
        </w:tc>
        <w:tc>
          <w:tcPr>
            <w:tcW w:w="40" w:type="dxa"/>
            <w:vAlign w:val="bottom"/>
            <w:tcBorders>
              <w:top w:val="single" w:sz="8" w:color="auto"/>
              <w:bottom w:val="single" w:sz="8" w:color="D2EEF5"/>
            </w:tcBorders>
            <w:shd w:val="clear" w:color="auto" w:fill="D2EEF5"/>
          </w:tcPr>
          <w:p>
            <w:pPr>
              <w:spacing w:after="0"/>
              <w:rPr>
                <w:sz w:val="17"/>
                <w:szCs w:val="17"/>
                <w:color w:val="auto"/>
              </w:rPr>
            </w:pP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top w:val="single" w:sz="8" w:color="auto"/>
              <w:bottom w:val="single" w:sz="8" w:color="D2EEF5"/>
            </w:tcBorders>
            <w:shd w:val="clear" w:color="auto" w:fill="D2EEF5"/>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D2EEF5"/>
              <w:bottom w:val="single" w:sz="8" w:color="D2EEF5"/>
            </w:tcBorders>
            <w:shd w:val="clear" w:color="auto" w:fill="D2EEF5"/>
          </w:tcPr>
          <w:p>
            <w:pPr>
              <w:spacing w:after="0"/>
              <w:rPr>
                <w:sz w:val="17"/>
                <w:szCs w:val="17"/>
                <w:color w:val="auto"/>
              </w:rPr>
            </w:pPr>
          </w:p>
        </w:tc>
        <w:tc>
          <w:tcPr>
            <w:tcW w:w="6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(1,491)</w:t>
            </w: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D2EEF5"/>
            </w:tcBorders>
            <w:shd w:val="clear" w:color="auto" w:fill="D2EEF5"/>
          </w:tcPr>
          <w:p>
            <w:pPr>
              <w:jc w:val="right"/>
              <w:ind w:right="10"/>
              <w:spacing w:after="0" w:line="196" w:lineRule="exact"/>
              <w:rPr>
                <w:sz w:val="20"/>
                <w:szCs w:val="20"/>
                <w:color w:val="auto"/>
              </w:rPr>
            </w:pPr>
            <w:r>
              <w:rPr>
                <w:rFonts w:ascii="Arial" w:cs="Arial" w:eastAsia="Arial" w:hAnsi="Arial"/>
                <w:sz w:val="18"/>
                <w:szCs w:val="18"/>
                <w:color w:val="auto"/>
              </w:rPr>
              <w:t>8,173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103,645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80,606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63,795</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(11,608)</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52,187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49,212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25,005</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(5,667)</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19,338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2EEF5"/>
            </w:tcBorders>
          </w:tcPr>
          <w:p>
            <w:pPr>
              <w:spacing w:after="0"/>
              <w:rPr>
                <w:sz w:val="20"/>
                <w:szCs w:val="20"/>
                <w:color w:val="auto"/>
              </w:rPr>
            </w:pPr>
          </w:p>
        </w:tc>
        <w:tc>
          <w:tcPr>
            <w:tcW w:w="532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Bank subordinated debt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28,106</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D2EEF5"/>
          </w:tcPr>
          <w:p>
            <w:pPr>
              <w:spacing w:after="0"/>
              <w:rPr>
                <w:sz w:val="20"/>
                <w:szCs w:val="20"/>
                <w:color w:val="auto"/>
              </w:rPr>
            </w:pPr>
          </w:p>
        </w:tc>
        <w:tc>
          <w:tcPr>
            <w:tcW w:w="528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279,427</w:t>
            </w:r>
          </w:p>
        </w:tc>
        <w:tc>
          <w:tcPr>
            <w:tcW w:w="4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(50,342)</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229,329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Held-to-maturity:</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43,626</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D2EEF5"/>
            </w:tcBorders>
            <w:gridSpan w:val="2"/>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(5,322)</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38,306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62,735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43,784</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39,599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2EEF5"/>
            </w:tcBorders>
            <w:shd w:val="clear" w:color="auto" w:fill="D2EEF5"/>
          </w:tcPr>
          <w:p>
            <w:pPr>
              <w:spacing w:after="0"/>
              <w:rPr>
                <w:sz w:val="20"/>
                <w:szCs w:val="20"/>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Corporate bonds</w:t>
            </w:r>
          </w:p>
        </w:tc>
        <w:tc>
          <w:tcPr>
            <w:tcW w:w="4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9,398</w:t>
            </w:r>
          </w:p>
        </w:tc>
        <w:tc>
          <w:tcPr>
            <w:tcW w:w="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8,671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Borders>
              <w:top w:val="single" w:sz="8" w:color="D2EEF5"/>
              <w:bottom w:val="single" w:sz="8" w:color="D2EEF5"/>
            </w:tcBorders>
          </w:tcPr>
          <w:p>
            <w:pPr>
              <w:spacing w:after="0"/>
              <w:rPr>
                <w:sz w:val="24"/>
                <w:szCs w:val="24"/>
                <w:color w:val="auto"/>
              </w:rPr>
            </w:pPr>
          </w:p>
        </w:tc>
        <w:tc>
          <w:tcPr>
            <w:tcW w:w="5280" w:type="dxa"/>
            <w:vAlign w:val="bottom"/>
            <w:tcBorders>
              <w:top w:val="single" w:sz="8" w:color="D2EEF5"/>
              <w:bottom w:val="single" w:sz="8" w:color="D2EEF5"/>
            </w:tcBorders>
          </w:tcPr>
          <w:p>
            <w:pPr>
              <w:spacing w:after="0"/>
              <w:rPr>
                <w:sz w:val="24"/>
                <w:szCs w:val="24"/>
                <w:color w:val="auto"/>
              </w:rPr>
            </w:pPr>
          </w:p>
        </w:tc>
        <w:tc>
          <w:tcPr>
            <w:tcW w:w="40" w:type="dxa"/>
            <w:vAlign w:val="bottom"/>
            <w:tcBorders>
              <w:top w:val="single" w:sz="8" w:color="D2EEF5"/>
              <w:bottom w:val="single" w:sz="8" w:color="D2EEF5"/>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174,982</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D2EEF5"/>
              <w:bottom w:val="single" w:sz="8" w:color="D2EEF5"/>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D2EEF5"/>
              <w:bottom w:val="single" w:sz="8" w:color="D2EEF5"/>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(19,822)</w:t>
            </w:r>
          </w:p>
        </w:tc>
        <w:tc>
          <w:tcPr>
            <w:tcW w:w="80" w:type="dxa"/>
            <w:vAlign w:val="bottom"/>
            <w:tcBorders>
              <w:top w:val="single" w:sz="8" w:color="D2EEF5"/>
              <w:bottom w:val="single" w:sz="8" w:color="D2EEF5"/>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155,510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top w:val="single" w:sz="8" w:color="D2EEF5"/>
            </w:tcBorders>
            <w:shd w:val="clear" w:color="auto" w:fill="D2EEF5"/>
          </w:tcPr>
          <w:p>
            <w:pPr>
              <w:spacing w:after="0"/>
              <w:rPr>
                <w:sz w:val="16"/>
                <w:szCs w:val="16"/>
                <w:color w:val="auto"/>
              </w:rPr>
            </w:pPr>
          </w:p>
        </w:tc>
        <w:tc>
          <w:tcPr>
            <w:tcW w:w="5280" w:type="dxa"/>
            <w:vAlign w:val="bottom"/>
            <w:tcBorders>
              <w:top w:val="single" w:sz="8" w:color="D2EEF5"/>
            </w:tcBorders>
            <w:shd w:val="clear" w:color="auto" w:fill="D2EEF5"/>
          </w:tcPr>
          <w:p>
            <w:pPr>
              <w:spacing w:after="0" w:line="189" w:lineRule="exact"/>
              <w:rPr>
                <w:sz w:val="20"/>
                <w:szCs w:val="20"/>
                <w:color w:val="auto"/>
              </w:rPr>
            </w:pPr>
            <w:r>
              <w:rPr>
                <w:rFonts w:ascii="Arial" w:cs="Arial" w:eastAsia="Arial" w:hAnsi="Arial"/>
                <w:sz w:val="18"/>
                <w:szCs w:val="18"/>
                <w:color w:val="auto"/>
              </w:rPr>
              <w:t>Allowance for credit losses - securities held-to-maturity</w:t>
            </w:r>
          </w:p>
        </w:tc>
        <w:tc>
          <w:tcPr>
            <w:tcW w:w="4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bottom w:val="single" w:sz="8" w:color="auto"/>
            </w:tcBorders>
            <w:shd w:val="clear" w:color="auto" w:fill="D2EEF5"/>
          </w:tcPr>
          <w:p>
            <w:pPr>
              <w:spacing w:after="0"/>
              <w:rPr>
                <w:sz w:val="16"/>
                <w:szCs w:val="16"/>
                <w:color w:val="auto"/>
              </w:rPr>
            </w:pPr>
          </w:p>
        </w:tc>
        <w:tc>
          <w:tcPr>
            <w:tcW w:w="80" w:type="dxa"/>
            <w:vAlign w:val="bottom"/>
            <w:tcBorders>
              <w:top w:val="single" w:sz="8" w:color="D2EEF5"/>
              <w:bottom w:val="single" w:sz="8" w:color="auto"/>
            </w:tcBorders>
            <w:shd w:val="clear" w:color="auto" w:fill="D2EEF5"/>
          </w:tcPr>
          <w:p>
            <w:pPr>
              <w:spacing w:after="0"/>
              <w:rPr>
                <w:sz w:val="16"/>
                <w:szCs w:val="16"/>
                <w:color w:val="auto"/>
              </w:rPr>
            </w:pPr>
          </w:p>
        </w:tc>
        <w:tc>
          <w:tcPr>
            <w:tcW w:w="1040" w:type="dxa"/>
            <w:vAlign w:val="bottom"/>
            <w:tcBorders>
              <w:top w:val="single" w:sz="8" w:color="D2EEF5"/>
              <w:bottom w:val="single" w:sz="8" w:color="auto"/>
            </w:tcBorders>
            <w:shd w:val="clear" w:color="auto" w:fill="D2EEF5"/>
          </w:tcPr>
          <w:p>
            <w:pPr>
              <w:jc w:val="right"/>
              <w:spacing w:after="0" w:line="189" w:lineRule="exact"/>
              <w:rPr>
                <w:sz w:val="20"/>
                <w:szCs w:val="20"/>
                <w:color w:val="auto"/>
              </w:rPr>
            </w:pPr>
            <w:r>
              <w:rPr>
                <w:rFonts w:ascii="Arial" w:cs="Arial" w:eastAsia="Arial" w:hAnsi="Arial"/>
                <w:sz w:val="18"/>
                <w:szCs w:val="18"/>
                <w:color w:val="auto"/>
              </w:rPr>
              <w:t>(8)</w:t>
            </w:r>
          </w:p>
        </w:tc>
        <w:tc>
          <w:tcPr>
            <w:tcW w:w="40" w:type="dxa"/>
            <w:vAlign w:val="bottom"/>
            <w:tcBorders>
              <w:top w:val="single" w:sz="8" w:color="D2EEF5"/>
              <w:bottom w:val="single" w:sz="8" w:color="auto"/>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11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1160" w:type="dxa"/>
            <w:vAlign w:val="bottom"/>
            <w:tcBorders>
              <w:top w:val="single" w:sz="8" w:color="D2EEF5"/>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tcPr>
          <w:p>
            <w:pPr>
              <w:spacing w:after="0"/>
              <w:rPr>
                <w:sz w:val="16"/>
                <w:szCs w:val="16"/>
                <w:color w:val="auto"/>
              </w:rPr>
            </w:pPr>
          </w:p>
        </w:tc>
        <w:tc>
          <w:tcPr>
            <w:tcW w:w="1100" w:type="dxa"/>
            <w:vAlign w:val="bottom"/>
            <w:tcBorders>
              <w:top w:val="single" w:sz="8" w:color="D2EEF5"/>
            </w:tcBorders>
            <w:shd w:val="clear" w:color="auto" w:fill="D2EEF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53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174,974</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AFS and HTM investment securities in aggregate increased $20.6 million or 5.1% to $424.9 million at December 31, 2024 from $404.3 million at December 31, 2023.</w:t>
      </w:r>
    </w:p>
    <w:p>
      <w:pPr>
        <w:spacing w:after="0" w:line="15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shows the weighted average yields, categorized by contractual maturity, for investment securities as of December 31, 2024 (in thousands, except ratios):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Within 1 year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After 1 year</w:t>
            </w:r>
          </w:p>
        </w:tc>
        <w:tc>
          <w:tcPr>
            <w:tcW w:w="14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After 5 years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After 10 years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restart"/>
          </w:tcPr>
          <w:p>
            <w:pPr>
              <w:ind w:left="440"/>
              <w:spacing w:after="0"/>
              <w:rPr>
                <w:sz w:val="20"/>
                <w:szCs w:val="20"/>
                <w:color w:val="auto"/>
              </w:rPr>
            </w:pPr>
            <w:r>
              <w:rPr>
                <w:rFonts w:ascii="Arial" w:cs="Arial" w:eastAsia="Arial" w:hAnsi="Arial"/>
                <w:sz w:val="16"/>
                <w:szCs w:val="16"/>
                <w:b w:val="1"/>
                <w:bCs w:val="1"/>
                <w:color w:val="auto"/>
                <w:w w:val="99"/>
              </w:rPr>
              <w:t>Total</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9"/>
              </w:rPr>
              <w:t>through 5 years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9"/>
              </w:rPr>
              <w:t>through 10 years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5"/>
          </w:tcPr>
          <w:p>
            <w:pPr>
              <w:ind w:left="4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21"/>
                <w:szCs w:val="2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Yield</w:t>
            </w:r>
          </w:p>
        </w:tc>
        <w:tc>
          <w:tcPr>
            <w:tcW w:w="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Yield</w:t>
            </w:r>
          </w:p>
        </w:tc>
        <w:tc>
          <w:tcPr>
            <w:tcW w:w="20" w:type="dxa"/>
            <w:vAlign w:val="bottom"/>
          </w:tcPr>
          <w:p>
            <w:pPr>
              <w:spacing w:after="0"/>
              <w:rPr>
                <w:sz w:val="21"/>
                <w:szCs w:val="21"/>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9"/>
              </w:rPr>
              <w:t>Amortized</w:t>
            </w:r>
          </w:p>
        </w:tc>
        <w:tc>
          <w:tcPr>
            <w:tcW w:w="5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Arial" w:cs="Arial" w:eastAsia="Arial" w:hAnsi="Arial"/>
                <w:sz w:val="16"/>
                <w:szCs w:val="16"/>
                <w:b w:val="1"/>
                <w:bCs w:val="1"/>
                <w:color w:val="auto"/>
                <w:w w:val="94"/>
              </w:rPr>
              <w:t>Yield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760" w:type="dxa"/>
            <w:vAlign w:val="bottom"/>
            <w:gridSpan w:val="3"/>
          </w:tcPr>
          <w:p>
            <w:pPr>
              <w:ind w:left="120"/>
              <w:spacing w:after="0"/>
              <w:rPr>
                <w:sz w:val="20"/>
                <w:szCs w:val="20"/>
                <w:color w:val="auto"/>
              </w:rPr>
            </w:pPr>
            <w:r>
              <w:rPr>
                <w:rFonts w:ascii="Arial" w:cs="Arial" w:eastAsia="Arial" w:hAnsi="Arial"/>
                <w:sz w:val="16"/>
                <w:szCs w:val="16"/>
                <w:b w:val="1"/>
                <w:bCs w:val="1"/>
                <w:color w:val="auto"/>
              </w:rPr>
              <w:t>Yield</w:t>
            </w:r>
          </w:p>
        </w:tc>
        <w:tc>
          <w:tcPr>
            <w:tcW w:w="78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Cost</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Borders>
              <w:top w:val="single" w:sz="8" w:color="auto"/>
            </w:tcBorders>
            <w:shd w:val="clear" w:color="auto" w:fill="D2EEF5"/>
          </w:tcPr>
          <w:p>
            <w:pPr>
              <w:spacing w:after="0"/>
              <w:rPr>
                <w:sz w:val="17"/>
                <w:szCs w:val="17"/>
                <w:color w:val="auto"/>
              </w:rPr>
            </w:pPr>
          </w:p>
        </w:tc>
        <w:tc>
          <w:tcPr>
            <w:tcW w:w="560" w:type="dxa"/>
            <w:vAlign w:val="bottom"/>
            <w:tcBorders>
              <w:top w:val="single" w:sz="8" w:color="auto"/>
            </w:tcBorders>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auto"/>
            </w:tcBorders>
            <w:shd w:val="clear" w:color="auto" w:fill="D2EEF5"/>
          </w:tcPr>
          <w:p>
            <w:pPr>
              <w:spacing w:after="0"/>
              <w:rPr>
                <w:sz w:val="17"/>
                <w:szCs w:val="17"/>
                <w:color w:val="auto"/>
              </w:rPr>
            </w:pPr>
          </w:p>
        </w:tc>
        <w:tc>
          <w:tcPr>
            <w:tcW w:w="480" w:type="dxa"/>
            <w:vAlign w:val="bottom"/>
            <w:tcBorders>
              <w:top w:val="single" w:sz="8" w:color="auto"/>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740" w:type="dxa"/>
            <w:vAlign w:val="bottom"/>
            <w:tcBorders>
              <w:top w:val="single" w:sz="8" w:color="auto"/>
            </w:tcBorders>
            <w:shd w:val="clear" w:color="auto" w:fill="D2EEF5"/>
          </w:tcPr>
          <w:p>
            <w:pPr>
              <w:spacing w:after="0"/>
              <w:rPr>
                <w:sz w:val="17"/>
                <w:szCs w:val="17"/>
                <w:color w:val="auto"/>
              </w:rPr>
            </w:pPr>
          </w:p>
        </w:tc>
        <w:tc>
          <w:tcPr>
            <w:tcW w:w="64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spacing w:after="0"/>
              <w:rPr>
                <w:sz w:val="17"/>
                <w:szCs w:val="17"/>
                <w:color w:val="auto"/>
              </w:rPr>
            </w:pPr>
          </w:p>
        </w:tc>
        <w:tc>
          <w:tcPr>
            <w:tcW w:w="78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auto"/>
            </w:tcBorders>
            <w:shd w:val="clear" w:color="auto" w:fill="D2EEF5"/>
          </w:tcPr>
          <w:p>
            <w:pPr>
              <w:spacing w:after="0"/>
              <w:rPr>
                <w:sz w:val="17"/>
                <w:szCs w:val="17"/>
                <w:color w:val="auto"/>
              </w:rPr>
            </w:pPr>
          </w:p>
        </w:tc>
        <w:tc>
          <w:tcPr>
            <w:tcW w:w="60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40" w:type="dxa"/>
            <w:vAlign w:val="bottom"/>
            <w:tcBorders>
              <w:top w:val="single" w:sz="8" w:color="auto"/>
            </w:tcBorders>
            <w:shd w:val="clear" w:color="auto" w:fill="D2EEF5"/>
          </w:tcPr>
          <w:p>
            <w:pPr>
              <w:spacing w:after="0"/>
              <w:rPr>
                <w:sz w:val="17"/>
                <w:szCs w:val="17"/>
                <w:color w:val="auto"/>
              </w:rPr>
            </w:pPr>
          </w:p>
        </w:tc>
        <w:tc>
          <w:tcPr>
            <w:tcW w:w="720" w:type="dxa"/>
            <w:vAlign w:val="bottom"/>
            <w:tcBorders>
              <w:top w:val="single" w:sz="8" w:color="auto"/>
            </w:tcBorders>
            <w:shd w:val="clear" w:color="auto" w:fill="D2EEF5"/>
          </w:tcPr>
          <w:p>
            <w:pPr>
              <w:spacing w:after="0"/>
              <w:rPr>
                <w:sz w:val="17"/>
                <w:szCs w:val="17"/>
                <w:color w:val="auto"/>
              </w:rPr>
            </w:pPr>
          </w:p>
        </w:tc>
        <w:tc>
          <w:tcPr>
            <w:tcW w:w="64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76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auto"/>
            </w:tcBorders>
            <w:shd w:val="clear" w:color="auto" w:fill="D2EEF5"/>
          </w:tcPr>
          <w:p>
            <w:pPr>
              <w:spacing w:after="0"/>
              <w:rPr>
                <w:sz w:val="17"/>
                <w:szCs w:val="17"/>
                <w:color w:val="auto"/>
              </w:rPr>
            </w:pPr>
          </w:p>
        </w:tc>
        <w:tc>
          <w:tcPr>
            <w:tcW w:w="540" w:type="dxa"/>
            <w:vAlign w:val="bottom"/>
            <w:tcBorders>
              <w:top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U.S. Government Agency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gridSpan w:val="4"/>
          </w:tcPr>
          <w:p>
            <w:pPr>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ind w:left="520"/>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2,379</w:t>
            </w:r>
          </w:p>
        </w:tc>
        <w:tc>
          <w:tcPr>
            <w:tcW w:w="800" w:type="dxa"/>
            <w:vAlign w:val="bottom"/>
            <w:gridSpan w:val="5"/>
          </w:tcPr>
          <w:p>
            <w:pPr>
              <w:jc w:val="right"/>
              <w:spacing w:after="0"/>
              <w:rPr>
                <w:sz w:val="20"/>
                <w:szCs w:val="20"/>
                <w:color w:val="auto"/>
              </w:rPr>
            </w:pPr>
            <w:r>
              <w:rPr>
                <w:rFonts w:ascii="Arial" w:cs="Arial" w:eastAsia="Arial" w:hAnsi="Arial"/>
                <w:sz w:val="16"/>
                <w:szCs w:val="16"/>
                <w:color w:val="auto"/>
              </w:rPr>
              <w:t>3.14% $</w:t>
            </w:r>
          </w:p>
        </w:tc>
        <w:tc>
          <w:tcPr>
            <w:tcW w:w="720" w:type="dxa"/>
            <w:vAlign w:val="bottom"/>
          </w:tcPr>
          <w:p>
            <w:pPr>
              <w:jc w:val="right"/>
              <w:spacing w:after="0"/>
              <w:rPr>
                <w:sz w:val="20"/>
                <w:szCs w:val="20"/>
                <w:color w:val="auto"/>
              </w:rPr>
            </w:pPr>
            <w:r>
              <w:rPr>
                <w:rFonts w:ascii="Arial" w:cs="Arial" w:eastAsia="Arial" w:hAnsi="Arial"/>
                <w:sz w:val="16"/>
                <w:szCs w:val="16"/>
                <w:color w:val="auto"/>
              </w:rPr>
              <w:t>11,900</w:t>
            </w:r>
          </w:p>
        </w:tc>
        <w:tc>
          <w:tcPr>
            <w:tcW w:w="640" w:type="dxa"/>
            <w:vAlign w:val="bottom"/>
          </w:tcPr>
          <w:p>
            <w:pPr>
              <w:jc w:val="right"/>
              <w:spacing w:after="0"/>
              <w:rPr>
                <w:sz w:val="20"/>
                <w:szCs w:val="20"/>
                <w:color w:val="auto"/>
              </w:rPr>
            </w:pPr>
            <w:r>
              <w:rPr>
                <w:rFonts w:ascii="Arial" w:cs="Arial" w:eastAsia="Arial" w:hAnsi="Arial"/>
                <w:sz w:val="16"/>
                <w:szCs w:val="16"/>
                <w:color w:val="auto"/>
              </w:rPr>
              <w:t>4.61%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D2EEF5"/>
          </w:tcPr>
          <w:p>
            <w:pPr>
              <w:spacing w:after="0"/>
              <w:rPr>
                <w:sz w:val="20"/>
                <w:szCs w:val="20"/>
                <w:color w:val="auto"/>
              </w:rPr>
            </w:pPr>
            <w:r>
              <w:rPr>
                <w:rFonts w:ascii="Arial" w:cs="Arial" w:eastAsia="Arial" w:hAnsi="Arial"/>
                <w:sz w:val="16"/>
                <w:szCs w:val="16"/>
                <w:color w:val="auto"/>
              </w:rPr>
              <w:t>Collateralized mortgage obligations</w:t>
            </w:r>
          </w:p>
        </w:tc>
        <w:tc>
          <w:tcPr>
            <w:tcW w:w="1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2EEF5"/>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101,808</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1.62%</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101,808</w:t>
            </w: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Mortgage-backed securities - residential</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58,995</w:t>
            </w:r>
          </w:p>
        </w:tc>
        <w:tc>
          <w:tcPr>
            <w:tcW w:w="640" w:type="dxa"/>
            <w:vAlign w:val="bottom"/>
          </w:tcPr>
          <w:p>
            <w:pPr>
              <w:jc w:val="right"/>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58,995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26"/>
        </w:trPr>
        <w:tc>
          <w:tcPr>
            <w:tcW w:w="3180" w:type="dxa"/>
            <w:vAlign w:val="bottom"/>
            <w:gridSpan w:val="2"/>
            <w:shd w:val="clear" w:color="auto" w:fill="D2EEF5"/>
          </w:tcPr>
          <w:p>
            <w:pPr>
              <w:spacing w:after="0"/>
              <w:rPr>
                <w:sz w:val="20"/>
                <w:szCs w:val="20"/>
                <w:color w:val="auto"/>
              </w:rPr>
            </w:pPr>
            <w:r>
              <w:rPr>
                <w:rFonts w:ascii="Arial" w:cs="Arial" w:eastAsia="Arial" w:hAnsi="Arial"/>
                <w:sz w:val="16"/>
                <w:szCs w:val="16"/>
                <w:color w:val="auto"/>
              </w:rPr>
              <w:t>Mortgage-backed securities - commercial</w:t>
            </w:r>
          </w:p>
        </w:tc>
        <w:tc>
          <w:tcPr>
            <w:tcW w:w="1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1,596</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4.41%</w:t>
            </w:r>
          </w:p>
        </w:tc>
        <w:tc>
          <w:tcPr>
            <w:tcW w:w="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4,097</w:t>
            </w:r>
          </w:p>
        </w:tc>
        <w:tc>
          <w:tcPr>
            <w:tcW w:w="6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4.71%</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80,911</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3.25%</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86,604</w:t>
            </w: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20,680</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4,245</w:t>
            </w:r>
          </w:p>
        </w:tc>
        <w:tc>
          <w:tcPr>
            <w:tcW w:w="640" w:type="dxa"/>
            <w:vAlign w:val="bottom"/>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6"/>
                <w:szCs w:val="16"/>
                <w:color w:val="auto"/>
              </w:rPr>
              <w:t>Bank subordinated debt securities</w:t>
            </w:r>
          </w:p>
        </w:tc>
        <w:tc>
          <w:tcPr>
            <w:tcW w:w="120" w:type="dxa"/>
            <w:vAlign w:val="bottom"/>
            <w:tcBorders>
              <w:bottom w:val="single" w:sz="8" w:color="auto"/>
            </w:tcBorders>
            <w:shd w:val="clear" w:color="auto" w:fill="D2EEF5"/>
          </w:tcPr>
          <w:p>
            <w:pPr>
              <w:spacing w:after="0"/>
              <w:rPr>
                <w:sz w:val="19"/>
                <w:szCs w:val="19"/>
                <w:color w:val="auto"/>
              </w:rPr>
            </w:pPr>
          </w:p>
        </w:tc>
        <w:tc>
          <w:tcPr>
            <w:tcW w:w="560" w:type="dxa"/>
            <w:vAlign w:val="bottom"/>
            <w:tcBorders>
              <w:bottom w:val="single" w:sz="8" w:color="auto"/>
            </w:tcBorders>
            <w:shd w:val="clear" w:color="auto" w:fill="D2EEF5"/>
          </w:tcPr>
          <w:p>
            <w:pPr>
              <w:spacing w:after="0"/>
              <w:rPr>
                <w:sz w:val="19"/>
                <w:szCs w:val="19"/>
                <w:color w:val="auto"/>
              </w:rPr>
            </w:pPr>
          </w:p>
        </w:tc>
        <w:tc>
          <w:tcPr>
            <w:tcW w:w="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480" w:type="dxa"/>
            <w:vAlign w:val="bottom"/>
            <w:tcBorders>
              <w:bottom w:val="single" w:sz="8" w:color="D2EEF5"/>
            </w:tcBorders>
            <w:shd w:val="clear" w:color="auto" w:fill="D2EEF5"/>
          </w:tcPr>
          <w:p>
            <w:pPr>
              <w:spacing w:after="0"/>
              <w:rPr>
                <w:sz w:val="19"/>
                <w:szCs w:val="19"/>
                <w:color w:val="auto"/>
              </w:rPr>
            </w:pPr>
          </w:p>
        </w:tc>
        <w:tc>
          <w:tcPr>
            <w:tcW w:w="1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20" w:type="dxa"/>
            <w:vAlign w:val="bottom"/>
            <w:tcBorders>
              <w:bottom w:val="single" w:sz="8" w:color="D2EEF5"/>
            </w:tcBorders>
            <w:shd w:val="clear" w:color="auto" w:fill="D2EEF5"/>
          </w:tcPr>
          <w:p>
            <w:pPr>
              <w:spacing w:after="0"/>
              <w:rPr>
                <w:sz w:val="19"/>
                <w:szCs w:val="19"/>
                <w:color w:val="auto"/>
              </w:rPr>
            </w:pPr>
          </w:p>
        </w:tc>
        <w:tc>
          <w:tcPr>
            <w:tcW w:w="120" w:type="dxa"/>
            <w:vAlign w:val="bottom"/>
            <w:tcBorders>
              <w:bottom w:val="single" w:sz="8" w:color="auto"/>
            </w:tcBorders>
            <w:shd w:val="clear" w:color="auto" w:fill="D2EEF5"/>
          </w:tcPr>
          <w:p>
            <w:pPr>
              <w:spacing w:after="0"/>
              <w:rPr>
                <w:sz w:val="19"/>
                <w:szCs w:val="19"/>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2,926</w:t>
            </w:r>
          </w:p>
        </w:tc>
        <w:tc>
          <w:tcPr>
            <w:tcW w:w="6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6"/>
                <w:szCs w:val="16"/>
                <w:color w:val="auto"/>
              </w:rPr>
              <w:t>9.27%</w:t>
            </w:r>
          </w:p>
        </w:tc>
        <w:tc>
          <w:tcPr>
            <w:tcW w:w="20" w:type="dxa"/>
            <w:vAlign w:val="bottom"/>
            <w:tcBorders>
              <w:bottom w:val="single" w:sz="8" w:color="D2EEF5"/>
            </w:tcBorders>
            <w:shd w:val="clear" w:color="auto" w:fill="D2EEF5"/>
          </w:tcPr>
          <w:p>
            <w:pPr>
              <w:spacing w:after="0"/>
              <w:rPr>
                <w:sz w:val="19"/>
                <w:szCs w:val="19"/>
                <w:color w:val="auto"/>
              </w:rPr>
            </w:pPr>
          </w:p>
        </w:tc>
        <w:tc>
          <w:tcPr>
            <w:tcW w:w="100" w:type="dxa"/>
            <w:vAlign w:val="bottom"/>
            <w:tcBorders>
              <w:bottom w:val="single" w:sz="8" w:color="auto"/>
            </w:tcBorders>
            <w:shd w:val="clear" w:color="auto" w:fill="D2EEF5"/>
          </w:tcPr>
          <w:p>
            <w:pPr>
              <w:spacing w:after="0"/>
              <w:rPr>
                <w:sz w:val="19"/>
                <w:szCs w:val="19"/>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21,388</w:t>
            </w:r>
          </w:p>
        </w:tc>
        <w:tc>
          <w:tcPr>
            <w:tcW w:w="620" w:type="dxa"/>
            <w:vAlign w:val="bottom"/>
            <w:tcBorders>
              <w:bottom w:val="single" w:sz="8" w:color="D2EEF5"/>
            </w:tcBorders>
            <w:gridSpan w:val="2"/>
            <w:shd w:val="clear" w:color="auto" w:fill="D2EEF5"/>
          </w:tcPr>
          <w:p>
            <w:pPr>
              <w:jc w:val="right"/>
              <w:spacing w:after="0"/>
              <w:rPr>
                <w:sz w:val="20"/>
                <w:szCs w:val="20"/>
                <w:color w:val="auto"/>
              </w:rPr>
            </w:pPr>
            <w:r>
              <w:rPr>
                <w:rFonts w:ascii="Arial" w:cs="Arial" w:eastAsia="Arial" w:hAnsi="Arial"/>
                <w:sz w:val="16"/>
                <w:szCs w:val="16"/>
                <w:color w:val="auto"/>
              </w:rPr>
              <w:t>5.11%</w:t>
            </w:r>
          </w:p>
        </w:tc>
        <w:tc>
          <w:tcPr>
            <w:tcW w:w="20" w:type="dxa"/>
            <w:vAlign w:val="bottom"/>
            <w:tcBorders>
              <w:bottom w:val="single" w:sz="8" w:color="D2EEF5"/>
            </w:tcBorders>
            <w:shd w:val="clear" w:color="auto" w:fill="D2EEF5"/>
          </w:tcPr>
          <w:p>
            <w:pPr>
              <w:spacing w:after="0"/>
              <w:rPr>
                <w:sz w:val="19"/>
                <w:szCs w:val="19"/>
                <w:color w:val="auto"/>
              </w:rPr>
            </w:pPr>
          </w:p>
        </w:tc>
        <w:tc>
          <w:tcPr>
            <w:tcW w:w="2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12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24,314</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5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60"/>
        </w:trPr>
        <w:tc>
          <w:tcPr>
            <w:tcW w:w="3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gridSpan w:val="4"/>
          </w:tcPr>
          <w:p>
            <w:pPr>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4,522</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7.56% $</w:t>
            </w:r>
          </w:p>
        </w:tc>
        <w:tc>
          <w:tcPr>
            <w:tcW w:w="780" w:type="dxa"/>
            <w:vAlign w:val="bottom"/>
          </w:tcPr>
          <w:p>
            <w:pPr>
              <w:jc w:val="right"/>
              <w:spacing w:after="0"/>
              <w:rPr>
                <w:sz w:val="20"/>
                <w:szCs w:val="20"/>
                <w:color w:val="auto"/>
              </w:rPr>
            </w:pPr>
            <w:r>
              <w:rPr>
                <w:rFonts w:ascii="Arial" w:cs="Arial" w:eastAsia="Arial" w:hAnsi="Arial"/>
                <w:sz w:val="16"/>
                <w:szCs w:val="16"/>
                <w:color w:val="auto"/>
              </w:rPr>
              <w:t>48,544</w:t>
            </w:r>
          </w:p>
        </w:tc>
        <w:tc>
          <w:tcPr>
            <w:tcW w:w="800" w:type="dxa"/>
            <w:vAlign w:val="bottom"/>
            <w:gridSpan w:val="5"/>
          </w:tcPr>
          <w:p>
            <w:pPr>
              <w:jc w:val="right"/>
              <w:spacing w:after="0"/>
              <w:rPr>
                <w:sz w:val="20"/>
                <w:szCs w:val="20"/>
                <w:color w:val="auto"/>
              </w:rPr>
            </w:pPr>
            <w:r>
              <w:rPr>
                <w:rFonts w:ascii="Arial" w:cs="Arial" w:eastAsia="Arial" w:hAnsi="Arial"/>
                <w:sz w:val="16"/>
                <w:szCs w:val="16"/>
                <w:color w:val="auto"/>
              </w:rPr>
              <w:t>3.54% $</w:t>
            </w:r>
          </w:p>
        </w:tc>
        <w:tc>
          <w:tcPr>
            <w:tcW w:w="720" w:type="dxa"/>
            <w:vAlign w:val="bottom"/>
          </w:tcPr>
          <w:p>
            <w:pPr>
              <w:jc w:val="right"/>
              <w:spacing w:after="0"/>
              <w:rPr>
                <w:sz w:val="20"/>
                <w:szCs w:val="20"/>
                <w:color w:val="auto"/>
              </w:rPr>
            </w:pPr>
            <w:r>
              <w:rPr>
                <w:rFonts w:ascii="Arial" w:cs="Arial" w:eastAsia="Arial" w:hAnsi="Arial"/>
                <w:sz w:val="16"/>
                <w:szCs w:val="16"/>
                <w:color w:val="auto"/>
              </w:rPr>
              <w:t>257,859</w:t>
            </w:r>
          </w:p>
        </w:tc>
        <w:tc>
          <w:tcPr>
            <w:tcW w:w="64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310,925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80"/>
        </w:trPr>
        <w:tc>
          <w:tcPr>
            <w:tcW w:w="3180" w:type="dxa"/>
            <w:vAlign w:val="bottom"/>
            <w:tcBorders>
              <w:top w:val="single" w:sz="8" w:color="D2EEF5"/>
            </w:tcBorders>
            <w:gridSpan w:val="2"/>
            <w:shd w:val="clear" w:color="auto" w:fill="D2EEF5"/>
          </w:tcPr>
          <w:p>
            <w:pPr>
              <w:spacing w:after="0" w:line="180" w:lineRule="exact"/>
              <w:rPr>
                <w:sz w:val="20"/>
                <w:szCs w:val="20"/>
                <w:color w:val="auto"/>
              </w:rPr>
            </w:pPr>
            <w:r>
              <w:rPr>
                <w:rFonts w:ascii="Arial" w:cs="Arial" w:eastAsia="Arial" w:hAnsi="Arial"/>
                <w:sz w:val="16"/>
                <w:szCs w:val="16"/>
                <w:b w:val="1"/>
                <w:bCs w:val="1"/>
                <w:color w:val="auto"/>
              </w:rPr>
              <w:t>Held-to-maturity:</w:t>
            </w:r>
          </w:p>
        </w:tc>
        <w:tc>
          <w:tcPr>
            <w:tcW w:w="120" w:type="dxa"/>
            <w:vAlign w:val="bottom"/>
            <w:tcBorders>
              <w:top w:val="single" w:sz="8" w:color="auto"/>
            </w:tcBorders>
            <w:shd w:val="clear" w:color="auto" w:fill="D2EEF5"/>
          </w:tcPr>
          <w:p>
            <w:pPr>
              <w:spacing w:after="0"/>
              <w:rPr>
                <w:sz w:val="15"/>
                <w:szCs w:val="15"/>
                <w:color w:val="auto"/>
              </w:rPr>
            </w:pPr>
          </w:p>
        </w:tc>
        <w:tc>
          <w:tcPr>
            <w:tcW w:w="560" w:type="dxa"/>
            <w:vAlign w:val="bottom"/>
            <w:tcBorders>
              <w:top w:val="single" w:sz="8" w:color="auto"/>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48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74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78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60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72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76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54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U.S. Government Agency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gridSpan w:val="4"/>
          </w:tcPr>
          <w:p>
            <w:pPr>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7,951</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1.02% $</w:t>
            </w:r>
          </w:p>
        </w:tc>
        <w:tc>
          <w:tcPr>
            <w:tcW w:w="780" w:type="dxa"/>
            <w:vAlign w:val="bottom"/>
          </w:tcPr>
          <w:p>
            <w:pPr>
              <w:jc w:val="right"/>
              <w:spacing w:after="0"/>
              <w:rPr>
                <w:sz w:val="20"/>
                <w:szCs w:val="20"/>
                <w:color w:val="auto"/>
              </w:rPr>
            </w:pPr>
            <w:r>
              <w:rPr>
                <w:rFonts w:ascii="Arial" w:cs="Arial" w:eastAsia="Arial" w:hAnsi="Arial"/>
                <w:sz w:val="16"/>
                <w:szCs w:val="16"/>
                <w:color w:val="auto"/>
              </w:rPr>
              <w:t>20,078</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14,509</w:t>
            </w:r>
          </w:p>
        </w:tc>
        <w:tc>
          <w:tcPr>
            <w:tcW w:w="64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42,538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6"/>
        </w:trPr>
        <w:tc>
          <w:tcPr>
            <w:tcW w:w="3180" w:type="dxa"/>
            <w:vAlign w:val="bottom"/>
            <w:gridSpan w:val="2"/>
            <w:shd w:val="clear" w:color="auto" w:fill="D2EEF5"/>
          </w:tcPr>
          <w:p>
            <w:pPr>
              <w:spacing w:after="0"/>
              <w:rPr>
                <w:sz w:val="20"/>
                <w:szCs w:val="20"/>
                <w:color w:val="auto"/>
              </w:rPr>
            </w:pPr>
            <w:r>
              <w:rPr>
                <w:rFonts w:ascii="Arial" w:cs="Arial" w:eastAsia="Arial" w:hAnsi="Arial"/>
                <w:sz w:val="16"/>
                <w:szCs w:val="16"/>
                <w:color w:val="auto"/>
              </w:rPr>
              <w:t>Collateralized mortgage obligations</w:t>
            </w:r>
          </w:p>
        </w:tc>
        <w:tc>
          <w:tcPr>
            <w:tcW w:w="1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2EEF5"/>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56,987</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1.66%</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56,987</w:t>
            </w: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Mortgage-backed securities - residential</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4,322</w:t>
            </w:r>
          </w:p>
        </w:tc>
        <w:tc>
          <w:tcPr>
            <w:tcW w:w="640" w:type="dxa"/>
            <w:vAlign w:val="bottom"/>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5,882</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30,477</w:t>
            </w: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D2EEF5"/>
          </w:tcPr>
          <w:p>
            <w:pPr>
              <w:spacing w:after="0"/>
              <w:rPr>
                <w:sz w:val="20"/>
                <w:szCs w:val="20"/>
                <w:color w:val="auto"/>
              </w:rPr>
            </w:pPr>
            <w:r>
              <w:rPr>
                <w:rFonts w:ascii="Arial" w:cs="Arial" w:eastAsia="Arial" w:hAnsi="Arial"/>
                <w:sz w:val="16"/>
                <w:szCs w:val="16"/>
                <w:color w:val="auto"/>
              </w:rPr>
              <w:t>Mortgage-backed securities - commercial</w:t>
            </w:r>
          </w:p>
        </w:tc>
        <w:tc>
          <w:tcPr>
            <w:tcW w:w="1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3,057</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1.62%</w:t>
            </w:r>
          </w:p>
        </w:tc>
        <w:tc>
          <w:tcPr>
            <w:tcW w:w="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12,215</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2.59%</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15,272</w:t>
            </w: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D2EEF5"/>
            </w:tcBorders>
            <w:gridSpan w:val="2"/>
          </w:tcPr>
          <w:p>
            <w:pPr>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tcPr>
          <w:p>
            <w:pPr>
              <w:spacing w:after="0"/>
              <w:rPr>
                <w:sz w:val="19"/>
                <w:szCs w:val="19"/>
                <w:color w:val="auto"/>
              </w:rPr>
            </w:pPr>
          </w:p>
        </w:tc>
        <w:tc>
          <w:tcPr>
            <w:tcW w:w="480" w:type="dxa"/>
            <w:vAlign w:val="bottom"/>
            <w:tcBorders>
              <w:bottom w:val="single" w:sz="8" w:color="D2EEF5"/>
            </w:tcBorders>
          </w:tcPr>
          <w:p>
            <w:pPr>
              <w:spacing w:after="0"/>
              <w:rPr>
                <w:sz w:val="19"/>
                <w:szCs w:val="19"/>
                <w:color w:val="auto"/>
              </w:rPr>
            </w:pPr>
          </w:p>
        </w:tc>
        <w:tc>
          <w:tcPr>
            <w:tcW w:w="120" w:type="dxa"/>
            <w:vAlign w:val="bottom"/>
            <w:tcBorders>
              <w:bottom w:val="single" w:sz="8" w:color="D2EEF5"/>
            </w:tcBorders>
          </w:tcPr>
          <w:p>
            <w:pP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9,222</w:t>
            </w:r>
          </w:p>
        </w:tc>
        <w:tc>
          <w:tcPr>
            <w:tcW w:w="640" w:type="dxa"/>
            <w:vAlign w:val="bottom"/>
            <w:tcBorders>
              <w:bottom w:val="single" w:sz="8" w:color="D2EEF5"/>
            </w:tcBorders>
          </w:tcPr>
          <w:p>
            <w:pPr>
              <w:jc w:val="right"/>
              <w:spacing w:after="0"/>
              <w:rPr>
                <w:sz w:val="20"/>
                <w:szCs w:val="20"/>
                <w:color w:val="auto"/>
              </w:rPr>
            </w:pPr>
            <w:r>
              <w:rPr>
                <w:rFonts w:ascii="Arial" w:cs="Arial" w:eastAsia="Arial" w:hAnsi="Arial"/>
                <w:sz w:val="16"/>
                <w:szCs w:val="16"/>
                <w:color w:val="auto"/>
              </w:rPr>
              <w:t>2.81%</w:t>
            </w:r>
          </w:p>
        </w:tc>
        <w:tc>
          <w:tcPr>
            <w:tcW w:w="20" w:type="dxa"/>
            <w:vAlign w:val="bottom"/>
            <w:tcBorders>
              <w:bottom w:val="single" w:sz="8" w:color="D2EE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2EEF5"/>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D2EEF5"/>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9,222</w:t>
            </w:r>
          </w:p>
        </w:tc>
        <w:tc>
          <w:tcPr>
            <w:tcW w:w="20" w:type="dxa"/>
            <w:vAlign w:val="bottom"/>
            <w:tcBorders>
              <w:bottom w:val="single" w:sz="8" w:color="D2EEF5"/>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540" w:type="dxa"/>
            <w:vAlign w:val="bottom"/>
            <w:tcBorders>
              <w:bottom w:val="single" w:sz="8" w:color="D2EEF5"/>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21"/>
        </w:trPr>
        <w:tc>
          <w:tcPr>
            <w:tcW w:w="31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560" w:type="dxa"/>
            <w:vAlign w:val="bottom"/>
            <w:shd w:val="clear" w:color="auto" w:fill="D2EEF5"/>
          </w:tcPr>
          <w:p>
            <w:pPr>
              <w:spacing w:after="0"/>
              <w:rPr>
                <w:sz w:val="19"/>
                <w:szCs w:val="19"/>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74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24,552</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1.92%</w:t>
            </w:r>
          </w:p>
        </w:tc>
        <w:tc>
          <w:tcPr>
            <w:tcW w:w="1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w w:val="89"/>
                <w:shd w:val="clear" w:color="auto" w:fill="D2EEF5"/>
              </w:rPr>
              <w:t>$</w:t>
            </w: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25,960</w:t>
            </w:r>
          </w:p>
        </w:tc>
        <w:tc>
          <w:tcPr>
            <w:tcW w:w="6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1.52%</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72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114,188</w:t>
            </w:r>
          </w:p>
        </w:tc>
        <w:tc>
          <w:tcPr>
            <w:tcW w:w="64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1.98%</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76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164,700</w:t>
            </w: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1.90%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3943985</wp:posOffset>
                </wp:positionH>
                <wp:positionV relativeFrom="paragraph">
                  <wp:posOffset>-2203450</wp:posOffset>
                </wp:positionV>
                <wp:extent cx="18415" cy="120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39" o:spid="_x0000_s1064" style="position:absolute;margin-left:310.55pt;margin-top:-173.4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4914900</wp:posOffset>
                </wp:positionH>
                <wp:positionV relativeFrom="paragraph">
                  <wp:posOffset>-2203450</wp:posOffset>
                </wp:positionV>
                <wp:extent cx="19685" cy="120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40" o:spid="_x0000_s1065" style="position:absolute;margin-left:387pt;margin-top:-173.4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5887085</wp:posOffset>
                </wp:positionH>
                <wp:positionV relativeFrom="paragraph">
                  <wp:posOffset>-2203450</wp:posOffset>
                </wp:positionV>
                <wp:extent cx="18415" cy="120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41" o:spid="_x0000_s1066" style="position:absolute;margin-left:463.55pt;margin-top:-173.4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have any tax-exempt securities at both December 31, 2024 and 2023.</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27"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20"/>
          <w:szCs w:val="20"/>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shows the loan portfolio composition as of the dates indicated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 2024</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tcBorders>
              <w:bottom w:val="single" w:sz="8" w:color="auto"/>
            </w:tcBorders>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 of</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 of</w:t>
            </w:r>
          </w:p>
        </w:tc>
        <w:tc>
          <w:tcPr>
            <w:tcW w:w="200" w:type="dxa"/>
            <w:vAlign w:val="bottom"/>
          </w:tcPr>
          <w:p>
            <w:pPr>
              <w:spacing w:after="0"/>
              <w:rPr>
                <w:sz w:val="21"/>
                <w:szCs w:val="21"/>
                <w:color w:val="auto"/>
              </w:rPr>
            </w:pPr>
          </w:p>
        </w:tc>
      </w:tr>
      <w:tr>
        <w:trPr>
          <w:trHeight w:val="227"/>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r>
      <w:tr>
        <w:trPr>
          <w:trHeight w:val="220"/>
        </w:trPr>
        <w:tc>
          <w:tcPr>
            <w:tcW w:w="40" w:type="dxa"/>
            <w:vAlign w:val="bottom"/>
            <w:tcBorders>
              <w:top w:val="single" w:sz="8" w:color="D2EEF5"/>
            </w:tcBorders>
            <w:shd w:val="clear" w:color="auto" w:fill="D2EEF5"/>
          </w:tcPr>
          <w:p>
            <w:pPr>
              <w:spacing w:after="0"/>
              <w:rPr>
                <w:sz w:val="19"/>
                <w:szCs w:val="19"/>
                <w:color w:val="auto"/>
              </w:rPr>
            </w:pPr>
          </w:p>
        </w:tc>
        <w:tc>
          <w:tcPr>
            <w:tcW w:w="46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2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top w:val="single" w:sz="8" w:color="auto"/>
            </w:tcBorders>
            <w:shd w:val="clear" w:color="auto" w:fill="D2EEF5"/>
          </w:tcPr>
          <w:p>
            <w:pPr>
              <w:spacing w:after="0"/>
              <w:rPr>
                <w:sz w:val="19"/>
                <w:szCs w:val="19"/>
                <w:color w:val="auto"/>
              </w:rPr>
            </w:pPr>
          </w:p>
        </w:tc>
        <w:tc>
          <w:tcPr>
            <w:tcW w:w="1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289,961</w:t>
            </w:r>
          </w:p>
        </w:tc>
        <w:tc>
          <w:tcPr>
            <w:tcW w:w="10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280" w:type="dxa"/>
            <w:vAlign w:val="bottom"/>
            <w:tcBorders>
              <w:top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w w:val="99"/>
                <w:shd w:val="clear" w:color="auto" w:fill="D2EEF5"/>
              </w:rPr>
              <w:t>%</w:t>
            </w:r>
          </w:p>
        </w:tc>
        <w:tc>
          <w:tcPr>
            <w:tcW w:w="6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4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auto"/>
            </w:tcBorders>
            <w:shd w:val="clear" w:color="auto" w:fill="D2EEF5"/>
          </w:tcPr>
          <w:p>
            <w:pPr>
              <w:spacing w:after="0"/>
              <w:rPr>
                <w:sz w:val="19"/>
                <w:szCs w:val="19"/>
                <w:color w:val="auto"/>
              </w:rPr>
            </w:pPr>
          </w:p>
        </w:tc>
        <w:tc>
          <w:tcPr>
            <w:tcW w:w="1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204,419</w:t>
            </w:r>
          </w:p>
        </w:tc>
        <w:tc>
          <w:tcPr>
            <w:tcW w:w="10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280" w:type="dxa"/>
            <w:vAlign w:val="bottom"/>
            <w:tcBorders>
              <w:top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auto"/>
            </w:tcBorders>
            <w:shd w:val="clear" w:color="auto" w:fill="D2EEF5"/>
          </w:tcPr>
          <w:p>
            <w:pPr>
              <w:ind w:left="20"/>
              <w:spacing w:after="0"/>
              <w:rPr>
                <w:sz w:val="20"/>
                <w:szCs w:val="20"/>
                <w:color w:val="auto"/>
              </w:rPr>
            </w:pPr>
            <w:r>
              <w:rPr>
                <w:rFonts w:ascii="Arial" w:cs="Arial" w:eastAsia="Arial" w:hAnsi="Arial"/>
                <w:sz w:val="18"/>
                <w:szCs w:val="18"/>
                <w:color w:val="auto"/>
                <w:w w:val="99"/>
                <w:shd w:val="clear" w:color="auto" w:fill="D2EEF5"/>
              </w:rPr>
              <w:t>%</w:t>
            </w:r>
          </w:p>
        </w:tc>
      </w:tr>
      <w:tr>
        <w:trPr>
          <w:trHeight w:val="240"/>
        </w:trPr>
        <w:tc>
          <w:tcPr>
            <w:tcW w:w="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1,136,417</w:t>
            </w:r>
          </w:p>
        </w:tc>
        <w:tc>
          <w:tcPr>
            <w:tcW w:w="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1,047,593</w:t>
            </w:r>
          </w:p>
        </w:tc>
        <w:tc>
          <w:tcPr>
            <w:tcW w:w="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r>
      <w:tr>
        <w:trPr>
          <w:trHeight w:val="240"/>
        </w:trPr>
        <w:tc>
          <w:tcPr>
            <w:tcW w:w="40" w:type="dxa"/>
            <w:vAlign w:val="bottom"/>
            <w:shd w:val="clear" w:color="auto" w:fill="D2EEF5"/>
          </w:tcPr>
          <w:p>
            <w:pPr>
              <w:spacing w:after="0"/>
              <w:rPr>
                <w:sz w:val="20"/>
                <w:szCs w:val="20"/>
                <w:color w:val="auto"/>
              </w:rPr>
            </w:pPr>
          </w:p>
        </w:tc>
        <w:tc>
          <w:tcPr>
            <w:tcW w:w="4640" w:type="dxa"/>
            <w:vAlign w:val="bottom"/>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258,311</w:t>
            </w: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28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D2EEF5"/>
          </w:tcPr>
          <w:p>
            <w:pPr>
              <w:ind w:left="40"/>
              <w:spacing w:after="0"/>
              <w:rPr>
                <w:sz w:val="20"/>
                <w:szCs w:val="20"/>
                <w:color w:val="auto"/>
              </w:rPr>
            </w:pPr>
            <w:r>
              <w:rPr>
                <w:rFonts w:ascii="Arial" w:cs="Arial" w:eastAsia="Arial" w:hAnsi="Arial"/>
                <w:sz w:val="18"/>
                <w:szCs w:val="18"/>
                <w:color w:val="auto"/>
                <w:w w:val="99"/>
                <w:shd w:val="clear" w:color="auto" w:fill="D2EEF5"/>
              </w:rPr>
              <w:t>%</w:t>
            </w: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219,757</w:t>
            </w:r>
          </w:p>
        </w:tc>
        <w:tc>
          <w:tcPr>
            <w:tcW w:w="1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8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D2EEF5"/>
          </w:tcPr>
          <w:p>
            <w:pPr>
              <w:ind w:left="20"/>
              <w:spacing w:after="0"/>
              <w:rPr>
                <w:sz w:val="20"/>
                <w:szCs w:val="20"/>
                <w:color w:val="auto"/>
              </w:rPr>
            </w:pPr>
            <w:r>
              <w:rPr>
                <w:rFonts w:ascii="Arial" w:cs="Arial" w:eastAsia="Arial" w:hAnsi="Arial"/>
                <w:sz w:val="18"/>
                <w:szCs w:val="18"/>
                <w:color w:val="auto"/>
                <w:w w:val="99"/>
                <w:shd w:val="clear" w:color="auto" w:fill="D2EEF5"/>
              </w:rPr>
              <w:t>%</w:t>
            </w:r>
          </w:p>
        </w:tc>
      </w:tr>
      <w:tr>
        <w:trPr>
          <w:trHeight w:val="240"/>
        </w:trPr>
        <w:tc>
          <w:tcPr>
            <w:tcW w:w="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114,945</w:t>
            </w:r>
          </w:p>
        </w:tc>
        <w:tc>
          <w:tcPr>
            <w:tcW w:w="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r>
      <w:tr>
        <w:trPr>
          <w:trHeight w:val="252"/>
        </w:trPr>
        <w:tc>
          <w:tcPr>
            <w:tcW w:w="40" w:type="dxa"/>
            <w:vAlign w:val="bottom"/>
            <w:tcBorders>
              <w:bottom w:val="single" w:sz="8" w:color="D2EEF5"/>
            </w:tcBorders>
            <w:shd w:val="clear" w:color="auto" w:fill="D2EEF5"/>
          </w:tcPr>
          <w:p>
            <w:pPr>
              <w:spacing w:after="0"/>
              <w:rPr>
                <w:sz w:val="21"/>
                <w:szCs w:val="21"/>
                <w:color w:val="auto"/>
              </w:rPr>
            </w:pPr>
          </w:p>
        </w:tc>
        <w:tc>
          <w:tcPr>
            <w:tcW w:w="46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2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auto"/>
            </w:tcBorders>
            <w:shd w:val="clear" w:color="auto" w:fill="D2EEF5"/>
          </w:tcPr>
          <w:p>
            <w:pPr>
              <w:spacing w:after="0"/>
              <w:rPr>
                <w:sz w:val="21"/>
                <w:szCs w:val="21"/>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198,091</w:t>
            </w:r>
          </w:p>
        </w:tc>
        <w:tc>
          <w:tcPr>
            <w:tcW w:w="100" w:type="dxa"/>
            <w:vAlign w:val="bottom"/>
            <w:tcBorders>
              <w:bottom w:val="single" w:sz="8" w:color="auto"/>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w w:val="99"/>
                <w:shd w:val="clear" w:color="auto" w:fill="D2EEF5"/>
              </w:rPr>
              <w:t>%</w:t>
            </w:r>
          </w:p>
        </w:tc>
        <w:tc>
          <w:tcPr>
            <w:tcW w:w="6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auto"/>
            </w:tcBorders>
            <w:shd w:val="clear" w:color="auto" w:fill="D2EEF5"/>
          </w:tcPr>
          <w:p>
            <w:pPr>
              <w:spacing w:after="0"/>
              <w:rPr>
                <w:sz w:val="21"/>
                <w:szCs w:val="21"/>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191,930</w:t>
            </w:r>
          </w:p>
        </w:tc>
        <w:tc>
          <w:tcPr>
            <w:tcW w:w="10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auto"/>
            </w:tcBorders>
            <w:shd w:val="clear" w:color="auto" w:fill="D2EEF5"/>
          </w:tcPr>
          <w:p>
            <w:pPr>
              <w:ind w:left="20"/>
              <w:spacing w:after="0"/>
              <w:rPr>
                <w:sz w:val="20"/>
                <w:szCs w:val="20"/>
                <w:color w:val="auto"/>
              </w:rPr>
            </w:pPr>
            <w:r>
              <w:rPr>
                <w:rFonts w:ascii="Arial" w:cs="Arial" w:eastAsia="Arial" w:hAnsi="Arial"/>
                <w:sz w:val="18"/>
                <w:szCs w:val="18"/>
                <w:color w:val="auto"/>
                <w:w w:val="99"/>
                <w:shd w:val="clear" w:color="auto" w:fill="D2EEF5"/>
              </w:rPr>
              <w:t>%</w:t>
            </w:r>
          </w:p>
        </w:tc>
      </w:tr>
      <w:tr>
        <w:trPr>
          <w:trHeight w:val="263"/>
        </w:trPr>
        <w:tc>
          <w:tcPr>
            <w:tcW w:w="40" w:type="dxa"/>
            <w:vAlign w:val="bottom"/>
            <w:tcBorders>
              <w:bottom w:val="single" w:sz="8" w:color="D2EEF5"/>
            </w:tcBorders>
          </w:tcPr>
          <w:p>
            <w:pPr>
              <w:spacing w:after="0"/>
              <w:rPr>
                <w:sz w:val="22"/>
                <w:szCs w:val="22"/>
                <w:color w:val="auto"/>
              </w:rPr>
            </w:pPr>
          </w:p>
        </w:tc>
        <w:tc>
          <w:tcPr>
            <w:tcW w:w="4660" w:type="dxa"/>
            <w:vAlign w:val="bottom"/>
            <w:tcBorders>
              <w:bottom w:val="single" w:sz="8" w:color="D2EEF5"/>
            </w:tcBorders>
            <w:gridSpan w:val="2"/>
          </w:tcPr>
          <w:p>
            <w:pPr>
              <w:ind w:left="140"/>
              <w:spacing w:after="0"/>
              <w:rPr>
                <w:sz w:val="20"/>
                <w:szCs w:val="20"/>
                <w:color w:val="auto"/>
              </w:rPr>
            </w:pPr>
            <w:r>
              <w:rPr>
                <w:rFonts w:ascii="Arial" w:cs="Arial" w:eastAsia="Arial" w:hAnsi="Arial"/>
                <w:sz w:val="18"/>
                <w:szCs w:val="18"/>
                <w:color w:val="auto"/>
              </w:rPr>
              <w:t>Total gross loans</w:t>
            </w:r>
          </w:p>
        </w:tc>
        <w:tc>
          <w:tcPr>
            <w:tcW w:w="140" w:type="dxa"/>
            <w:vAlign w:val="bottom"/>
            <w:tcBorders>
              <w:bottom w:val="single" w:sz="8" w:color="D2EEF5"/>
            </w:tcBorders>
          </w:tcPr>
          <w:p>
            <w:pPr>
              <w:spacing w:after="0"/>
              <w:rPr>
                <w:sz w:val="22"/>
                <w:szCs w:val="22"/>
                <w:color w:val="auto"/>
              </w:rPr>
            </w:pPr>
          </w:p>
        </w:tc>
        <w:tc>
          <w:tcPr>
            <w:tcW w:w="1320" w:type="dxa"/>
            <w:vAlign w:val="bottom"/>
            <w:tcBorders>
              <w:bottom w:val="single" w:sz="8" w:color="D2EEF5"/>
            </w:tcBorders>
            <w:gridSpan w:val="3"/>
          </w:tcPr>
          <w:p>
            <w:pPr>
              <w:jc w:val="right"/>
              <w:ind w:right="100"/>
              <w:spacing w:after="0"/>
              <w:rPr>
                <w:sz w:val="20"/>
                <w:szCs w:val="20"/>
                <w:color w:val="auto"/>
              </w:rPr>
            </w:pPr>
            <w:r>
              <w:rPr>
                <w:rFonts w:ascii="Arial" w:cs="Arial" w:eastAsia="Arial" w:hAnsi="Arial"/>
                <w:sz w:val="18"/>
                <w:szCs w:val="18"/>
                <w:color w:val="auto"/>
              </w:rPr>
              <w:t>1,965,218</w:t>
            </w:r>
          </w:p>
        </w:tc>
        <w:tc>
          <w:tcPr>
            <w:tcW w:w="60" w:type="dxa"/>
            <w:vAlign w:val="bottom"/>
            <w:tcBorders>
              <w:bottom w:val="single" w:sz="8" w:color="D2EEF5"/>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D2EEF5"/>
            </w:tcBorders>
          </w:tcPr>
          <w:p>
            <w:pPr>
              <w:spacing w:after="0"/>
              <w:rPr>
                <w:sz w:val="22"/>
                <w:szCs w:val="22"/>
                <w:color w:val="auto"/>
              </w:rPr>
            </w:pPr>
          </w:p>
        </w:tc>
        <w:tc>
          <w:tcPr>
            <w:tcW w:w="140" w:type="dxa"/>
            <w:vAlign w:val="bottom"/>
            <w:tcBorders>
              <w:bottom w:val="single" w:sz="8" w:color="D2EEF5"/>
            </w:tcBorders>
          </w:tcPr>
          <w:p>
            <w:pPr>
              <w:spacing w:after="0"/>
              <w:rPr>
                <w:sz w:val="22"/>
                <w:szCs w:val="22"/>
                <w:color w:val="auto"/>
              </w:rPr>
            </w:pPr>
          </w:p>
        </w:tc>
        <w:tc>
          <w:tcPr>
            <w:tcW w:w="1320" w:type="dxa"/>
            <w:vAlign w:val="bottom"/>
            <w:tcBorders>
              <w:bottom w:val="single" w:sz="8" w:color="D2EEF5"/>
            </w:tcBorders>
            <w:gridSpan w:val="4"/>
          </w:tcPr>
          <w:p>
            <w:pPr>
              <w:jc w:val="right"/>
              <w:ind w:right="100"/>
              <w:spacing w:after="0"/>
              <w:rPr>
                <w:sz w:val="20"/>
                <w:szCs w:val="20"/>
                <w:color w:val="auto"/>
              </w:rPr>
            </w:pPr>
            <w:r>
              <w:rPr>
                <w:rFonts w:ascii="Arial" w:cs="Arial" w:eastAsia="Arial" w:hAnsi="Arial"/>
                <w:sz w:val="18"/>
                <w:szCs w:val="18"/>
                <w:color w:val="auto"/>
              </w:rPr>
              <w:t>1,778,644</w:t>
            </w:r>
          </w:p>
        </w:tc>
        <w:tc>
          <w:tcPr>
            <w:tcW w:w="80" w:type="dxa"/>
            <w:vAlign w:val="bottom"/>
            <w:tcBorders>
              <w:bottom w:val="single" w:sz="8" w:color="D2EEF5"/>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r>
      <w:tr>
        <w:trPr>
          <w:trHeight w:val="216"/>
        </w:trPr>
        <w:tc>
          <w:tcPr>
            <w:tcW w:w="40" w:type="dxa"/>
            <w:vAlign w:val="bottom"/>
            <w:tcBorders>
              <w:bottom w:val="single" w:sz="8" w:color="D2EEF5"/>
            </w:tcBorders>
            <w:shd w:val="clear" w:color="auto" w:fill="D2EEF5"/>
          </w:tcPr>
          <w:p>
            <w:pPr>
              <w:spacing w:after="0"/>
              <w:rPr>
                <w:sz w:val="18"/>
                <w:szCs w:val="18"/>
                <w:color w:val="auto"/>
              </w:rPr>
            </w:pPr>
          </w:p>
        </w:tc>
        <w:tc>
          <w:tcPr>
            <w:tcW w:w="4640" w:type="dxa"/>
            <w:vAlign w:val="bottom"/>
            <w:tcBorders>
              <w:bottom w:val="single" w:sz="8" w:color="D2EEF5"/>
            </w:tcBorders>
            <w:shd w:val="clear" w:color="auto" w:fill="D2EEF5"/>
          </w:tcPr>
          <w:p>
            <w:pPr>
              <w:spacing w:after="0" w:line="195" w:lineRule="exact"/>
              <w:rPr>
                <w:sz w:val="20"/>
                <w:szCs w:val="20"/>
                <w:color w:val="auto"/>
              </w:rPr>
            </w:pPr>
            <w:r>
              <w:rPr>
                <w:rFonts w:ascii="Arial" w:cs="Arial" w:eastAsia="Arial" w:hAnsi="Arial"/>
                <w:sz w:val="18"/>
                <w:szCs w:val="18"/>
                <w:color w:val="auto"/>
              </w:rPr>
              <w:t>Plus: Deferred costs</w:t>
            </w:r>
          </w:p>
        </w:tc>
        <w:tc>
          <w:tcPr>
            <w:tcW w:w="20" w:type="dxa"/>
            <w:vAlign w:val="bottom"/>
            <w:tcBorders>
              <w:bottom w:val="single" w:sz="8" w:color="D2EEF5"/>
            </w:tcBorders>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80" w:type="dxa"/>
            <w:vAlign w:val="bottom"/>
            <w:tcBorders>
              <w:bottom w:val="single" w:sz="8" w:color="auto"/>
            </w:tcBorders>
            <w:shd w:val="clear" w:color="auto" w:fill="D2EEF5"/>
          </w:tcPr>
          <w:p>
            <w:pPr>
              <w:spacing w:after="0"/>
              <w:rPr>
                <w:sz w:val="18"/>
                <w:szCs w:val="18"/>
                <w:color w:val="auto"/>
              </w:rPr>
            </w:pPr>
          </w:p>
        </w:tc>
        <w:tc>
          <w:tcPr>
            <w:tcW w:w="1140" w:type="dxa"/>
            <w:vAlign w:val="bottom"/>
            <w:tcBorders>
              <w:bottom w:val="single" w:sz="8" w:color="auto"/>
            </w:tcBorders>
            <w:shd w:val="clear" w:color="auto" w:fill="D2EEF5"/>
          </w:tcPr>
          <w:p>
            <w:pPr>
              <w:jc w:val="right"/>
              <w:spacing w:after="0" w:line="195" w:lineRule="exact"/>
              <w:rPr>
                <w:sz w:val="20"/>
                <w:szCs w:val="20"/>
                <w:color w:val="auto"/>
              </w:rPr>
            </w:pPr>
            <w:r>
              <w:rPr>
                <w:rFonts w:ascii="Arial" w:cs="Arial" w:eastAsia="Arial" w:hAnsi="Arial"/>
                <w:sz w:val="18"/>
                <w:szCs w:val="18"/>
                <w:color w:val="auto"/>
              </w:rPr>
              <w:t>7,630</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12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40" w:type="dxa"/>
            <w:vAlign w:val="bottom"/>
            <w:tcBorders>
              <w:bottom w:val="single" w:sz="8" w:color="auto"/>
            </w:tcBorders>
            <w:shd w:val="clear" w:color="auto" w:fill="D2EEF5"/>
          </w:tcPr>
          <w:p>
            <w:pPr>
              <w:spacing w:after="0"/>
              <w:rPr>
                <w:sz w:val="18"/>
                <w:szCs w:val="18"/>
                <w:color w:val="auto"/>
              </w:rPr>
            </w:pPr>
          </w:p>
        </w:tc>
        <w:tc>
          <w:tcPr>
            <w:tcW w:w="40" w:type="dxa"/>
            <w:vAlign w:val="bottom"/>
            <w:tcBorders>
              <w:bottom w:val="single" w:sz="8" w:color="auto"/>
            </w:tcBorders>
            <w:shd w:val="clear" w:color="auto" w:fill="D2EEF5"/>
          </w:tcPr>
          <w:p>
            <w:pPr>
              <w:spacing w:after="0"/>
              <w:rPr>
                <w:sz w:val="18"/>
                <w:szCs w:val="18"/>
                <w:color w:val="auto"/>
              </w:rPr>
            </w:pPr>
          </w:p>
        </w:tc>
        <w:tc>
          <w:tcPr>
            <w:tcW w:w="1140" w:type="dxa"/>
            <w:vAlign w:val="bottom"/>
            <w:tcBorders>
              <w:bottom w:val="single" w:sz="8" w:color="auto"/>
            </w:tcBorders>
            <w:shd w:val="clear" w:color="auto" w:fill="D2EEF5"/>
          </w:tcPr>
          <w:p>
            <w:pPr>
              <w:jc w:val="right"/>
              <w:spacing w:after="0" w:line="195" w:lineRule="exact"/>
              <w:rPr>
                <w:sz w:val="20"/>
                <w:szCs w:val="20"/>
                <w:color w:val="auto"/>
              </w:rPr>
            </w:pPr>
            <w:r>
              <w:rPr>
                <w:rFonts w:ascii="Arial" w:cs="Arial" w:eastAsia="Arial" w:hAnsi="Arial"/>
                <w:sz w:val="18"/>
                <w:szCs w:val="18"/>
                <w:color w:val="auto"/>
              </w:rPr>
              <w:t>2,183</w:t>
            </w:r>
          </w:p>
        </w:tc>
        <w:tc>
          <w:tcPr>
            <w:tcW w:w="100" w:type="dxa"/>
            <w:vAlign w:val="bottom"/>
            <w:tcBorders>
              <w:bottom w:val="single" w:sz="8" w:color="auto"/>
            </w:tcBorders>
            <w:shd w:val="clear" w:color="auto" w:fill="D2EEF5"/>
          </w:tcPr>
          <w:p>
            <w:pPr>
              <w:spacing w:after="0"/>
              <w:rPr>
                <w:sz w:val="18"/>
                <w:szCs w:val="18"/>
                <w:color w:val="auto"/>
              </w:rPr>
            </w:pPr>
          </w:p>
        </w:tc>
        <w:tc>
          <w:tcPr>
            <w:tcW w:w="80" w:type="dxa"/>
            <w:vAlign w:val="bottom"/>
            <w:tcBorders>
              <w:bottom w:val="single" w:sz="8" w:color="D2EEF5"/>
            </w:tcBorders>
            <w:shd w:val="clear" w:color="auto" w:fill="D2EEF5"/>
          </w:tcPr>
          <w:p>
            <w:pPr>
              <w:spacing w:after="0"/>
              <w:rPr>
                <w:sz w:val="18"/>
                <w:szCs w:val="18"/>
                <w:color w:val="auto"/>
              </w:rPr>
            </w:pPr>
          </w:p>
        </w:tc>
        <w:tc>
          <w:tcPr>
            <w:tcW w:w="1280" w:type="dxa"/>
            <w:vAlign w:val="bottom"/>
            <w:tcBorders>
              <w:bottom w:val="single" w:sz="8" w:color="D2EEF5"/>
            </w:tcBorders>
            <w:shd w:val="clear" w:color="auto" w:fill="D2EEF5"/>
          </w:tcPr>
          <w:p>
            <w:pPr>
              <w:spacing w:after="0"/>
              <w:rPr>
                <w:sz w:val="18"/>
                <w:szCs w:val="18"/>
                <w:color w:val="auto"/>
              </w:rPr>
            </w:pPr>
          </w:p>
        </w:tc>
        <w:tc>
          <w:tcPr>
            <w:tcW w:w="200" w:type="dxa"/>
            <w:vAlign w:val="bottom"/>
            <w:tcBorders>
              <w:bottom w:val="single" w:sz="8" w:color="D2EEF5"/>
            </w:tcBorders>
            <w:shd w:val="clear" w:color="auto" w:fill="D2EEF5"/>
          </w:tcPr>
          <w:p>
            <w:pPr>
              <w:spacing w:after="0"/>
              <w:rPr>
                <w:sz w:val="18"/>
                <w:szCs w:val="18"/>
                <w:color w:val="auto"/>
              </w:rPr>
            </w:pPr>
          </w:p>
        </w:tc>
      </w:tr>
      <w:tr>
        <w:trPr>
          <w:trHeight w:val="201"/>
        </w:trPr>
        <w:tc>
          <w:tcPr>
            <w:tcW w:w="40" w:type="dxa"/>
            <w:vAlign w:val="bottom"/>
          </w:tcPr>
          <w:p>
            <w:pPr>
              <w:spacing w:after="0"/>
              <w:rPr>
                <w:sz w:val="17"/>
                <w:szCs w:val="17"/>
                <w:color w:val="auto"/>
              </w:rPr>
            </w:pPr>
          </w:p>
        </w:tc>
        <w:tc>
          <w:tcPr>
            <w:tcW w:w="46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Total loans net of deferred costs</w:t>
            </w:r>
          </w:p>
        </w:tc>
        <w:tc>
          <w:tcPr>
            <w:tcW w:w="140" w:type="dxa"/>
            <w:vAlign w:val="bottom"/>
          </w:tcPr>
          <w:p>
            <w:pPr>
              <w:spacing w:after="0"/>
              <w:rPr>
                <w:sz w:val="17"/>
                <w:szCs w:val="17"/>
                <w:color w:val="auto"/>
              </w:rPr>
            </w:pPr>
          </w:p>
        </w:tc>
        <w:tc>
          <w:tcPr>
            <w:tcW w:w="132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1,972,848</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1,780,827</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2"/>
        </w:trPr>
        <w:tc>
          <w:tcPr>
            <w:tcW w:w="40" w:type="dxa"/>
            <w:vAlign w:val="bottom"/>
            <w:tcBorders>
              <w:bottom w:val="single" w:sz="8" w:color="D2EEF5"/>
            </w:tcBorders>
            <w:shd w:val="clear" w:color="auto" w:fill="D2EEF5"/>
          </w:tcPr>
          <w:p>
            <w:pPr>
              <w:spacing w:after="0"/>
              <w:rPr>
                <w:sz w:val="21"/>
                <w:szCs w:val="21"/>
                <w:color w:val="auto"/>
              </w:rPr>
            </w:pPr>
          </w:p>
        </w:tc>
        <w:tc>
          <w:tcPr>
            <w:tcW w:w="46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Less: Allowance for credit losses</w:t>
            </w:r>
          </w:p>
        </w:tc>
        <w:tc>
          <w:tcPr>
            <w:tcW w:w="2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auto"/>
            </w:tcBorders>
            <w:shd w:val="clear" w:color="auto" w:fill="D2EEF5"/>
          </w:tcPr>
          <w:p>
            <w:pPr>
              <w:spacing w:after="0"/>
              <w:rPr>
                <w:sz w:val="21"/>
                <w:szCs w:val="21"/>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auto"/>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D2EEF5"/>
            </w:tcBorders>
            <w:shd w:val="clear" w:color="auto" w:fill="D2EEF5"/>
          </w:tcPr>
          <w:p>
            <w:pPr>
              <w:spacing w:after="0"/>
              <w:rPr>
                <w:sz w:val="21"/>
                <w:szCs w:val="21"/>
                <w:color w:val="auto"/>
              </w:rPr>
            </w:pPr>
          </w:p>
        </w:tc>
        <w:tc>
          <w:tcPr>
            <w:tcW w:w="220" w:type="dxa"/>
            <w:vAlign w:val="bottom"/>
            <w:tcBorders>
              <w:bottom w:val="single" w:sz="8" w:color="D2EEF5"/>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auto"/>
            </w:tcBorders>
            <w:shd w:val="clear" w:color="auto" w:fill="D2EEF5"/>
          </w:tcPr>
          <w:p>
            <w:pPr>
              <w:spacing w:after="0"/>
              <w:rPr>
                <w:sz w:val="21"/>
                <w:szCs w:val="21"/>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D2EEF5"/>
            </w:tcBorders>
            <w:shd w:val="clear" w:color="auto" w:fill="D2EEF5"/>
          </w:tcPr>
          <w:p>
            <w:pPr>
              <w:spacing w:after="0"/>
              <w:rPr>
                <w:sz w:val="21"/>
                <w:szCs w:val="21"/>
                <w:color w:val="auto"/>
              </w:rPr>
            </w:pPr>
          </w:p>
        </w:tc>
        <w:tc>
          <w:tcPr>
            <w:tcW w:w="200" w:type="dxa"/>
            <w:vAlign w:val="bottom"/>
            <w:tcBorders>
              <w:bottom w:val="single" w:sz="8" w:color="D2EEF5"/>
            </w:tcBorders>
            <w:shd w:val="clear" w:color="auto" w:fill="D2EEF5"/>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Total net loans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1,948,778</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1,759,743</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Total loans held for investment net of deferred costs increased by $192.0 million or 10.8% at December 31, 2024 compared to December 31, 2023. The most significant growth was in the residential real estate and commercial real estate loan pools. Our loan portfolio continues to diversify as commercial and industrial loans continue to increase as a percentage to total loans. However, we do not expect any significant changes over the foreseeable future in the composition of our loan portfolio. Commercial real estate continues to be the main category of our portfolio, reflective of the market in which we operate.</w:t>
      </w:r>
    </w:p>
    <w:p>
      <w:pPr>
        <w:spacing w:after="0" w:line="18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growth experienced over the last couple of years is primarily due to implementation of our relationship-based banking model, our diversified business verticals, and the success of our relationship managers in competing for new</w:t>
      </w:r>
    </w:p>
    <w:p>
      <w:pPr>
        <w:spacing w:after="0" w:line="18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business in a highly competitive metropolitan area. Many of our larger loan clients have lengthy relationships with members of our senior management team or our relationship managers that date back to former institutions.</w:t>
      </w:r>
    </w:p>
    <w:p>
      <w:pPr>
        <w:spacing w:after="0" w:line="15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From a liquidity perspective, our loan portfolio provides us with additional liquidity due to repayments or unexpected prepayments. The following table shows maturities and sensitivity to interest rate changes for the loan portfolio at December 31,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Due in 1 year or</w:t>
            </w:r>
          </w:p>
        </w:tc>
        <w:tc>
          <w:tcPr>
            <w:tcW w:w="18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Due in 1 to 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Due after 5 to 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Due after 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7"/>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less</w:t>
            </w:r>
          </w:p>
        </w:tc>
        <w:tc>
          <w:tcPr>
            <w:tcW w:w="18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0"/>
        </w:trPr>
        <w:tc>
          <w:tcPr>
            <w:tcW w:w="2860" w:type="dxa"/>
            <w:vAlign w:val="bottom"/>
            <w:tcBorders>
              <w:top w:val="single" w:sz="8" w:color="D2EEF5"/>
            </w:tcBorders>
            <w:gridSpan w:val="4"/>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10,713</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64,513</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68,677</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auto"/>
            </w:tcBorders>
            <w:shd w:val="clear" w:color="auto" w:fill="D2EEF5"/>
          </w:tcPr>
          <w:p>
            <w:pPr>
              <w:spacing w:after="0"/>
              <w:rPr>
                <w:sz w:val="19"/>
                <w:szCs w:val="19"/>
                <w:color w:val="auto"/>
              </w:rPr>
            </w:pPr>
          </w:p>
        </w:tc>
        <w:tc>
          <w:tcPr>
            <w:tcW w:w="1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146,059</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3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289,961</w:t>
            </w: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378,704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666,276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1,136,417</w:t>
            </w:r>
          </w:p>
        </w:tc>
      </w:tr>
      <w:tr>
        <w:trPr>
          <w:trHeight w:val="240"/>
        </w:trPr>
        <w:tc>
          <w:tcPr>
            <w:tcW w:w="2860" w:type="dxa"/>
            <w:vAlign w:val="bottom"/>
            <w:gridSpan w:val="4"/>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2EEF5"/>
          </w:tcPr>
          <w:p>
            <w:pPr>
              <w:spacing w:after="0"/>
              <w:rPr>
                <w:sz w:val="20"/>
                <w:szCs w:val="20"/>
                <w:color w:val="auto"/>
              </w:rPr>
            </w:pP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7,726</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82,601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123,166</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44,818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258,311</w:t>
            </w: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82,438</w:t>
            </w:r>
          </w:p>
        </w:tc>
      </w:tr>
      <w:tr>
        <w:trPr>
          <w:trHeight w:val="240"/>
        </w:trPr>
        <w:tc>
          <w:tcPr>
            <w:tcW w:w="2860" w:type="dxa"/>
            <w:vAlign w:val="bottom"/>
            <w:gridSpan w:val="4"/>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D2EEF5"/>
          </w:tcPr>
          <w:p>
            <w:pPr>
              <w:spacing w:after="0"/>
              <w:rPr>
                <w:sz w:val="20"/>
                <w:szCs w:val="20"/>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2,179</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1,883</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19,118</w:t>
            </w:r>
          </w:p>
        </w:tc>
        <w:tc>
          <w:tcPr>
            <w:tcW w:w="6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60" w:type="dxa"/>
            <w:vAlign w:val="bottom"/>
            <w:tcBorders>
              <w:bottom w:val="single" w:sz="8" w:color="auto"/>
            </w:tcBorders>
            <w:shd w:val="clear" w:color="auto" w:fill="D2EEF5"/>
          </w:tcPr>
          <w:p>
            <w:pPr>
              <w:spacing w:after="0"/>
              <w:rPr>
                <w:sz w:val="20"/>
                <w:szCs w:val="20"/>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174,911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198,091</w:t>
            </w:r>
          </w:p>
        </w:tc>
      </w:tr>
      <w:tr>
        <w:trPr>
          <w:trHeight w:val="277"/>
        </w:trPr>
        <w:tc>
          <w:tcPr>
            <w:tcW w:w="14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Total gross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189,023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527,700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877,237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371,258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1,965,218</w:t>
            </w:r>
          </w:p>
        </w:tc>
      </w:tr>
      <w:tr>
        <w:trPr>
          <w:trHeight w:val="194"/>
        </w:trPr>
        <w:tc>
          <w:tcPr>
            <w:tcW w:w="14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D2EEF5"/>
            </w:tcBorders>
            <w:shd w:val="clear" w:color="auto" w:fill="D2EEF5"/>
          </w:tcPr>
          <w:p>
            <w:pPr>
              <w:spacing w:after="0"/>
              <w:rPr>
                <w:sz w:val="16"/>
                <w:szCs w:val="16"/>
                <w:color w:val="auto"/>
              </w:rPr>
            </w:pPr>
          </w:p>
        </w:tc>
        <w:tc>
          <w:tcPr>
            <w:tcW w:w="25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34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34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36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auto"/>
            </w:tcBorders>
            <w:shd w:val="clear" w:color="auto" w:fill="D2EEF5"/>
          </w:tcPr>
          <w:p>
            <w:pPr>
              <w:spacing w:after="0"/>
              <w:rPr>
                <w:sz w:val="16"/>
                <w:szCs w:val="16"/>
                <w:color w:val="auto"/>
              </w:rPr>
            </w:pPr>
          </w:p>
        </w:tc>
        <w:tc>
          <w:tcPr>
            <w:tcW w:w="160" w:type="dxa"/>
            <w:vAlign w:val="bottom"/>
            <w:tcBorders>
              <w:top w:val="single" w:sz="8" w:color="auto"/>
            </w:tcBorders>
            <w:shd w:val="clear" w:color="auto" w:fill="D2EEF5"/>
          </w:tcPr>
          <w:p>
            <w:pPr>
              <w:spacing w:after="0"/>
              <w:rPr>
                <w:sz w:val="16"/>
                <w:szCs w:val="16"/>
                <w:color w:val="auto"/>
              </w:rPr>
            </w:pPr>
          </w:p>
        </w:tc>
        <w:tc>
          <w:tcPr>
            <w:tcW w:w="136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340" w:type="dxa"/>
            <w:vAlign w:val="bottom"/>
            <w:tcBorders>
              <w:top w:val="single" w:sz="8" w:color="auto"/>
            </w:tcBorders>
            <w:shd w:val="clear" w:color="auto" w:fill="D2EEF5"/>
          </w:tcPr>
          <w:p>
            <w:pPr>
              <w:spacing w:after="0"/>
              <w:rPr>
                <w:sz w:val="16"/>
                <w:szCs w:val="16"/>
                <w:color w:val="auto"/>
              </w:rPr>
            </w:pP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Interest rate sensitivity:</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0"/>
        </w:trPr>
        <w:tc>
          <w:tcPr>
            <w:tcW w:w="140" w:type="dxa"/>
            <w:vAlign w:val="bottom"/>
            <w:shd w:val="clear" w:color="auto" w:fill="D2EEF5"/>
          </w:tcPr>
          <w:p>
            <w:pPr>
              <w:spacing w:after="0"/>
              <w:rPr>
                <w:sz w:val="20"/>
                <w:szCs w:val="20"/>
                <w:color w:val="auto"/>
              </w:rPr>
            </w:pPr>
          </w:p>
        </w:tc>
        <w:tc>
          <w:tcPr>
            <w:tcW w:w="272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Fixed interest rates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164,523</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203,861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163,800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282,633</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814,817</w:t>
            </w:r>
          </w:p>
        </w:tc>
      </w:tr>
      <w:tr>
        <w:trPr>
          <w:trHeight w:val="240"/>
        </w:trPr>
        <w:tc>
          <w:tcPr>
            <w:tcW w:w="140" w:type="dxa"/>
            <w:vAlign w:val="bottom"/>
            <w:tcBorders>
              <w:bottom w:val="single" w:sz="8" w:color="D2EEF5"/>
            </w:tcBorders>
          </w:tcPr>
          <w:p>
            <w:pPr>
              <w:spacing w:after="0"/>
              <w:rPr>
                <w:sz w:val="20"/>
                <w:szCs w:val="20"/>
                <w:color w:val="auto"/>
              </w:rPr>
            </w:pPr>
          </w:p>
        </w:tc>
        <w:tc>
          <w:tcPr>
            <w:tcW w:w="272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Floating or adjustable rates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323,839</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713,436</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88,626</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1,150,401</w:t>
            </w:r>
          </w:p>
        </w:tc>
      </w:tr>
      <w:tr>
        <w:trPr>
          <w:trHeight w:val="231"/>
        </w:trPr>
        <w:tc>
          <w:tcPr>
            <w:tcW w:w="14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25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Total gross loans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189,023</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527,700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877,236</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371,259</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3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1,965,218</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information presented in the table above is based upon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and rate modifications are discussed as well.</w:t>
      </w:r>
    </w:p>
    <w:p>
      <w:pPr>
        <w:spacing w:after="0" w:line="17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As of December 31, 2024, approximately 58.5% of the loans have adjustable/variable rates and 41.5%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78"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As of December 31, 2024, the commercial real estate portfolio was $1.1 billion or 57.8% of the total gross loans portfolio. At such date, $200.8 million of outstanding balances are characterized as owner occupied and $935.6 million are characterized as non- owner occupied. The retail sector was the largest segment comprising $305.0 million of the non-owner occupied commercial real estate portfolio.</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is a summary of the distribution of non-owner occupied commercial real estate loans held for investment by loan type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December 31, 2024</w:t>
            </w: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2"/>
        </w:trPr>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 Total</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Weighted Avg</w:t>
            </w:r>
          </w:p>
        </w:tc>
      </w:tr>
      <w:tr>
        <w:trPr>
          <w:trHeight w:val="230"/>
        </w:trPr>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19"/>
                <w:szCs w:val="19"/>
                <w:color w:val="auto"/>
              </w:rPr>
            </w:pP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 of Notes</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Gross Loans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Average Loan Size Non-Accruals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250"/>
              <w:spacing w:after="0" w:line="229" w:lineRule="exact"/>
              <w:rPr>
                <w:sz w:val="20"/>
                <w:szCs w:val="20"/>
                <w:color w:val="auto"/>
              </w:rPr>
            </w:pPr>
            <w:r>
              <w:rPr>
                <w:rFonts w:ascii="Arial" w:cs="Arial" w:eastAsia="Arial" w:hAnsi="Arial"/>
                <w:sz w:val="18"/>
                <w:szCs w:val="18"/>
                <w:b w:val="1"/>
                <w:bCs w:val="1"/>
                <w:color w:val="auto"/>
              </w:rPr>
              <w:t xml:space="preserve">LTV </w:t>
            </w:r>
            <w:r>
              <w:rPr>
                <w:rFonts w:ascii="Arial" w:cs="Arial" w:eastAsia="Arial" w:hAnsi="Arial"/>
                <w:sz w:val="24"/>
                <w:szCs w:val="24"/>
                <w:b w:val="1"/>
                <w:bCs w:val="1"/>
                <w:color w:val="auto"/>
                <w:vertAlign w:val="superscript"/>
              </w:rPr>
              <w:t>(1)</w:t>
            </w:r>
          </w:p>
        </w:tc>
      </w:tr>
      <w:tr>
        <w:trPr>
          <w:trHeight w:val="220"/>
        </w:trPr>
        <w:tc>
          <w:tcPr>
            <w:tcW w:w="23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Retail</w:t>
            </w:r>
          </w:p>
        </w:tc>
        <w:tc>
          <w:tcPr>
            <w:tcW w:w="280" w:type="dxa"/>
            <w:vAlign w:val="bottom"/>
            <w:tcBorders>
              <w:top w:val="single" w:sz="8" w:color="auto"/>
            </w:tcBorders>
            <w:shd w:val="clear" w:color="auto" w:fill="D2EEF5"/>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305,027</w:t>
            </w:r>
          </w:p>
        </w:tc>
        <w:tc>
          <w:tcPr>
            <w:tcW w:w="80" w:type="dxa"/>
            <w:vAlign w:val="bottom"/>
            <w:tcBorders>
              <w:top w:val="single" w:sz="8" w:color="D2EEF5"/>
            </w:tcBorders>
            <w:shd w:val="clear" w:color="auto" w:fill="D2EEF5"/>
          </w:tcPr>
          <w:p>
            <w:pPr>
              <w:spacing w:after="0"/>
              <w:rPr>
                <w:sz w:val="19"/>
                <w:szCs w:val="19"/>
                <w:color w:val="auto"/>
              </w:rPr>
            </w:pPr>
          </w:p>
        </w:tc>
        <w:tc>
          <w:tcPr>
            <w:tcW w:w="1220" w:type="dxa"/>
            <w:vAlign w:val="bottom"/>
            <w:tcBorders>
              <w:top w:val="single" w:sz="8" w:color="auto"/>
            </w:tcBorders>
            <w:shd w:val="clear" w:color="auto" w:fill="D2EEF5"/>
          </w:tcPr>
          <w:p>
            <w:pPr>
              <w:ind w:left="960"/>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D2EEF5"/>
            </w:tcBorders>
            <w:shd w:val="clear" w:color="auto" w:fill="D2EEF5"/>
          </w:tcPr>
          <w:p>
            <w:pPr>
              <w:spacing w:after="0"/>
              <w:rPr>
                <w:sz w:val="19"/>
                <w:szCs w:val="19"/>
                <w:color w:val="auto"/>
              </w:rPr>
            </w:pPr>
          </w:p>
        </w:tc>
        <w:tc>
          <w:tcPr>
            <w:tcW w:w="12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94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3,145</w:t>
            </w:r>
          </w:p>
        </w:tc>
        <w:tc>
          <w:tcPr>
            <w:tcW w:w="60" w:type="dxa"/>
            <w:vAlign w:val="bottom"/>
            <w:tcBorders>
              <w:top w:val="single" w:sz="8" w:color="D2EEF5"/>
            </w:tcBorders>
            <w:shd w:val="clear" w:color="auto" w:fill="D2EEF5"/>
          </w:tcPr>
          <w:p>
            <w:pPr>
              <w:spacing w:after="0"/>
              <w:rPr>
                <w:sz w:val="19"/>
                <w:szCs w:val="19"/>
                <w:color w:val="auto"/>
              </w:rPr>
            </w:pPr>
          </w:p>
        </w:tc>
        <w:tc>
          <w:tcPr>
            <w:tcW w:w="620" w:type="dxa"/>
            <w:vAlign w:val="bottom"/>
            <w:tcBorders>
              <w:top w:val="single" w:sz="8" w:color="auto"/>
            </w:tcBorders>
            <w:shd w:val="clear" w:color="auto" w:fill="D2EEF5"/>
          </w:tcPr>
          <w:p>
            <w:pPr>
              <w:jc w:val="right"/>
              <w:ind w:right="4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10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57%</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210,576</w:t>
            </w:r>
          </w:p>
        </w:tc>
        <w:tc>
          <w:tcPr>
            <w:tcW w:w="80" w:type="dxa"/>
            <w:vAlign w:val="bottom"/>
          </w:tcPr>
          <w:p>
            <w:pPr>
              <w:spacing w:after="0"/>
              <w:rPr>
                <w:sz w:val="20"/>
                <w:szCs w:val="20"/>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7,122</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0"/>
        </w:trPr>
        <w:tc>
          <w:tcPr>
            <w:tcW w:w="2300" w:type="dxa"/>
            <w:vAlign w:val="bottom"/>
            <w:shd w:val="clear" w:color="auto" w:fill="D2EEF5"/>
          </w:tcPr>
          <w:p>
            <w:pPr>
              <w:spacing w:after="0"/>
              <w:rPr>
                <w:sz w:val="20"/>
                <w:szCs w:val="20"/>
                <w:color w:val="auto"/>
              </w:rPr>
            </w:pPr>
            <w:r>
              <w:rPr>
                <w:rFonts w:ascii="Arial" w:cs="Arial" w:eastAsia="Arial" w:hAnsi="Arial"/>
                <w:sz w:val="18"/>
                <w:szCs w:val="18"/>
                <w:color w:val="auto"/>
              </w:rPr>
              <w:t>Warehouse</w:t>
            </w:r>
          </w:p>
        </w:tc>
        <w:tc>
          <w:tcPr>
            <w:tcW w:w="28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132,269</w:t>
            </w:r>
          </w:p>
        </w:tc>
        <w:tc>
          <w:tcPr>
            <w:tcW w:w="80" w:type="dxa"/>
            <w:vAlign w:val="bottom"/>
            <w:shd w:val="clear" w:color="auto" w:fill="D2EEF5"/>
          </w:tcPr>
          <w:p>
            <w:pPr>
              <w:spacing w:after="0"/>
              <w:rPr>
                <w:sz w:val="20"/>
                <w:szCs w:val="20"/>
                <w:color w:val="auto"/>
              </w:rPr>
            </w:pPr>
          </w:p>
        </w:tc>
        <w:tc>
          <w:tcPr>
            <w:tcW w:w="1220" w:type="dxa"/>
            <w:vAlign w:val="bottom"/>
            <w:shd w:val="clear" w:color="auto" w:fill="D2EEF5"/>
          </w:tcPr>
          <w:p>
            <w:pPr>
              <w:ind w:left="9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D2EEF5"/>
          </w:tcPr>
          <w:p>
            <w:pPr>
              <w:spacing w:after="0"/>
              <w:rPr>
                <w:sz w:val="20"/>
                <w:szCs w:val="20"/>
                <w:color w:val="auto"/>
              </w:rPr>
            </w:pPr>
          </w:p>
        </w:tc>
        <w:tc>
          <w:tcPr>
            <w:tcW w:w="1260" w:type="dxa"/>
            <w:vAlign w:val="bottom"/>
            <w:gridSpan w:val="2"/>
            <w:shd w:val="clear" w:color="auto" w:fill="D2EEF5"/>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D2EEF5"/>
          </w:tcPr>
          <w:p>
            <w:pPr>
              <w:spacing w:after="0"/>
              <w:rPr>
                <w:sz w:val="20"/>
                <w:szCs w:val="20"/>
                <w:color w:val="auto"/>
              </w:rPr>
            </w:pPr>
          </w:p>
        </w:tc>
        <w:tc>
          <w:tcPr>
            <w:tcW w:w="620" w:type="dxa"/>
            <w:vAlign w:val="bottom"/>
            <w:shd w:val="clear" w:color="auto" w:fill="D2EEF5"/>
          </w:tcPr>
          <w:p>
            <w:pPr>
              <w:spacing w:after="0"/>
              <w:rPr>
                <w:sz w:val="20"/>
                <w:szCs w:val="20"/>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54%</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Office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114,043</w:t>
            </w:r>
          </w:p>
        </w:tc>
        <w:tc>
          <w:tcPr>
            <w:tcW w:w="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54</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0"/>
        </w:trPr>
        <w:tc>
          <w:tcPr>
            <w:tcW w:w="2300" w:type="dxa"/>
            <w:vAlign w:val="bottom"/>
            <w:shd w:val="clear" w:color="auto" w:fill="D2EEF5"/>
          </w:tcPr>
          <w:p>
            <w:pPr>
              <w:spacing w:after="0"/>
              <w:rPr>
                <w:sz w:val="20"/>
                <w:szCs w:val="20"/>
                <w:color w:val="auto"/>
              </w:rPr>
            </w:pPr>
            <w:r>
              <w:rPr>
                <w:rFonts w:ascii="Arial" w:cs="Arial" w:eastAsia="Arial" w:hAnsi="Arial"/>
                <w:sz w:val="18"/>
                <w:szCs w:val="18"/>
                <w:color w:val="auto"/>
              </w:rPr>
              <w:t>Hotels/Motels</w:t>
            </w:r>
          </w:p>
        </w:tc>
        <w:tc>
          <w:tcPr>
            <w:tcW w:w="28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102,480</w:t>
            </w:r>
          </w:p>
        </w:tc>
        <w:tc>
          <w:tcPr>
            <w:tcW w:w="80" w:type="dxa"/>
            <w:vAlign w:val="bottom"/>
            <w:shd w:val="clear" w:color="auto" w:fill="D2EEF5"/>
          </w:tcPr>
          <w:p>
            <w:pPr>
              <w:spacing w:after="0"/>
              <w:rPr>
                <w:sz w:val="20"/>
                <w:szCs w:val="20"/>
                <w:color w:val="auto"/>
              </w:rPr>
            </w:pPr>
          </w:p>
        </w:tc>
        <w:tc>
          <w:tcPr>
            <w:tcW w:w="1220" w:type="dxa"/>
            <w:vAlign w:val="bottom"/>
            <w:shd w:val="clear" w:color="auto" w:fill="D2EEF5"/>
          </w:tcPr>
          <w:p>
            <w:pPr>
              <w:ind w:left="9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D2EEF5"/>
          </w:tcPr>
          <w:p>
            <w:pPr>
              <w:spacing w:after="0"/>
              <w:rPr>
                <w:sz w:val="20"/>
                <w:szCs w:val="20"/>
                <w:color w:val="auto"/>
              </w:rPr>
            </w:pPr>
          </w:p>
        </w:tc>
        <w:tc>
          <w:tcPr>
            <w:tcW w:w="1260" w:type="dxa"/>
            <w:vAlign w:val="bottom"/>
            <w:gridSpan w:val="2"/>
            <w:shd w:val="clear" w:color="auto" w:fill="D2EEF5"/>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5,124</w:t>
            </w:r>
          </w:p>
        </w:tc>
        <w:tc>
          <w:tcPr>
            <w:tcW w:w="60" w:type="dxa"/>
            <w:vAlign w:val="bottom"/>
            <w:shd w:val="clear" w:color="auto" w:fill="D2EEF5"/>
          </w:tcPr>
          <w:p>
            <w:pPr>
              <w:spacing w:after="0"/>
              <w:rPr>
                <w:sz w:val="20"/>
                <w:szCs w:val="20"/>
                <w:color w:val="auto"/>
              </w:rPr>
            </w:pPr>
          </w:p>
        </w:tc>
        <w:tc>
          <w:tcPr>
            <w:tcW w:w="620" w:type="dxa"/>
            <w:vAlign w:val="bottom"/>
            <w:shd w:val="clear" w:color="auto" w:fill="D2EEF5"/>
          </w:tcPr>
          <w:p>
            <w:pPr>
              <w:spacing w:after="0"/>
              <w:rPr>
                <w:sz w:val="20"/>
                <w:szCs w:val="20"/>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Construction/Land</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37,974</w:t>
            </w:r>
          </w:p>
        </w:tc>
        <w:tc>
          <w:tcPr>
            <w:tcW w:w="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19</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1,999</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0"/>
        </w:trPr>
        <w:tc>
          <w:tcPr>
            <w:tcW w:w="2300" w:type="dxa"/>
            <w:vAlign w:val="bottom"/>
            <w:shd w:val="clear" w:color="auto" w:fill="D2EEF5"/>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2EEF5"/>
          </w:tcPr>
          <w:p>
            <w:pPr>
              <w:spacing w:after="0"/>
              <w:rPr>
                <w:sz w:val="20"/>
                <w:szCs w:val="20"/>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33,212</w:t>
            </w:r>
          </w:p>
        </w:tc>
        <w:tc>
          <w:tcPr>
            <w:tcW w:w="80" w:type="dxa"/>
            <w:vAlign w:val="bottom"/>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ind w:left="9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D2EEF5"/>
          </w:tcPr>
          <w:p>
            <w:pPr>
              <w:spacing w:after="0"/>
              <w:rPr>
                <w:sz w:val="20"/>
                <w:szCs w:val="20"/>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94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1,582</w:t>
            </w:r>
          </w:p>
        </w:tc>
        <w:tc>
          <w:tcPr>
            <w:tcW w:w="60" w:type="dxa"/>
            <w:vAlign w:val="bottom"/>
            <w:shd w:val="clear" w:color="auto" w:fill="D2EEF5"/>
          </w:tcPr>
          <w:p>
            <w:pPr>
              <w:spacing w:after="0"/>
              <w:rPr>
                <w:sz w:val="20"/>
                <w:szCs w:val="20"/>
                <w:color w:val="auto"/>
              </w:rPr>
            </w:pPr>
          </w:p>
        </w:tc>
        <w:tc>
          <w:tcPr>
            <w:tcW w:w="620" w:type="dxa"/>
            <w:vAlign w:val="bottom"/>
            <w:tcBorders>
              <w:bottom w:val="single" w:sz="8" w:color="auto"/>
            </w:tcBorders>
            <w:shd w:val="clear" w:color="auto" w:fill="D2EEF5"/>
          </w:tcPr>
          <w:p>
            <w:pPr>
              <w:spacing w:after="0"/>
              <w:rPr>
                <w:sz w:val="20"/>
                <w:szCs w:val="20"/>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55%</w:t>
            </w:r>
          </w:p>
        </w:tc>
      </w:tr>
      <w:tr>
        <w:trPr>
          <w:trHeight w:val="234"/>
        </w:trPr>
        <w:tc>
          <w:tcPr>
            <w:tcW w:w="2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935,581</w:t>
            </w:r>
          </w:p>
        </w:tc>
        <w:tc>
          <w:tcPr>
            <w:tcW w:w="80" w:type="dxa"/>
            <w:vAlign w:val="bottom"/>
          </w:tcPr>
          <w:p>
            <w:pPr>
              <w:spacing w:after="0"/>
              <w:rPr>
                <w:sz w:val="20"/>
                <w:szCs w:val="20"/>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7,389</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6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
        </w:trPr>
        <w:tc>
          <w:tcPr>
            <w:tcW w:w="2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5" w:lineRule="exact"/>
        <w:rPr>
          <w:sz w:val="20"/>
          <w:szCs w:val="20"/>
          <w:color w:val="auto"/>
        </w:rPr>
      </w:pPr>
    </w:p>
    <w:p>
      <w:pPr>
        <w:ind w:left="280" w:hanging="280"/>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Loan-to-value is calculated based on the real estate value at the time of origination, renewal, or update, whichever is more recent.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4" w:lineRule="exact"/>
        <w:rPr>
          <w:rFonts w:ascii="Arial" w:cs="Arial" w:eastAsia="Arial" w:hAnsi="Arial"/>
          <w:sz w:val="18"/>
          <w:szCs w:val="18"/>
          <w:color w:val="auto"/>
        </w:rPr>
      </w:pPr>
    </w:p>
    <w:p>
      <w:pPr>
        <w:ind w:left="3180"/>
        <w:spacing w:after="0"/>
        <w:rPr>
          <w:rFonts w:ascii="Arial" w:cs="Arial" w:eastAsia="Arial" w:hAnsi="Arial"/>
          <w:sz w:val="18"/>
          <w:szCs w:val="18"/>
          <w:color w:val="auto"/>
        </w:rPr>
      </w:pPr>
      <w:r>
        <w:rPr>
          <w:rFonts w:ascii="Arial" w:cs="Arial" w:eastAsia="Arial" w:hAnsi="Arial"/>
          <w:sz w:val="20"/>
          <w:szCs w:val="20"/>
          <w:color w:val="auto"/>
        </w:rPr>
        <w:t>66USCB Financial Holdings, Inc.  2024 10-K</w:t>
      </w:r>
    </w:p>
    <w:p>
      <w:pPr>
        <w:sectPr>
          <w:pgSz w:w="12240" w:h="15840" w:orient="portrait"/>
          <w:cols w:equalWidth="0" w:num="1">
            <w:col w:w="10800"/>
          </w:cols>
          <w:pgMar w:left="720" w:top="355" w:right="720" w:bottom="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is a summary of non-owner occupied commercial real estate loans held for investment by collateral geographical location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December 31, 2024</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80"/>
        </w:trPr>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 xml:space="preserve">South Florida </w:t>
            </w:r>
            <w:r>
              <w:rPr>
                <w:rFonts w:ascii="Arial" w:cs="Arial" w:eastAsia="Arial" w:hAnsi="Arial"/>
                <w:sz w:val="24"/>
                <w:szCs w:val="24"/>
                <w:b w:val="1"/>
                <w:bCs w:val="1"/>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 xml:space="preserve">Rest of Florida </w:t>
            </w:r>
            <w:r>
              <w:rPr>
                <w:rFonts w:ascii="Arial" w:cs="Arial" w:eastAsia="Arial" w:hAnsi="Arial"/>
                <w:sz w:val="24"/>
                <w:szCs w:val="24"/>
                <w:b w:val="1"/>
                <w:bCs w:val="1"/>
                <w:color w:val="auto"/>
                <w:vertAlign w:val="superscript"/>
              </w:rPr>
              <w:t>(2)</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 xml:space="preserve">Outside Florida </w:t>
            </w:r>
            <w:r>
              <w:rPr>
                <w:rFonts w:ascii="Arial" w:cs="Arial" w:eastAsia="Arial" w:hAnsi="Arial"/>
                <w:sz w:val="24"/>
                <w:szCs w:val="24"/>
                <w:b w:val="1"/>
                <w:bCs w:val="1"/>
                <w:color w:val="auto"/>
                <w:vertAlign w:val="superscript"/>
              </w:rPr>
              <w:t>(3)</w:t>
            </w:r>
          </w:p>
        </w:tc>
      </w:tr>
      <w:tr>
        <w:trPr>
          <w:trHeight w:val="298"/>
        </w:trPr>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 of Non-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 of Non-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 of Non-</w:t>
            </w:r>
          </w:p>
        </w:tc>
      </w:tr>
      <w:tr>
        <w:trPr>
          <w:trHeight w:val="206"/>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Owner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Owner</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Owner</w:t>
            </w:r>
          </w:p>
        </w:tc>
      </w:tr>
      <w:tr>
        <w:trPr>
          <w:trHeight w:val="209"/>
        </w:trPr>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Occupied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Occupied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Occupied</w:t>
            </w:r>
          </w:p>
        </w:tc>
      </w:tr>
      <w:tr>
        <w:trPr>
          <w:trHeight w:val="227"/>
        </w:trPr>
        <w:tc>
          <w:tcPr>
            <w:tcW w:w="2560" w:type="dxa"/>
            <w:vAlign w:val="bottom"/>
            <w:tcBorders>
              <w:bottom w:val="single" w:sz="8" w:color="D2EE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2EEF5"/>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2EEF5"/>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c>
          <w:tcPr>
            <w:tcW w:w="4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2EEF5"/>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r>
      <w:tr>
        <w:trPr>
          <w:trHeight w:val="220"/>
        </w:trPr>
        <w:tc>
          <w:tcPr>
            <w:tcW w:w="2560" w:type="dxa"/>
            <w:vAlign w:val="bottom"/>
            <w:shd w:val="clear" w:color="auto" w:fill="D2EEF5"/>
          </w:tcPr>
          <w:p>
            <w:pPr>
              <w:spacing w:after="0"/>
              <w:rPr>
                <w:sz w:val="20"/>
                <w:szCs w:val="20"/>
                <w:color w:val="auto"/>
              </w:rPr>
            </w:pPr>
            <w:r>
              <w:rPr>
                <w:rFonts w:ascii="Arial" w:cs="Arial" w:eastAsia="Arial" w:hAnsi="Arial"/>
                <w:sz w:val="18"/>
                <w:szCs w:val="18"/>
                <w:color w:val="auto"/>
              </w:rPr>
              <w:t>Retail</w:t>
            </w:r>
          </w:p>
        </w:tc>
        <w:tc>
          <w:tcPr>
            <w:tcW w:w="260" w:type="dxa"/>
            <w:vAlign w:val="bottom"/>
            <w:shd w:val="clear" w:color="auto" w:fill="D2EEF5"/>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2EEF5"/>
          </w:tcPr>
          <w:p>
            <w:pPr>
              <w:ind w:left="600"/>
              <w:spacing w:after="0"/>
              <w:rPr>
                <w:sz w:val="20"/>
                <w:szCs w:val="20"/>
                <w:color w:val="auto"/>
              </w:rPr>
            </w:pPr>
            <w:r>
              <w:rPr>
                <w:rFonts w:ascii="Arial" w:cs="Arial" w:eastAsia="Arial" w:hAnsi="Arial"/>
                <w:sz w:val="18"/>
                <w:szCs w:val="18"/>
                <w:color w:val="auto"/>
              </w:rPr>
              <w:t>185,838</w:t>
            </w:r>
          </w:p>
        </w:tc>
        <w:tc>
          <w:tcPr>
            <w:tcW w:w="80" w:type="dxa"/>
            <w:vAlign w:val="bottom"/>
            <w:shd w:val="clear" w:color="auto" w:fill="D2EEF5"/>
          </w:tcPr>
          <w:p>
            <w:pPr>
              <w:spacing w:after="0"/>
              <w:rPr>
                <w:sz w:val="19"/>
                <w:szCs w:val="19"/>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47,007</w:t>
            </w:r>
          </w:p>
        </w:tc>
        <w:tc>
          <w:tcPr>
            <w:tcW w:w="80" w:type="dxa"/>
            <w:vAlign w:val="bottom"/>
            <w:shd w:val="clear" w:color="auto" w:fill="D2EEF5"/>
          </w:tcPr>
          <w:p>
            <w:pPr>
              <w:spacing w:after="0"/>
              <w:rPr>
                <w:sz w:val="19"/>
                <w:szCs w:val="19"/>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D2EEF5"/>
          </w:tcPr>
          <w:p>
            <w:pPr>
              <w:spacing w:after="0"/>
              <w:rPr>
                <w:sz w:val="19"/>
                <w:szCs w:val="19"/>
                <w:color w:val="auto"/>
              </w:rPr>
            </w:pPr>
          </w:p>
        </w:tc>
        <w:tc>
          <w:tcPr>
            <w:tcW w:w="320" w:type="dxa"/>
            <w:vAlign w:val="bottom"/>
            <w:gridSpan w:val="2"/>
            <w:shd w:val="clear" w:color="auto" w:fill="D2EEF5"/>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72,182</w:t>
            </w:r>
          </w:p>
        </w:tc>
        <w:tc>
          <w:tcPr>
            <w:tcW w:w="80" w:type="dxa"/>
            <w:vAlign w:val="bottom"/>
            <w:shd w:val="clear" w:color="auto" w:fill="D2EEF5"/>
          </w:tcPr>
          <w:p>
            <w:pPr>
              <w:spacing w:after="0"/>
              <w:rPr>
                <w:sz w:val="19"/>
                <w:szCs w:val="19"/>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Multifamily</w:t>
            </w:r>
          </w:p>
        </w:tc>
        <w:tc>
          <w:tcPr>
            <w:tcW w:w="260" w:type="dxa"/>
            <w:vAlign w:val="bottom"/>
          </w:tcPr>
          <w:p>
            <w:pPr>
              <w:spacing w:after="0"/>
              <w:rPr>
                <w:sz w:val="20"/>
                <w:szCs w:val="20"/>
                <w:color w:val="auto"/>
              </w:rPr>
            </w:pPr>
          </w:p>
        </w:tc>
        <w:tc>
          <w:tcPr>
            <w:tcW w:w="1300" w:type="dxa"/>
            <w:vAlign w:val="bottom"/>
          </w:tcPr>
          <w:p>
            <w:pPr>
              <w:ind w:left="600"/>
              <w:spacing w:after="0"/>
              <w:rPr>
                <w:sz w:val="20"/>
                <w:szCs w:val="20"/>
                <w:color w:val="auto"/>
              </w:rPr>
            </w:pPr>
            <w:r>
              <w:rPr>
                <w:rFonts w:ascii="Arial" w:cs="Arial" w:eastAsia="Arial" w:hAnsi="Arial"/>
                <w:sz w:val="18"/>
                <w:szCs w:val="18"/>
                <w:color w:val="auto"/>
              </w:rPr>
              <w:t>159,172</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51,404</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shd w:val="clear" w:color="auto" w:fill="D2EEF5"/>
          </w:tcPr>
          <w:p>
            <w:pPr>
              <w:spacing w:after="0"/>
              <w:rPr>
                <w:sz w:val="20"/>
                <w:szCs w:val="20"/>
                <w:color w:val="auto"/>
              </w:rPr>
            </w:pPr>
            <w:r>
              <w:rPr>
                <w:rFonts w:ascii="Arial" w:cs="Arial" w:eastAsia="Arial" w:hAnsi="Arial"/>
                <w:sz w:val="18"/>
                <w:szCs w:val="18"/>
                <w:color w:val="auto"/>
              </w:rPr>
              <w:t>Warehouse</w:t>
            </w:r>
          </w:p>
        </w:tc>
        <w:tc>
          <w:tcPr>
            <w:tcW w:w="260" w:type="dxa"/>
            <w:vAlign w:val="bottom"/>
            <w:shd w:val="clear" w:color="auto" w:fill="D2EEF5"/>
          </w:tcPr>
          <w:p>
            <w:pPr>
              <w:spacing w:after="0"/>
              <w:rPr>
                <w:sz w:val="20"/>
                <w:szCs w:val="20"/>
                <w:color w:val="auto"/>
              </w:rPr>
            </w:pPr>
          </w:p>
        </w:tc>
        <w:tc>
          <w:tcPr>
            <w:tcW w:w="1300" w:type="dxa"/>
            <w:vAlign w:val="bottom"/>
            <w:shd w:val="clear" w:color="auto" w:fill="D2EEF5"/>
          </w:tcPr>
          <w:p>
            <w:pPr>
              <w:ind w:left="700"/>
              <w:spacing w:after="0"/>
              <w:rPr>
                <w:sz w:val="20"/>
                <w:szCs w:val="20"/>
                <w:color w:val="auto"/>
              </w:rPr>
            </w:pPr>
            <w:r>
              <w:rPr>
                <w:rFonts w:ascii="Arial" w:cs="Arial" w:eastAsia="Arial" w:hAnsi="Arial"/>
                <w:sz w:val="18"/>
                <w:szCs w:val="18"/>
                <w:color w:val="auto"/>
              </w:rPr>
              <w:t>71,438</w:t>
            </w:r>
          </w:p>
        </w:tc>
        <w:tc>
          <w:tcPr>
            <w:tcW w:w="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53,923</w:t>
            </w:r>
          </w:p>
        </w:tc>
        <w:tc>
          <w:tcPr>
            <w:tcW w:w="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6,908</w:t>
            </w:r>
          </w:p>
        </w:tc>
        <w:tc>
          <w:tcPr>
            <w:tcW w:w="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Office</w:t>
            </w:r>
          </w:p>
        </w:tc>
        <w:tc>
          <w:tcPr>
            <w:tcW w:w="26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rPr>
              <w:t>75,813</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29,401</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40"/>
        </w:trPr>
        <w:tc>
          <w:tcPr>
            <w:tcW w:w="2560" w:type="dxa"/>
            <w:vAlign w:val="bottom"/>
            <w:shd w:val="clear" w:color="auto" w:fill="D2EEF5"/>
          </w:tcPr>
          <w:p>
            <w:pPr>
              <w:spacing w:after="0"/>
              <w:rPr>
                <w:sz w:val="20"/>
                <w:szCs w:val="20"/>
                <w:color w:val="auto"/>
              </w:rPr>
            </w:pPr>
            <w:r>
              <w:rPr>
                <w:rFonts w:ascii="Arial" w:cs="Arial" w:eastAsia="Arial" w:hAnsi="Arial"/>
                <w:sz w:val="18"/>
                <w:szCs w:val="18"/>
                <w:color w:val="auto"/>
              </w:rPr>
              <w:t>Hotels/Motels</w:t>
            </w:r>
          </w:p>
        </w:tc>
        <w:tc>
          <w:tcPr>
            <w:tcW w:w="260" w:type="dxa"/>
            <w:vAlign w:val="bottom"/>
            <w:shd w:val="clear" w:color="auto" w:fill="D2EEF5"/>
          </w:tcPr>
          <w:p>
            <w:pPr>
              <w:spacing w:after="0"/>
              <w:rPr>
                <w:sz w:val="20"/>
                <w:szCs w:val="20"/>
                <w:color w:val="auto"/>
              </w:rPr>
            </w:pPr>
          </w:p>
        </w:tc>
        <w:tc>
          <w:tcPr>
            <w:tcW w:w="1300" w:type="dxa"/>
            <w:vAlign w:val="bottom"/>
            <w:shd w:val="clear" w:color="auto" w:fill="D2EEF5"/>
          </w:tcPr>
          <w:p>
            <w:pPr>
              <w:ind w:left="700"/>
              <w:spacing w:after="0"/>
              <w:rPr>
                <w:sz w:val="20"/>
                <w:szCs w:val="20"/>
                <w:color w:val="auto"/>
              </w:rPr>
            </w:pPr>
            <w:r>
              <w:rPr>
                <w:rFonts w:ascii="Arial" w:cs="Arial" w:eastAsia="Arial" w:hAnsi="Arial"/>
                <w:sz w:val="18"/>
                <w:szCs w:val="18"/>
                <w:color w:val="auto"/>
              </w:rPr>
              <w:t>74,439</w:t>
            </w:r>
          </w:p>
        </w:tc>
        <w:tc>
          <w:tcPr>
            <w:tcW w:w="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4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28,041</w:t>
            </w:r>
          </w:p>
        </w:tc>
        <w:tc>
          <w:tcPr>
            <w:tcW w:w="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Construction/Land</w:t>
            </w:r>
          </w:p>
        </w:tc>
        <w:tc>
          <w:tcPr>
            <w:tcW w:w="26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rPr>
              <w:t>33,277</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4,697</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2EEF5"/>
          </w:tcPr>
          <w:p>
            <w:pPr>
              <w:spacing w:after="0"/>
              <w:rPr>
                <w:sz w:val="20"/>
                <w:szCs w:val="20"/>
                <w:color w:val="auto"/>
              </w:rPr>
            </w:pPr>
          </w:p>
        </w:tc>
        <w:tc>
          <w:tcPr>
            <w:tcW w:w="1300" w:type="dxa"/>
            <w:vAlign w:val="bottom"/>
            <w:tcBorders>
              <w:bottom w:val="single" w:sz="8" w:color="auto"/>
            </w:tcBorders>
            <w:shd w:val="clear" w:color="auto" w:fill="D2EEF5"/>
          </w:tcPr>
          <w:p>
            <w:pPr>
              <w:ind w:left="700"/>
              <w:spacing w:after="0"/>
              <w:rPr>
                <w:sz w:val="20"/>
                <w:szCs w:val="20"/>
                <w:color w:val="auto"/>
              </w:rPr>
            </w:pPr>
            <w:r>
              <w:rPr>
                <w:rFonts w:ascii="Arial" w:cs="Arial" w:eastAsia="Arial" w:hAnsi="Arial"/>
                <w:sz w:val="18"/>
                <w:szCs w:val="18"/>
                <w:color w:val="auto"/>
              </w:rPr>
              <w:t>26,294</w:t>
            </w:r>
          </w:p>
        </w:tc>
        <w:tc>
          <w:tcPr>
            <w:tcW w:w="80" w:type="dxa"/>
            <w:vAlign w:val="bottom"/>
            <w:tcBorders>
              <w:bottom w:val="single" w:sz="8" w:color="D2EEF5"/>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4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6,919</w:t>
            </w:r>
          </w:p>
        </w:tc>
        <w:tc>
          <w:tcPr>
            <w:tcW w:w="80" w:type="dxa"/>
            <w:vAlign w:val="bottom"/>
            <w:tcBorders>
              <w:bottom w:val="single" w:sz="8" w:color="D2EEF5"/>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spacing w:after="0"/>
              <w:rPr>
                <w:sz w:val="20"/>
                <w:szCs w:val="20"/>
                <w:color w:val="auto"/>
              </w:rPr>
            </w:pP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0%</w:t>
            </w:r>
          </w:p>
        </w:tc>
      </w:tr>
      <w:tr>
        <w:trPr>
          <w:trHeight w:val="234"/>
        </w:trPr>
        <w:tc>
          <w:tcPr>
            <w:tcW w:w="25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600"/>
              <w:spacing w:after="0"/>
              <w:rPr>
                <w:sz w:val="20"/>
                <w:szCs w:val="20"/>
                <w:color w:val="auto"/>
              </w:rPr>
            </w:pPr>
            <w:r>
              <w:rPr>
                <w:rFonts w:ascii="Arial" w:cs="Arial" w:eastAsia="Arial" w:hAnsi="Arial"/>
                <w:sz w:val="18"/>
                <w:szCs w:val="18"/>
                <w:color w:val="auto"/>
              </w:rPr>
              <w:t>626,271</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221,392</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87,919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442849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84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348.7pt,10.75pt" o:allowincell="f" strokecolor="#000000" strokeweight="0.4799pt"/>
            </w:pict>
          </mc:Fallback>
        </mc:AlternateContent>
      </w:r>
    </w:p>
    <w:p>
      <w:pPr>
        <w:spacing w:after="0" w:line="206" w:lineRule="exact"/>
        <w:rPr>
          <w:sz w:val="20"/>
          <w:szCs w:val="20"/>
          <w:color w:val="auto"/>
        </w:rPr>
      </w:pPr>
    </w:p>
    <w:p>
      <w:pPr>
        <w:ind w:left="280" w:hanging="280"/>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Miami-Dade, Broward, and West Palm Beach counties</w:t>
      </w:r>
    </w:p>
    <w:p>
      <w:pPr>
        <w:spacing w:after="0" w:line="37" w:lineRule="exact"/>
        <w:rPr>
          <w:rFonts w:ascii="Arial" w:cs="Arial" w:eastAsia="Arial" w:hAnsi="Arial"/>
          <w:sz w:val="18"/>
          <w:szCs w:val="18"/>
          <w:color w:val="auto"/>
        </w:rPr>
      </w:pPr>
    </w:p>
    <w:p>
      <w:pPr>
        <w:ind w:left="280" w:hanging="280"/>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Florida counties</w:t>
      </w:r>
    </w:p>
    <w:p>
      <w:pPr>
        <w:spacing w:after="0" w:line="33" w:lineRule="exact"/>
        <w:rPr>
          <w:rFonts w:ascii="Arial" w:cs="Arial" w:eastAsia="Arial" w:hAnsi="Arial"/>
          <w:sz w:val="18"/>
          <w:szCs w:val="18"/>
          <w:color w:val="auto"/>
        </w:rPr>
      </w:pPr>
    </w:p>
    <w:p>
      <w:pPr>
        <w:ind w:left="280" w:hanging="280"/>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the U.S.</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of December 31, 2024, 67% of the non-owner occupied CRE portfolio were located within South Florida, and only 12 loan notes with an outstanding principal balance of $87.9 million are located outside Florida. Balances of non-owner occupied CRE loans outside Florida were: $67.2 million in New York, $6.9 million in Georgia, $4.4 million in Arkansas, $4.2 million in North Carolina, $2.8 million in Indiana, and $2.5 million in New Jersey.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Quality</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internal credit risk grades used by the Company to assess the credit worthiness of a loan are shown below:</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Pass </w:t>
      </w:r>
      <w:r>
        <w:rPr>
          <w:rFonts w:ascii="Arial" w:cs="Arial" w:eastAsia="Arial" w:hAnsi="Arial"/>
          <w:sz w:val="20"/>
          <w:szCs w:val="20"/>
          <w:color w:val="auto"/>
        </w:rPr>
        <w:t>– Loans indicate different levels of satisfactory financial condition and performance.</w:t>
      </w:r>
    </w:p>
    <w:p>
      <w:pPr>
        <w:spacing w:after="0" w:line="231" w:lineRule="exact"/>
        <w:rPr>
          <w:sz w:val="20"/>
          <w:szCs w:val="20"/>
          <w:color w:val="auto"/>
        </w:rPr>
      </w:pPr>
    </w:p>
    <w:p>
      <w:pPr>
        <w:ind w:left="720" w:right="160"/>
        <w:spacing w:after="0" w:line="263" w:lineRule="auto"/>
        <w:rPr>
          <w:sz w:val="20"/>
          <w:szCs w:val="20"/>
          <w:color w:val="auto"/>
        </w:rPr>
      </w:pPr>
      <w:r>
        <w:rPr>
          <w:rFonts w:ascii="Arial" w:cs="Arial" w:eastAsia="Arial" w:hAnsi="Arial"/>
          <w:sz w:val="20"/>
          <w:szCs w:val="20"/>
          <w:b w:val="1"/>
          <w:bCs w:val="1"/>
          <w:color w:val="auto"/>
        </w:rPr>
        <w:t xml:space="preserve">Special Mention </w:t>
      </w:r>
      <w:r>
        <w:rPr>
          <w:rFonts w:ascii="Arial" w:cs="Arial" w:eastAsia="Arial" w:hAnsi="Arial"/>
          <w:sz w:val="20"/>
          <w:szCs w:val="20"/>
          <w:color w:val="auto"/>
        </w:rPr>
        <w:t>– Loans classified as special mention have a potential weakness that deserves management’s</w:t>
      </w:r>
      <w:r>
        <w:rPr>
          <w:rFonts w:ascii="Arial" w:cs="Arial" w:eastAsia="Arial" w:hAnsi="Arial"/>
          <w:sz w:val="20"/>
          <w:szCs w:val="20"/>
          <w:b w:val="1"/>
          <w:bCs w:val="1"/>
          <w:color w:val="auto"/>
        </w:rPr>
        <w:t xml:space="preserve"> </w:t>
      </w:r>
      <w:r>
        <w:rPr>
          <w:rFonts w:ascii="Arial" w:cs="Arial" w:eastAsia="Arial" w:hAnsi="Arial"/>
          <w:sz w:val="20"/>
          <w:szCs w:val="20"/>
          <w:color w:val="auto"/>
        </w:rPr>
        <w:t>close attention. If left uncorrected, these potential weaknesses may result in deterioration of the repayment prospects for the loan or of the institution’s credit position at some future date.</w:t>
      </w:r>
    </w:p>
    <w:p>
      <w:pPr>
        <w:spacing w:after="0" w:line="163" w:lineRule="exact"/>
        <w:rPr>
          <w:sz w:val="20"/>
          <w:szCs w:val="20"/>
          <w:color w:val="auto"/>
        </w:rPr>
      </w:pPr>
    </w:p>
    <w:p>
      <w:pPr>
        <w:jc w:val="both"/>
        <w:ind w:left="720" w:right="180"/>
        <w:spacing w:after="0" w:line="255" w:lineRule="auto"/>
        <w:rPr>
          <w:sz w:val="20"/>
          <w:szCs w:val="20"/>
          <w:color w:val="auto"/>
        </w:rPr>
      </w:pPr>
      <w:r>
        <w:rPr>
          <w:rFonts w:ascii="Arial" w:cs="Arial" w:eastAsia="Arial" w:hAnsi="Arial"/>
          <w:sz w:val="20"/>
          <w:szCs w:val="20"/>
          <w:b w:val="1"/>
          <w:bCs w:val="1"/>
          <w:color w:val="auto"/>
        </w:rPr>
        <w:t xml:space="preserve">Substandard </w:t>
      </w:r>
      <w:r>
        <w:rPr>
          <w:rFonts w:ascii="Arial" w:cs="Arial" w:eastAsia="Arial" w:hAnsi="Arial"/>
          <w:sz w:val="20"/>
          <w:szCs w:val="20"/>
          <w:color w:val="auto"/>
        </w:rPr>
        <w:t>– Loans classified as substandard are inadequately protected by the current net worth and paying</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5" w:lineRule="exact"/>
        <w:rPr>
          <w:sz w:val="20"/>
          <w:szCs w:val="20"/>
          <w:color w:val="auto"/>
        </w:rPr>
      </w:pPr>
    </w:p>
    <w:p>
      <w:pPr>
        <w:jc w:val="both"/>
        <w:ind w:left="720" w:right="20"/>
        <w:spacing w:after="0" w:line="262" w:lineRule="auto"/>
        <w:rPr>
          <w:sz w:val="20"/>
          <w:szCs w:val="20"/>
          <w:color w:val="auto"/>
        </w:rPr>
      </w:pPr>
      <w:r>
        <w:rPr>
          <w:rFonts w:ascii="Arial" w:cs="Arial" w:eastAsia="Arial" w:hAnsi="Arial"/>
          <w:sz w:val="20"/>
          <w:szCs w:val="20"/>
          <w:b w:val="1"/>
          <w:bCs w:val="1"/>
          <w:color w:val="auto"/>
        </w:rPr>
        <w:t xml:space="preserve">Doubtful </w:t>
      </w:r>
      <w:r>
        <w:rPr>
          <w:rFonts w:ascii="Arial" w:cs="Arial" w:eastAsia="Arial" w:hAnsi="Arial"/>
          <w:sz w:val="20"/>
          <w:szCs w:val="20"/>
          <w:color w:val="auto"/>
        </w:rPr>
        <w:t>– Loans classified as doubtful have all the weaknesses inherent in those classified at substandard,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added characteristic that the weaknesses make collection or liquidation in full on the basis of currently existing facts, conditions, and values, highly questionable and improbable.</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Loss </w:t>
      </w:r>
      <w:r>
        <w:rPr>
          <w:rFonts w:ascii="Arial" w:cs="Arial" w:eastAsia="Arial" w:hAnsi="Arial"/>
          <w:sz w:val="20"/>
          <w:szCs w:val="20"/>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67" w:name="page68"/>
    <w:bookmarkEnd w:id="67"/>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Loan credit exposures by internally assigned grades are as follows for the dates indicated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1130"/>
              <w:spacing w:after="0"/>
              <w:rPr>
                <w:sz w:val="20"/>
                <w:szCs w:val="20"/>
                <w:color w:val="auto"/>
              </w:rPr>
            </w:pPr>
            <w:r>
              <w:rPr>
                <w:rFonts w:ascii="Arial" w:cs="Arial" w:eastAsia="Arial" w:hAnsi="Arial"/>
                <w:sz w:val="18"/>
                <w:szCs w:val="18"/>
                <w:b w:val="1"/>
                <w:bCs w:val="1"/>
                <w:color w:val="auto"/>
                <w:w w:val="99"/>
              </w:rPr>
              <w:t>December 31, 2024</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0"/>
        </w:trPr>
        <w:tc>
          <w:tcPr>
            <w:tcW w:w="32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Pass</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Special Mention</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Substandard</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20"/>
        </w:trPr>
        <w:tc>
          <w:tcPr>
            <w:tcW w:w="32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D2EEF5"/>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289,401</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720" w:type="dxa"/>
            <w:vAlign w:val="bottom"/>
            <w:shd w:val="clear" w:color="auto" w:fill="D2EEF5"/>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20" w:type="dxa"/>
            <w:vAlign w:val="bottom"/>
            <w:shd w:val="clear" w:color="auto" w:fill="D2EEF5"/>
          </w:tcPr>
          <w:p>
            <w:pPr>
              <w:jc w:val="right"/>
              <w:ind w:right="10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289,961</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1,133,965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1,136,417</w:t>
            </w:r>
          </w:p>
        </w:tc>
      </w:tr>
      <w:tr>
        <w:trPr>
          <w:trHeight w:val="240"/>
        </w:trPr>
        <w:tc>
          <w:tcPr>
            <w:tcW w:w="32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D2EEF5"/>
          </w:tcPr>
          <w:p>
            <w:pPr>
              <w:spacing w:after="0"/>
              <w:rPr>
                <w:sz w:val="20"/>
                <w:szCs w:val="20"/>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256,031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72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258,311</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82,438</w:t>
            </w:r>
          </w:p>
        </w:tc>
      </w:tr>
      <w:tr>
        <w:trPr>
          <w:trHeight w:val="240"/>
        </w:trPr>
        <w:tc>
          <w:tcPr>
            <w:tcW w:w="32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300" w:type="dxa"/>
            <w:vAlign w:val="bottom"/>
            <w:tcBorders>
              <w:bottom w:val="single" w:sz="8" w:color="auto"/>
            </w:tcBorders>
            <w:shd w:val="clear" w:color="auto" w:fill="D2EEF5"/>
          </w:tcPr>
          <w:p>
            <w:pPr>
              <w:spacing w:after="0"/>
              <w:rPr>
                <w:sz w:val="20"/>
                <w:szCs w:val="20"/>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196,101</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1,990</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198,091</w:t>
            </w:r>
          </w:p>
        </w:tc>
      </w:tr>
      <w:tr>
        <w:trPr>
          <w:trHeight w:val="237"/>
        </w:trPr>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1,957,936</w:t>
            </w:r>
          </w:p>
        </w:tc>
        <w:tc>
          <w:tcPr>
            <w:tcW w:w="80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7,282</w:t>
            </w:r>
          </w:p>
        </w:tc>
        <w:tc>
          <w:tcPr>
            <w:tcW w:w="1300" w:type="dxa"/>
            <w:vAlign w:val="bottom"/>
            <w:gridSpan w:val="3"/>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1,965,218</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8"/>
          </w:tcPr>
          <w:p>
            <w:pPr>
              <w:jc w:val="right"/>
              <w:ind w:right="1090"/>
              <w:spacing w:after="0"/>
              <w:rPr>
                <w:sz w:val="20"/>
                <w:szCs w:val="20"/>
                <w:color w:val="auto"/>
              </w:rPr>
            </w:pPr>
            <w:r>
              <w:rPr>
                <w:rFonts w:ascii="Arial" w:cs="Arial" w:eastAsia="Arial" w:hAnsi="Arial"/>
                <w:sz w:val="18"/>
                <w:szCs w:val="18"/>
                <w:b w:val="1"/>
                <w:bCs w:val="1"/>
                <w:color w:val="auto"/>
                <w:w w:val="99"/>
              </w:rPr>
              <w:t>December 31, 2023</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0"/>
        </w:trPr>
        <w:tc>
          <w:tcPr>
            <w:tcW w:w="32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Pass</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Special Mention</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Substandard</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20"/>
        </w:trPr>
        <w:tc>
          <w:tcPr>
            <w:tcW w:w="32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D2EEF5"/>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204,127</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680" w:type="dxa"/>
            <w:vAlign w:val="bottom"/>
            <w:shd w:val="clear" w:color="auto" w:fill="D2EEF5"/>
          </w:tcPr>
          <w:p>
            <w:pPr>
              <w:jc w:val="right"/>
              <w:ind w:right="4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180" w:type="dxa"/>
            <w:vAlign w:val="bottom"/>
            <w:shd w:val="clear" w:color="auto" w:fill="D2EEF5"/>
          </w:tcPr>
          <w:p>
            <w:pPr>
              <w:jc w:val="right"/>
              <w:ind w:right="99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204,419</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1,040,032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1,047,593</w:t>
            </w:r>
          </w:p>
        </w:tc>
      </w:tr>
      <w:tr>
        <w:trPr>
          <w:trHeight w:val="240"/>
        </w:trPr>
        <w:tc>
          <w:tcPr>
            <w:tcW w:w="32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D2EEF5"/>
          </w:tcPr>
          <w:p>
            <w:pPr>
              <w:spacing w:after="0"/>
              <w:rPr>
                <w:sz w:val="20"/>
                <w:szCs w:val="20"/>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218,129</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1,628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180" w:type="dxa"/>
            <w:vAlign w:val="bottom"/>
            <w:shd w:val="clear" w:color="auto" w:fill="D2EEF5"/>
          </w:tcPr>
          <w:p>
            <w:pPr>
              <w:spacing w:after="0"/>
              <w:rPr>
                <w:sz w:val="20"/>
                <w:szCs w:val="20"/>
                <w:color w:val="auto"/>
              </w:rPr>
            </w:pP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219,757</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114,945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114,945</w:t>
            </w:r>
          </w:p>
        </w:tc>
      </w:tr>
      <w:tr>
        <w:trPr>
          <w:trHeight w:val="240"/>
        </w:trPr>
        <w:tc>
          <w:tcPr>
            <w:tcW w:w="32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300" w:type="dxa"/>
            <w:vAlign w:val="bottom"/>
            <w:tcBorders>
              <w:bottom w:val="single" w:sz="8" w:color="auto"/>
            </w:tcBorders>
            <w:shd w:val="clear" w:color="auto" w:fill="D2EEF5"/>
          </w:tcPr>
          <w:p>
            <w:pPr>
              <w:spacing w:after="0"/>
              <w:rPr>
                <w:sz w:val="20"/>
                <w:szCs w:val="20"/>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191,930</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180" w:type="dxa"/>
            <w:vAlign w:val="bottom"/>
            <w:tcBorders>
              <w:bottom w:val="single" w:sz="8" w:color="auto"/>
            </w:tcBorders>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191,930</w:t>
            </w:r>
          </w:p>
        </w:tc>
      </w:tr>
      <w:tr>
        <w:trPr>
          <w:trHeight w:val="237"/>
        </w:trPr>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1,769,163</w:t>
            </w:r>
          </w:p>
        </w:tc>
        <w:tc>
          <w:tcPr>
            <w:tcW w:w="760" w:type="dxa"/>
            <w:vAlign w:val="bottom"/>
            <w:gridSpan w:val="3"/>
          </w:tcPr>
          <w:p>
            <w:pPr>
              <w:jc w:val="right"/>
              <w:ind w:right="4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9,481</w:t>
            </w:r>
          </w:p>
        </w:tc>
        <w:tc>
          <w:tcPr>
            <w:tcW w:w="1260" w:type="dxa"/>
            <w:vAlign w:val="bottom"/>
            <w:gridSpan w:val="3"/>
          </w:tcPr>
          <w:p>
            <w:pPr>
              <w:jc w:val="right"/>
              <w:ind w:right="9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1,778,644</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Non-Performing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non-performing assets as of December 31, 2024 and 2023 (in thousands, except ratios):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2023</w:t>
            </w:r>
          </w:p>
        </w:tc>
      </w:tr>
      <w:tr>
        <w:trPr>
          <w:trHeight w:val="220"/>
        </w:trPr>
        <w:tc>
          <w:tcPr>
            <w:tcW w:w="40" w:type="dxa"/>
            <w:vAlign w:val="bottom"/>
            <w:tcBorders>
              <w:top w:val="single" w:sz="8" w:color="D2EEF5"/>
            </w:tcBorders>
            <w:shd w:val="clear" w:color="auto" w:fill="D2EEF5"/>
          </w:tcPr>
          <w:p>
            <w:pPr>
              <w:spacing w:after="0"/>
              <w:rPr>
                <w:sz w:val="19"/>
                <w:szCs w:val="19"/>
                <w:color w:val="auto"/>
              </w:rPr>
            </w:pPr>
          </w:p>
        </w:tc>
        <w:tc>
          <w:tcPr>
            <w:tcW w:w="672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Total non-performing loans</w:t>
            </w:r>
          </w:p>
        </w:tc>
        <w:tc>
          <w:tcPr>
            <w:tcW w:w="40" w:type="dxa"/>
            <w:vAlign w:val="bottom"/>
            <w:tcBorders>
              <w:top w:val="single" w:sz="8" w:color="D2EEF5"/>
            </w:tcBorders>
            <w:shd w:val="clear" w:color="auto" w:fill="D2EEF5"/>
          </w:tcPr>
          <w:p>
            <w:pPr>
              <w:spacing w:after="0"/>
              <w:rPr>
                <w:sz w:val="19"/>
                <w:szCs w:val="19"/>
                <w:color w:val="auto"/>
              </w:rPr>
            </w:pPr>
          </w:p>
        </w:tc>
        <w:tc>
          <w:tcPr>
            <w:tcW w:w="1340" w:type="dxa"/>
            <w:vAlign w:val="bottom"/>
            <w:tcBorders>
              <w:top w:val="single" w:sz="8" w:color="auto"/>
            </w:tcBorders>
            <w:shd w:val="clear" w:color="auto" w:fill="D2EEF5"/>
          </w:tcPr>
          <w:p>
            <w:pPr>
              <w:jc w:val="right"/>
              <w:ind w:right="1110"/>
              <w:spacing w:after="0"/>
              <w:rPr>
                <w:sz w:val="20"/>
                <w:szCs w:val="20"/>
                <w:color w:val="auto"/>
              </w:rPr>
            </w:pPr>
            <w:r>
              <w:rPr>
                <w:rFonts w:ascii="Arial" w:cs="Arial" w:eastAsia="Arial" w:hAnsi="Arial"/>
                <w:sz w:val="18"/>
                <w:szCs w:val="18"/>
                <w:color w:val="auto"/>
                <w:shd w:val="clear" w:color="auto" w:fill="D2EEF5"/>
              </w:rPr>
              <w:t>$</w:t>
            </w:r>
          </w:p>
        </w:tc>
        <w:tc>
          <w:tcPr>
            <w:tcW w:w="680" w:type="dxa"/>
            <w:vAlign w:val="bottom"/>
            <w:tcBorders>
              <w:top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2,707</w:t>
            </w:r>
          </w:p>
        </w:tc>
        <w:tc>
          <w:tcPr>
            <w:tcW w:w="8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760" w:type="dxa"/>
            <w:vAlign w:val="bottom"/>
            <w:tcBorders>
              <w:top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468</w:t>
            </w:r>
          </w:p>
        </w:tc>
      </w:tr>
      <w:tr>
        <w:trPr>
          <w:trHeight w:val="240"/>
        </w:trPr>
        <w:tc>
          <w:tcPr>
            <w:tcW w:w="40" w:type="dxa"/>
            <w:vAlign w:val="bottom"/>
            <w:tcBorders>
              <w:bottom w:val="single" w:sz="8" w:color="D2EEF5"/>
            </w:tcBorders>
          </w:tcPr>
          <w:p>
            <w:pPr>
              <w:spacing w:after="0"/>
              <w:rPr>
                <w:sz w:val="20"/>
                <w:szCs w:val="20"/>
                <w:color w:val="auto"/>
              </w:rPr>
            </w:pPr>
          </w:p>
        </w:tc>
        <w:tc>
          <w:tcPr>
            <w:tcW w:w="672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Other real estate owned</w:t>
            </w:r>
          </w:p>
        </w:tc>
        <w:tc>
          <w:tcPr>
            <w:tcW w:w="40" w:type="dxa"/>
            <w:vAlign w:val="bottom"/>
            <w:tcBorders>
              <w:bottom w:val="single" w:sz="8" w:color="D2EEF5"/>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4"/>
        </w:trPr>
        <w:tc>
          <w:tcPr>
            <w:tcW w:w="4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6460" w:type="dxa"/>
            <w:vAlign w:val="bottom"/>
            <w:shd w:val="clear" w:color="auto" w:fill="D2EEF5"/>
          </w:tcPr>
          <w:p>
            <w:pPr>
              <w:spacing w:after="0"/>
              <w:rPr>
                <w:sz w:val="20"/>
                <w:szCs w:val="20"/>
                <w:color w:val="auto"/>
              </w:rPr>
            </w:pPr>
            <w:r>
              <w:rPr>
                <w:rFonts w:ascii="Arial" w:cs="Arial" w:eastAsia="Arial" w:hAnsi="Arial"/>
                <w:sz w:val="18"/>
                <w:szCs w:val="18"/>
                <w:color w:val="auto"/>
              </w:rPr>
              <w:t>Total non-performing assets</w:t>
            </w:r>
          </w:p>
        </w:tc>
        <w:tc>
          <w:tcPr>
            <w:tcW w:w="40" w:type="dxa"/>
            <w:vAlign w:val="bottom"/>
            <w:shd w:val="clear" w:color="auto" w:fill="D2EEF5"/>
          </w:tcPr>
          <w:p>
            <w:pPr>
              <w:spacing w:after="0"/>
              <w:rPr>
                <w:sz w:val="22"/>
                <w:szCs w:val="22"/>
                <w:color w:val="auto"/>
              </w:rPr>
            </w:pPr>
          </w:p>
        </w:tc>
        <w:tc>
          <w:tcPr>
            <w:tcW w:w="134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2,707</w:t>
            </w:r>
          </w:p>
        </w:tc>
        <w:tc>
          <w:tcPr>
            <w:tcW w:w="80" w:type="dxa"/>
            <w:vAlign w:val="bottom"/>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spacing w:after="0"/>
              <w:rPr>
                <w:sz w:val="22"/>
                <w:szCs w:val="22"/>
                <w:color w:val="auto"/>
              </w:rPr>
            </w:pPr>
          </w:p>
        </w:tc>
        <w:tc>
          <w:tcPr>
            <w:tcW w:w="17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468</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2240" w:h="15840" w:orient="portrait"/>
          <w:cols w:equalWidth="0" w:num="1">
            <w:col w:w="10800"/>
          </w:cols>
          <w:pgMar w:left="720" w:top="355" w:right="720" w:bottom="0" w:gutter="0" w:footer="0" w:header="0"/>
        </w:sectPr>
      </w:pPr>
    </w:p>
    <w:p>
      <w:pPr>
        <w:ind w:left="40"/>
        <w:spacing w:after="0"/>
        <w:rPr>
          <w:sz w:val="20"/>
          <w:szCs w:val="20"/>
          <w:color w:val="auto"/>
        </w:rPr>
      </w:pPr>
      <w:r>
        <w:rPr>
          <w:rFonts w:ascii="Arial" w:cs="Arial" w:eastAsia="Arial" w:hAnsi="Arial"/>
          <w:sz w:val="18"/>
          <w:szCs w:val="18"/>
          <w:b w:val="1"/>
          <w:bCs w:val="1"/>
          <w:color w:val="auto"/>
        </w:rPr>
        <w:t>Asset quality ratios: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6858000" cy="1524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2400"/>
                        </a:xfrm>
                        <a:prstGeom prst="rect">
                          <a:avLst/>
                        </a:prstGeom>
                        <a:solidFill>
                          <a:srgbClr val="D2EEF5"/>
                        </a:solidFill>
                      </wps:spPr>
                      <wps:bodyPr/>
                    </wps:wsp>
                  </a:graphicData>
                </a:graphic>
              </wp:anchor>
            </w:drawing>
          </mc:Choice>
          <mc:Fallback>
            <w:pict>
              <v:rect id="Shape 43" o:spid="_x0000_s1068" style="position:absolute;margin-left:0pt;margin-top:0.35pt;width:540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111125</wp:posOffset>
                </wp:positionH>
                <wp:positionV relativeFrom="paragraph">
                  <wp:posOffset>13335</wp:posOffset>
                </wp:positionV>
                <wp:extent cx="4178935" cy="13208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935" cy="132080"/>
                        </a:xfrm>
                        <a:prstGeom prst="rect">
                          <a:avLst/>
                        </a:prstGeom>
                        <a:solidFill>
                          <a:srgbClr val="D2EEF5"/>
                        </a:solidFill>
                      </wps:spPr>
                      <wps:bodyPr/>
                    </wps:wsp>
                  </a:graphicData>
                </a:graphic>
              </wp:anchor>
            </w:drawing>
          </mc:Choice>
          <mc:Fallback>
            <w:pict>
              <v:rect id="Shape 44" o:spid="_x0000_s1069" style="position:absolute;margin-left:8.75pt;margin-top:1.05pt;width:329.0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credit losses to total loans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Allowance for credit losses to non-performing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6858000" cy="1524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2400"/>
                        </a:xfrm>
                        <a:prstGeom prst="rect">
                          <a:avLst/>
                        </a:prstGeom>
                        <a:solidFill>
                          <a:srgbClr val="D2EEF5"/>
                        </a:solidFill>
                      </wps:spPr>
                      <wps:bodyPr/>
                    </wps:wsp>
                  </a:graphicData>
                </a:graphic>
              </wp:anchor>
            </w:drawing>
          </mc:Choice>
          <mc:Fallback>
            <w:pict>
              <v:rect id="Shape 45" o:spid="_x0000_s1070" style="position:absolute;margin-left:0pt;margin-top:2.2pt;width:540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Non-performing loans to total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4178935" cy="13144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935" cy="131445"/>
                        </a:xfrm>
                        <a:prstGeom prst="rect">
                          <a:avLst/>
                        </a:prstGeom>
                        <a:solidFill>
                          <a:srgbClr val="D2EEF5"/>
                        </a:solidFill>
                      </wps:spPr>
                      <wps:bodyPr/>
                    </wps:wsp>
                  </a:graphicData>
                </a:graphic>
              </wp:anchor>
            </w:drawing>
          </mc:Choice>
          <mc:Fallback>
            <w:pict>
              <v:rect id="Shape 46" o:spid="_x0000_s1071" style="position:absolute;margin-left:8.75pt;margin-top:-9.5999pt;width:329.0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1.18%</w:t>
            </w:r>
          </w:p>
        </w:tc>
      </w:tr>
      <w:tr>
        <w:trPr>
          <w:trHeight w:val="257"/>
        </w:trPr>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4505%</w:t>
            </w:r>
          </w:p>
        </w:tc>
      </w:tr>
      <w:tr>
        <w:trPr>
          <w:trHeight w:val="223"/>
        </w:trPr>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0.03%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-436880</wp:posOffset>
                </wp:positionV>
                <wp:extent cx="190500" cy="13208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32080"/>
                        </a:xfrm>
                        <a:prstGeom prst="rect">
                          <a:avLst/>
                        </a:prstGeom>
                        <a:solidFill>
                          <a:srgbClr val="D2EEF5"/>
                        </a:solidFill>
                      </wps:spPr>
                      <wps:bodyPr/>
                    </wps:wsp>
                  </a:graphicData>
                </a:graphic>
              </wp:anchor>
            </w:drawing>
          </mc:Choice>
          <mc:Fallback>
            <w:pict>
              <v:rect id="Shape 47" o:spid="_x0000_s1072" style="position:absolute;margin-left:-17.2499pt;margin-top:-34.3999pt;width:1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-132080</wp:posOffset>
                </wp:positionV>
                <wp:extent cx="190500" cy="13208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32080"/>
                        </a:xfrm>
                        <a:prstGeom prst="rect">
                          <a:avLst/>
                        </a:prstGeom>
                        <a:solidFill>
                          <a:srgbClr val="D2EEF5"/>
                        </a:solidFill>
                      </wps:spPr>
                      <wps:bodyPr/>
                    </wps:wsp>
                  </a:graphicData>
                </a:graphic>
              </wp:anchor>
            </w:drawing>
          </mc:Choice>
          <mc:Fallback>
            <w:pict>
              <v:rect id="Shape 48" o:spid="_x0000_s1073" style="position:absolute;margin-left:-17.2499pt;margin-top:-10.3999pt;width:1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sz w:val="20"/>
          <w:szCs w:val="20"/>
          <w:color w:val="auto"/>
        </w:rPr>
      </w:pPr>
    </w:p>
    <w:p>
      <w:pPr>
        <w:sectPr>
          <w:pgSz w:w="12240" w:h="15840" w:orient="portrait"/>
          <w:cols w:equalWidth="0" w:num="2">
            <w:col w:w="6420" w:space="720"/>
            <w:col w:w="3660"/>
          </w:cols>
          <w:pgMar w:left="720" w:top="355" w:right="720" w:bottom="0" w:gutter="0" w:footer="0" w:header="0"/>
          <w:type w:val="continuous"/>
        </w:sectPr>
      </w:pPr>
    </w:p>
    <w:p>
      <w:pPr>
        <w:spacing w:after="0" w:line="24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Non-performing assets include all loans categorized as non-accrual or restructured, impaired securities,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78"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may grant a loan concession to a borrower experiencing financial difficulties. This determination is performed during the annual review process or whenever problems are surfacing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8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further discussion on non- performing loans, see Note 3 “Loans” to the Consolidated Financial Statements set forth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u w:val="single" w:color="auto"/>
          <w:color w:val="1C2790"/>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27" w:lineRule="exact"/>
        <w:rPr>
          <w:sz w:val="20"/>
          <w:szCs w:val="20"/>
          <w:color w:val="auto"/>
        </w:rPr>
      </w:pPr>
    </w:p>
    <w:p>
      <w:pPr>
        <w:jc w:val="both"/>
        <w:ind w:right="180" w:firstLine="360"/>
        <w:spacing w:after="0" w:line="247" w:lineRule="auto"/>
        <w:rPr>
          <w:sz w:val="20"/>
          <w:szCs w:val="20"/>
          <w:color w:val="auto"/>
        </w:rPr>
      </w:pPr>
      <w:r>
        <w:rPr>
          <w:rFonts w:ascii="Arial" w:cs="Arial" w:eastAsia="Arial" w:hAnsi="Arial"/>
          <w:sz w:val="20"/>
          <w:szCs w:val="20"/>
          <w:color w:val="auto"/>
        </w:rPr>
        <w:t>On January 1, 2023, the Company adopted FASB ASU 2016- 13, which introduced the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as of the measurement date. Additionally, qualitative adjustments are made to the ACL when, based on management’s judgment, there are factors impacting the allowance estimate not considered by the quantitative calculations. See Note 3 “Loans” to the Consolidated Financial Statements set forth in Item 8 of Part 1 of this Annual Report as Form 10-K for more information on the allowance for credit losses.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ACL and net charge-offs to average loans by type for the periods indicated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4"/>
          </w:tcPr>
          <w:p>
            <w:pPr>
              <w:ind w:left="140"/>
              <w:spacing w:after="0"/>
              <w:rPr>
                <w:sz w:val="20"/>
                <w:szCs w:val="20"/>
                <w:color w:val="auto"/>
              </w:rPr>
            </w:pPr>
            <w:r>
              <w:rPr>
                <w:rFonts w:ascii="Arial" w:cs="Arial" w:eastAsia="Arial" w:hAnsi="Arial"/>
                <w:sz w:val="18"/>
                <w:szCs w:val="18"/>
                <w:b w:val="1"/>
                <w:bCs w:val="1"/>
                <w:color w:val="auto"/>
              </w:rPr>
              <w:t>Residential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Commercial</w:t>
            </w:r>
          </w:p>
        </w:tc>
        <w:tc>
          <w:tcPr>
            <w:tcW w:w="80" w:type="dxa"/>
            <w:vAlign w:val="bottom"/>
          </w:tcPr>
          <w:p>
            <w:pPr>
              <w:spacing w:after="0"/>
              <w:rPr>
                <w:sz w:val="17"/>
                <w:szCs w:val="17"/>
                <w:color w:val="auto"/>
              </w:rPr>
            </w:pPr>
          </w:p>
        </w:tc>
        <w:tc>
          <w:tcPr>
            <w:tcW w:w="1360" w:type="dxa"/>
            <w:vAlign w:val="bottom"/>
            <w:gridSpan w:val="5"/>
          </w:tcPr>
          <w:p>
            <w:pPr>
              <w:ind w:left="120"/>
              <w:spacing w:after="0"/>
              <w:rPr>
                <w:sz w:val="20"/>
                <w:szCs w:val="20"/>
                <w:color w:val="auto"/>
              </w:rPr>
            </w:pPr>
            <w:r>
              <w:rPr>
                <w:rFonts w:ascii="Arial" w:cs="Arial" w:eastAsia="Arial" w:hAnsi="Arial"/>
                <w:sz w:val="18"/>
                <w:szCs w:val="18"/>
                <w:b w:val="1"/>
                <w:bCs w:val="1"/>
                <w:color w:val="auto"/>
              </w:rPr>
              <w:t>Commercial</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Correspondent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Consumer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ind w:left="140"/>
              <w:spacing w:after="0"/>
              <w:rPr>
                <w:sz w:val="20"/>
                <w:szCs w:val="20"/>
                <w:color w:val="auto"/>
              </w:rPr>
            </w:pPr>
            <w:r>
              <w:rPr>
                <w:rFonts w:ascii="Arial" w:cs="Arial" w:eastAsia="Arial" w:hAnsi="Arial"/>
                <w:sz w:val="18"/>
                <w:szCs w:val="18"/>
                <w:b w:val="1"/>
                <w:bCs w:val="1"/>
                <w:color w:val="auto"/>
              </w:rPr>
              <w:t>Real Estate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Real Estate</w:t>
            </w:r>
          </w:p>
        </w:tc>
        <w:tc>
          <w:tcPr>
            <w:tcW w:w="80" w:type="dxa"/>
            <w:vAlign w:val="bottom"/>
          </w:tcPr>
          <w:p>
            <w:pPr>
              <w:spacing w:after="0"/>
              <w:rPr>
                <w:sz w:val="19"/>
                <w:szCs w:val="19"/>
                <w:color w:val="auto"/>
              </w:rPr>
            </w:pPr>
          </w:p>
        </w:tc>
        <w:tc>
          <w:tcPr>
            <w:tcW w:w="1360" w:type="dxa"/>
            <w:vAlign w:val="bottom"/>
            <w:gridSpan w:val="5"/>
          </w:tcPr>
          <w:p>
            <w:pPr>
              <w:ind w:left="40"/>
              <w:spacing w:after="0"/>
              <w:rPr>
                <w:sz w:val="20"/>
                <w:szCs w:val="20"/>
                <w:color w:val="auto"/>
              </w:rPr>
            </w:pPr>
            <w:r>
              <w:rPr>
                <w:rFonts w:ascii="Arial" w:cs="Arial" w:eastAsia="Arial" w:hAnsi="Arial"/>
                <w:sz w:val="18"/>
                <w:szCs w:val="18"/>
                <w:b w:val="1"/>
                <w:bCs w:val="1"/>
                <w:color w:val="auto"/>
              </w:rPr>
              <w:t>and Industrial</w:t>
            </w:r>
          </w:p>
        </w:tc>
        <w:tc>
          <w:tcPr>
            <w:tcW w:w="2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Banks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0" w:type="dxa"/>
            <w:vAlign w:val="bottom"/>
            <w:tcBorders>
              <w:top w:val="single" w:sz="8" w:color="D2EEF5"/>
            </w:tcBorders>
            <w:shd w:val="clear" w:color="auto" w:fill="D2EEF5"/>
          </w:tcPr>
          <w:p>
            <w:pPr>
              <w:spacing w:after="0"/>
              <w:rPr>
                <w:sz w:val="19"/>
                <w:szCs w:val="19"/>
                <w:color w:val="auto"/>
              </w:rPr>
            </w:pPr>
          </w:p>
        </w:tc>
        <w:tc>
          <w:tcPr>
            <w:tcW w:w="28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4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auto"/>
            </w:tcBorders>
            <w:shd w:val="clear" w:color="auto" w:fill="D2EEF5"/>
          </w:tcPr>
          <w:p>
            <w:pPr>
              <w:spacing w:after="0"/>
              <w:rPr>
                <w:sz w:val="19"/>
                <w:szCs w:val="19"/>
                <w:color w:val="auto"/>
              </w:rPr>
            </w:pPr>
          </w:p>
        </w:tc>
        <w:tc>
          <w:tcPr>
            <w:tcW w:w="92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980" w:type="dxa"/>
            <w:vAlign w:val="bottom"/>
            <w:tcBorders>
              <w:top w:val="single" w:sz="8" w:color="auto"/>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auto"/>
            </w:tcBorders>
            <w:shd w:val="clear" w:color="auto" w:fill="D2EEF5"/>
          </w:tcPr>
          <w:p>
            <w:pPr>
              <w:spacing w:after="0"/>
              <w:rPr>
                <w:sz w:val="19"/>
                <w:szCs w:val="19"/>
                <w:color w:val="auto"/>
              </w:rPr>
            </w:pPr>
          </w:p>
        </w:tc>
        <w:tc>
          <w:tcPr>
            <w:tcW w:w="102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220" w:type="dxa"/>
            <w:vAlign w:val="bottom"/>
            <w:tcBorders>
              <w:top w:val="single" w:sz="8" w:color="auto"/>
            </w:tcBorders>
            <w:shd w:val="clear" w:color="auto" w:fill="D2EEF5"/>
          </w:tcPr>
          <w:p>
            <w:pPr>
              <w:spacing w:after="0"/>
              <w:rPr>
                <w:sz w:val="19"/>
                <w:szCs w:val="19"/>
                <w:color w:val="auto"/>
              </w:rPr>
            </w:pPr>
          </w:p>
        </w:tc>
        <w:tc>
          <w:tcPr>
            <w:tcW w:w="1100" w:type="dxa"/>
            <w:vAlign w:val="bottom"/>
            <w:tcBorders>
              <w:top w:val="single" w:sz="8" w:color="auto"/>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auto"/>
            </w:tcBorders>
            <w:shd w:val="clear" w:color="auto" w:fill="D2EEF5"/>
          </w:tcPr>
          <w:p>
            <w:pPr>
              <w:spacing w:after="0"/>
              <w:rPr>
                <w:sz w:val="19"/>
                <w:szCs w:val="19"/>
                <w:color w:val="auto"/>
              </w:rPr>
            </w:pPr>
          </w:p>
        </w:tc>
        <w:tc>
          <w:tcPr>
            <w:tcW w:w="920" w:type="dxa"/>
            <w:vAlign w:val="bottom"/>
            <w:tcBorders>
              <w:top w:val="single" w:sz="8" w:color="auto"/>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auto"/>
            </w:tcBorders>
            <w:shd w:val="clear" w:color="auto" w:fill="D2EEF5"/>
          </w:tcPr>
          <w:p>
            <w:pPr>
              <w:spacing w:after="0"/>
              <w:rPr>
                <w:sz w:val="19"/>
                <w:szCs w:val="19"/>
                <w:color w:val="auto"/>
              </w:rPr>
            </w:pPr>
          </w:p>
        </w:tc>
        <w:tc>
          <w:tcPr>
            <w:tcW w:w="12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920" w:type="dxa"/>
            <w:vAlign w:val="bottom"/>
            <w:tcBorders>
              <w:top w:val="single" w:sz="8" w:color="auto"/>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2,695</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10,366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21,084</w:t>
            </w:r>
          </w:p>
        </w:tc>
        <w:tc>
          <w:tcPr>
            <w:tcW w:w="0" w:type="dxa"/>
            <w:vAlign w:val="bottom"/>
          </w:tcPr>
          <w:p>
            <w:pPr>
              <w:spacing w:after="0"/>
              <w:rPr>
                <w:sz w:val="1"/>
                <w:szCs w:val="1"/>
                <w:color w:val="auto"/>
              </w:rPr>
            </w:pPr>
          </w:p>
        </w:tc>
      </w:tr>
      <w:tr>
        <w:trPr>
          <w:trHeight w:val="249"/>
        </w:trPr>
        <w:tc>
          <w:tcPr>
            <w:tcW w:w="40" w:type="dxa"/>
            <w:vAlign w:val="bottom"/>
            <w:tcBorders>
              <w:bottom w:val="single" w:sz="8" w:color="D2EEF5"/>
            </w:tcBorders>
            <w:shd w:val="clear" w:color="auto" w:fill="D2EEF5"/>
          </w:tcPr>
          <w:p>
            <w:pPr>
              <w:spacing w:after="0"/>
              <w:rPr>
                <w:sz w:val="21"/>
                <w:szCs w:val="21"/>
                <w:color w:val="auto"/>
              </w:rPr>
            </w:pPr>
          </w:p>
        </w:tc>
        <w:tc>
          <w:tcPr>
            <w:tcW w:w="2840" w:type="dxa"/>
            <w:vAlign w:val="bottom"/>
            <w:tcBorders>
              <w:bottom w:val="single" w:sz="8" w:color="D2EEF5"/>
            </w:tcBorders>
            <w:shd w:val="clear" w:color="auto" w:fill="D2EEF5"/>
          </w:tcPr>
          <w:p>
            <w:pPr>
              <w:spacing w:after="0" w:line="237"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(1)</w:t>
            </w:r>
          </w:p>
        </w:tc>
        <w:tc>
          <w:tcPr>
            <w:tcW w:w="4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D2EEF5"/>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2,403</w:t>
            </w:r>
          </w:p>
        </w:tc>
        <w:tc>
          <w:tcPr>
            <w:tcW w:w="6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D2EEF5"/>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1080" w:type="dxa"/>
            <w:vAlign w:val="bottom"/>
            <w:tcBorders>
              <w:bottom w:val="single" w:sz="8" w:color="D2EEF5"/>
            </w:tcBorders>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(1,578)</w:t>
            </w:r>
          </w:p>
        </w:tc>
        <w:tc>
          <w:tcPr>
            <w:tcW w:w="8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D2EEF5"/>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640</w:t>
            </w:r>
          </w:p>
        </w:tc>
        <w:tc>
          <w:tcPr>
            <w:tcW w:w="40" w:type="dxa"/>
            <w:vAlign w:val="bottom"/>
            <w:tcBorders>
              <w:bottom w:val="single" w:sz="8" w:color="D2EEF5"/>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220" w:type="dxa"/>
            <w:vAlign w:val="bottom"/>
            <w:tcBorders>
              <w:bottom w:val="single" w:sz="8" w:color="D2EEF5"/>
            </w:tcBorders>
            <w:shd w:val="clear" w:color="auto" w:fill="D2EEF5"/>
          </w:tcPr>
          <w:p>
            <w:pPr>
              <w:spacing w:after="0"/>
              <w:rPr>
                <w:sz w:val="21"/>
                <w:szCs w:val="21"/>
                <w:color w:val="auto"/>
              </w:rPr>
            </w:pPr>
          </w:p>
        </w:tc>
        <w:tc>
          <w:tcPr>
            <w:tcW w:w="1200" w:type="dxa"/>
            <w:vAlign w:val="bottom"/>
            <w:tcBorders>
              <w:bottom w:val="single" w:sz="8" w:color="D2EEF5"/>
            </w:tcBorders>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D2EEF5"/>
            </w:tcBorders>
            <w:shd w:val="clear" w:color="auto" w:fill="D2EEF5"/>
          </w:tcPr>
          <w:p>
            <w:pPr>
              <w:spacing w:after="0"/>
              <w:rPr>
                <w:sz w:val="21"/>
                <w:szCs w:val="21"/>
                <w:color w:val="auto"/>
              </w:rPr>
            </w:pPr>
          </w:p>
        </w:tc>
        <w:tc>
          <w:tcPr>
            <w:tcW w:w="80" w:type="dxa"/>
            <w:vAlign w:val="bottom"/>
            <w:tcBorders>
              <w:bottom w:val="single" w:sz="8" w:color="D2EEF5"/>
            </w:tcBorders>
            <w:shd w:val="clear" w:color="auto" w:fill="D2EEF5"/>
          </w:tcPr>
          <w:p>
            <w:pPr>
              <w:spacing w:after="0"/>
              <w:rPr>
                <w:sz w:val="21"/>
                <w:szCs w:val="21"/>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20" w:type="dxa"/>
            <w:vAlign w:val="bottom"/>
            <w:tcBorders>
              <w:bottom w:val="single" w:sz="8" w:color="D2EEF5"/>
            </w:tcBorders>
            <w:shd w:val="clear" w:color="auto" w:fill="D2EEF5"/>
          </w:tcPr>
          <w:p>
            <w:pPr>
              <w:spacing w:after="0"/>
              <w:rPr>
                <w:sz w:val="21"/>
                <w:szCs w:val="21"/>
                <w:color w:val="auto"/>
              </w:rPr>
            </w:pPr>
          </w:p>
        </w:tc>
        <w:tc>
          <w:tcPr>
            <w:tcW w:w="60" w:type="dxa"/>
            <w:vAlign w:val="bottom"/>
            <w:tcBorders>
              <w:bottom w:val="single" w:sz="8" w:color="D2EEF5"/>
            </w:tcBorders>
            <w:shd w:val="clear" w:color="auto" w:fill="D2EEF5"/>
          </w:tcPr>
          <w:p>
            <w:pPr>
              <w:spacing w:after="0"/>
              <w:rPr>
                <w:sz w:val="21"/>
                <w:szCs w:val="21"/>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D2EEF5"/>
            </w:tcBorders>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Charge-offs</w:t>
            </w:r>
          </w:p>
        </w:tc>
        <w:tc>
          <w:tcPr>
            <w:tcW w:w="4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80" w:type="dxa"/>
            <w:vAlign w:val="bottom"/>
            <w:tcBorders>
              <w:bottom w:val="single" w:sz="8" w:color="auto"/>
            </w:tcBorders>
            <w:shd w:val="clear" w:color="auto" w:fill="D2EEF5"/>
          </w:tcPr>
          <w:p>
            <w:pPr>
              <w:spacing w:after="0"/>
              <w:rPr>
                <w:sz w:val="20"/>
                <w:szCs w:val="20"/>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2EEF5"/>
          </w:tcPr>
          <w:p>
            <w:pPr>
              <w:spacing w:after="0"/>
              <w:rPr>
                <w:sz w:val="20"/>
                <w:szCs w:val="20"/>
                <w:color w:val="auto"/>
              </w:rPr>
            </w:pPr>
          </w:p>
        </w:tc>
        <w:tc>
          <w:tcPr>
            <w:tcW w:w="4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auto"/>
            </w:tcBorders>
            <w:shd w:val="clear" w:color="auto" w:fill="D2EEF5"/>
          </w:tcPr>
          <w:p>
            <w:pPr>
              <w:spacing w:after="0"/>
              <w:rPr>
                <w:sz w:val="20"/>
                <w:szCs w:val="20"/>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80" w:type="dxa"/>
            <w:vAlign w:val="bottom"/>
            <w:tcBorders>
              <w:bottom w:val="single" w:sz="8" w:color="auto"/>
            </w:tcBorders>
            <w:shd w:val="clear" w:color="auto" w:fill="D2EEF5"/>
          </w:tcPr>
          <w:p>
            <w:pPr>
              <w:spacing w:after="0"/>
              <w:rPr>
                <w:sz w:val="20"/>
                <w:szCs w:val="20"/>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0" w:type="dxa"/>
            <w:vAlign w:val="bottom"/>
            <w:tcBorders>
              <w:bottom w:val="single" w:sz="8" w:color="auto"/>
            </w:tcBorders>
            <w:shd w:val="clear" w:color="auto" w:fill="D2EEF5"/>
          </w:tcPr>
          <w:p>
            <w:pPr>
              <w:spacing w:after="0"/>
              <w:rPr>
                <w:sz w:val="20"/>
                <w:szCs w:val="20"/>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80" w:type="dxa"/>
            <w:vAlign w:val="bottom"/>
            <w:tcBorders>
              <w:bottom w:val="single" w:sz="8" w:color="auto"/>
            </w:tcBorders>
            <w:shd w:val="clear" w:color="auto" w:fill="D2EEF5"/>
          </w:tcPr>
          <w:p>
            <w:pPr>
              <w:spacing w:after="0"/>
              <w:rPr>
                <w:sz w:val="20"/>
                <w:szCs w:val="20"/>
                <w:color w:val="auto"/>
              </w:rPr>
            </w:pPr>
          </w:p>
        </w:tc>
        <w:tc>
          <w:tcPr>
            <w:tcW w:w="1020" w:type="dxa"/>
            <w:vAlign w:val="bottom"/>
            <w:tcBorders>
              <w:bottom w:val="single" w:sz="8" w:color="auto"/>
            </w:tcBorders>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2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auto"/>
            </w:tcBorders>
            <w:shd w:val="clear" w:color="auto" w:fill="D2EEF5"/>
          </w:tcPr>
          <w:p>
            <w:pPr>
              <w:spacing w:after="0"/>
              <w:rPr>
                <w:sz w:val="20"/>
                <w:szCs w:val="20"/>
                <w:color w:val="auto"/>
              </w:rPr>
            </w:pPr>
          </w:p>
        </w:tc>
        <w:tc>
          <w:tcPr>
            <w:tcW w:w="1020" w:type="dxa"/>
            <w:vAlign w:val="bottom"/>
            <w:tcBorders>
              <w:bottom w:val="single" w:sz="8" w:color="auto"/>
            </w:tcBorders>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9"/>
        </w:trPr>
        <w:tc>
          <w:tcPr>
            <w:tcW w:w="40" w:type="dxa"/>
            <w:vAlign w:val="bottom"/>
            <w:tcBorders>
              <w:bottom w:val="single" w:sz="8" w:color="D2EEF5"/>
            </w:tcBorders>
          </w:tcPr>
          <w:p>
            <w:pPr>
              <w:spacing w:after="0"/>
              <w:rPr>
                <w:sz w:val="23"/>
                <w:szCs w:val="23"/>
                <w:color w:val="auto"/>
              </w:rPr>
            </w:pPr>
          </w:p>
        </w:tc>
        <w:tc>
          <w:tcPr>
            <w:tcW w:w="284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Ending Balance</w:t>
            </w:r>
          </w:p>
        </w:tc>
        <w:tc>
          <w:tcPr>
            <w:tcW w:w="4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5,121</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8,788</w:t>
            </w:r>
          </w:p>
        </w:tc>
        <w:tc>
          <w:tcPr>
            <w:tcW w:w="8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4,633</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654</w:t>
            </w:r>
          </w:p>
        </w:tc>
        <w:tc>
          <w:tcPr>
            <w:tcW w:w="6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D2EEF5"/>
            </w:tcBorders>
            <w:gridSpan w:val="2"/>
          </w:tcPr>
          <w:p>
            <w:pPr>
              <w:spacing w:after="0"/>
              <w:rPr>
                <w:sz w:val="23"/>
                <w:szCs w:val="23"/>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24,070</w:t>
            </w:r>
          </w:p>
        </w:tc>
        <w:tc>
          <w:tcPr>
            <w:tcW w:w="0" w:type="dxa"/>
            <w:vAlign w:val="bottom"/>
          </w:tcPr>
          <w:p>
            <w:pPr>
              <w:spacing w:after="0"/>
              <w:rPr>
                <w:sz w:val="1"/>
                <w:szCs w:val="1"/>
                <w:color w:val="auto"/>
              </w:rPr>
            </w:pPr>
          </w:p>
        </w:tc>
      </w:tr>
      <w:tr>
        <w:trPr>
          <w:trHeight w:val="197"/>
        </w:trPr>
        <w:tc>
          <w:tcPr>
            <w:tcW w:w="40" w:type="dxa"/>
            <w:vAlign w:val="bottom"/>
            <w:tcBorders>
              <w:top w:val="single" w:sz="8" w:color="D2EEF5"/>
            </w:tcBorders>
            <w:shd w:val="clear" w:color="auto" w:fill="D2EEF5"/>
          </w:tcPr>
          <w:p>
            <w:pPr>
              <w:spacing w:after="0"/>
              <w:rPr>
                <w:sz w:val="17"/>
                <w:szCs w:val="17"/>
                <w:color w:val="auto"/>
              </w:rPr>
            </w:pPr>
          </w:p>
        </w:tc>
        <w:tc>
          <w:tcPr>
            <w:tcW w:w="284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40" w:type="dxa"/>
            <w:vAlign w:val="bottom"/>
            <w:tcBorders>
              <w:top w:val="single" w:sz="8" w:color="auto"/>
            </w:tcBorders>
            <w:shd w:val="clear" w:color="auto" w:fill="D2EEF5"/>
          </w:tcPr>
          <w:p>
            <w:pPr>
              <w:spacing w:after="0"/>
              <w:rPr>
                <w:sz w:val="17"/>
                <w:szCs w:val="17"/>
                <w:color w:val="auto"/>
              </w:rPr>
            </w:pPr>
          </w:p>
        </w:tc>
        <w:tc>
          <w:tcPr>
            <w:tcW w:w="80" w:type="dxa"/>
            <w:vAlign w:val="bottom"/>
            <w:tcBorders>
              <w:top w:val="single" w:sz="8" w:color="auto"/>
            </w:tcBorders>
            <w:shd w:val="clear" w:color="auto" w:fill="D2EEF5"/>
          </w:tcPr>
          <w:p>
            <w:pPr>
              <w:spacing w:after="0"/>
              <w:rPr>
                <w:sz w:val="17"/>
                <w:szCs w:val="17"/>
                <w:color w:val="auto"/>
              </w:rPr>
            </w:pPr>
          </w:p>
        </w:tc>
        <w:tc>
          <w:tcPr>
            <w:tcW w:w="92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auto"/>
            </w:tcBorders>
            <w:shd w:val="clear" w:color="auto" w:fill="D2EEF5"/>
          </w:tcPr>
          <w:p>
            <w:pPr>
              <w:spacing w:after="0"/>
              <w:rPr>
                <w:sz w:val="17"/>
                <w:szCs w:val="17"/>
                <w:color w:val="auto"/>
              </w:rPr>
            </w:pPr>
          </w:p>
        </w:tc>
        <w:tc>
          <w:tcPr>
            <w:tcW w:w="40" w:type="dxa"/>
            <w:vAlign w:val="bottom"/>
            <w:tcBorders>
              <w:top w:val="single" w:sz="8" w:color="auto"/>
            </w:tcBorders>
            <w:shd w:val="clear" w:color="auto" w:fill="D2EEF5"/>
          </w:tcPr>
          <w:p>
            <w:pPr>
              <w:spacing w:after="0"/>
              <w:rPr>
                <w:sz w:val="17"/>
                <w:szCs w:val="17"/>
                <w:color w:val="auto"/>
              </w:rPr>
            </w:pPr>
          </w:p>
        </w:tc>
        <w:tc>
          <w:tcPr>
            <w:tcW w:w="80" w:type="dxa"/>
            <w:vAlign w:val="bottom"/>
            <w:tcBorders>
              <w:top w:val="single" w:sz="8" w:color="auto"/>
            </w:tcBorders>
            <w:shd w:val="clear" w:color="auto" w:fill="D2EEF5"/>
          </w:tcPr>
          <w:p>
            <w:pPr>
              <w:spacing w:after="0"/>
              <w:rPr>
                <w:sz w:val="17"/>
                <w:szCs w:val="17"/>
                <w:color w:val="auto"/>
              </w:rPr>
            </w:pPr>
          </w:p>
        </w:tc>
        <w:tc>
          <w:tcPr>
            <w:tcW w:w="14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auto"/>
            </w:tcBorders>
            <w:shd w:val="clear" w:color="auto" w:fill="D2EEF5"/>
          </w:tcPr>
          <w:p>
            <w:pPr>
              <w:spacing w:after="0"/>
              <w:rPr>
                <w:sz w:val="17"/>
                <w:szCs w:val="17"/>
                <w:color w:val="auto"/>
              </w:rPr>
            </w:pPr>
          </w:p>
        </w:tc>
        <w:tc>
          <w:tcPr>
            <w:tcW w:w="980" w:type="dxa"/>
            <w:vAlign w:val="bottom"/>
            <w:tcBorders>
              <w:top w:val="single" w:sz="8" w:color="auto"/>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spacing w:after="0"/>
              <w:rPr>
                <w:sz w:val="17"/>
                <w:szCs w:val="17"/>
                <w:color w:val="auto"/>
              </w:rPr>
            </w:pPr>
          </w:p>
        </w:tc>
        <w:tc>
          <w:tcPr>
            <w:tcW w:w="80" w:type="dxa"/>
            <w:vAlign w:val="bottom"/>
            <w:tcBorders>
              <w:top w:val="single" w:sz="8" w:color="D2EEF5"/>
            </w:tcBorders>
            <w:shd w:val="clear" w:color="auto" w:fill="D2EEF5"/>
          </w:tcPr>
          <w:p>
            <w:pPr>
              <w:spacing w:after="0"/>
              <w:rPr>
                <w:sz w:val="17"/>
                <w:szCs w:val="17"/>
                <w:color w:val="auto"/>
              </w:rPr>
            </w:pPr>
          </w:p>
        </w:tc>
        <w:tc>
          <w:tcPr>
            <w:tcW w:w="140" w:type="dxa"/>
            <w:vAlign w:val="bottom"/>
            <w:tcBorders>
              <w:top w:val="single" w:sz="8" w:color="auto"/>
            </w:tcBorders>
            <w:shd w:val="clear" w:color="auto" w:fill="D2EEF5"/>
          </w:tcPr>
          <w:p>
            <w:pPr>
              <w:spacing w:after="0"/>
              <w:rPr>
                <w:sz w:val="17"/>
                <w:szCs w:val="17"/>
                <w:color w:val="auto"/>
              </w:rPr>
            </w:pPr>
          </w:p>
        </w:tc>
        <w:tc>
          <w:tcPr>
            <w:tcW w:w="80" w:type="dxa"/>
            <w:vAlign w:val="bottom"/>
            <w:tcBorders>
              <w:top w:val="single" w:sz="8" w:color="auto"/>
            </w:tcBorders>
            <w:shd w:val="clear" w:color="auto" w:fill="D2EEF5"/>
          </w:tcPr>
          <w:p>
            <w:pPr>
              <w:spacing w:after="0"/>
              <w:rPr>
                <w:sz w:val="17"/>
                <w:szCs w:val="17"/>
                <w:color w:val="auto"/>
              </w:rPr>
            </w:pPr>
          </w:p>
        </w:tc>
        <w:tc>
          <w:tcPr>
            <w:tcW w:w="1020" w:type="dxa"/>
            <w:vAlign w:val="bottom"/>
            <w:tcBorders>
              <w:top w:val="single" w:sz="8" w:color="auto"/>
            </w:tcBorders>
            <w:shd w:val="clear" w:color="auto" w:fill="D2EEF5"/>
          </w:tcPr>
          <w:p>
            <w:pPr>
              <w:spacing w:after="0"/>
              <w:rPr>
                <w:sz w:val="17"/>
                <w:szCs w:val="17"/>
                <w:color w:val="auto"/>
              </w:rPr>
            </w:pPr>
          </w:p>
        </w:tc>
        <w:tc>
          <w:tcPr>
            <w:tcW w:w="40" w:type="dxa"/>
            <w:vAlign w:val="bottom"/>
            <w:tcBorders>
              <w:top w:val="single" w:sz="8" w:color="auto"/>
            </w:tcBorders>
            <w:shd w:val="clear" w:color="auto" w:fill="D2EEF5"/>
          </w:tcPr>
          <w:p>
            <w:pPr>
              <w:spacing w:after="0"/>
              <w:rPr>
                <w:sz w:val="17"/>
                <w:szCs w:val="17"/>
                <w:color w:val="auto"/>
              </w:rPr>
            </w:pPr>
          </w:p>
        </w:tc>
        <w:tc>
          <w:tcPr>
            <w:tcW w:w="80" w:type="dxa"/>
            <w:vAlign w:val="bottom"/>
            <w:tcBorders>
              <w:top w:val="single" w:sz="8" w:color="D2EEF5"/>
            </w:tcBorders>
            <w:shd w:val="clear" w:color="auto" w:fill="D2EEF5"/>
          </w:tcPr>
          <w:p>
            <w:pPr>
              <w:spacing w:after="0"/>
              <w:rPr>
                <w:sz w:val="17"/>
                <w:szCs w:val="17"/>
                <w:color w:val="auto"/>
              </w:rPr>
            </w:pPr>
          </w:p>
        </w:tc>
        <w:tc>
          <w:tcPr>
            <w:tcW w:w="220" w:type="dxa"/>
            <w:vAlign w:val="bottom"/>
            <w:tcBorders>
              <w:top w:val="single" w:sz="8" w:color="auto"/>
            </w:tcBorders>
            <w:shd w:val="clear" w:color="auto" w:fill="D2EEF5"/>
          </w:tcPr>
          <w:p>
            <w:pPr>
              <w:spacing w:after="0"/>
              <w:rPr>
                <w:sz w:val="17"/>
                <w:szCs w:val="17"/>
                <w:color w:val="auto"/>
              </w:rPr>
            </w:pPr>
          </w:p>
        </w:tc>
        <w:tc>
          <w:tcPr>
            <w:tcW w:w="1100" w:type="dxa"/>
            <w:vAlign w:val="bottom"/>
            <w:tcBorders>
              <w:top w:val="single" w:sz="8" w:color="auto"/>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D2EEF5"/>
            </w:tcBorders>
            <w:shd w:val="clear" w:color="auto" w:fill="D2EEF5"/>
          </w:tcPr>
          <w:p>
            <w:pPr>
              <w:spacing w:after="0"/>
              <w:rPr>
                <w:sz w:val="17"/>
                <w:szCs w:val="17"/>
                <w:color w:val="auto"/>
              </w:rPr>
            </w:pPr>
          </w:p>
        </w:tc>
        <w:tc>
          <w:tcPr>
            <w:tcW w:w="140" w:type="dxa"/>
            <w:vAlign w:val="bottom"/>
            <w:tcBorders>
              <w:top w:val="single" w:sz="8" w:color="D2EEF5"/>
            </w:tcBorders>
            <w:shd w:val="clear" w:color="auto" w:fill="D2EEF5"/>
          </w:tcPr>
          <w:p>
            <w:pPr>
              <w:spacing w:after="0"/>
              <w:rPr>
                <w:sz w:val="17"/>
                <w:szCs w:val="17"/>
                <w:color w:val="auto"/>
              </w:rPr>
            </w:pPr>
          </w:p>
        </w:tc>
        <w:tc>
          <w:tcPr>
            <w:tcW w:w="80" w:type="dxa"/>
            <w:vAlign w:val="bottom"/>
            <w:tcBorders>
              <w:top w:val="single" w:sz="8" w:color="auto"/>
            </w:tcBorders>
            <w:shd w:val="clear" w:color="auto" w:fill="D2EEF5"/>
          </w:tcPr>
          <w:p>
            <w:pPr>
              <w:spacing w:after="0"/>
              <w:rPr>
                <w:sz w:val="17"/>
                <w:szCs w:val="17"/>
                <w:color w:val="auto"/>
              </w:rPr>
            </w:pPr>
          </w:p>
        </w:tc>
        <w:tc>
          <w:tcPr>
            <w:tcW w:w="920" w:type="dxa"/>
            <w:vAlign w:val="bottom"/>
            <w:tcBorders>
              <w:top w:val="single" w:sz="8" w:color="auto"/>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6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60" w:type="dxa"/>
            <w:vAlign w:val="bottom"/>
            <w:tcBorders>
              <w:top w:val="single" w:sz="8" w:color="auto"/>
            </w:tcBorders>
            <w:shd w:val="clear" w:color="auto" w:fill="D2EEF5"/>
          </w:tcPr>
          <w:p>
            <w:pPr>
              <w:spacing w:after="0"/>
              <w:rPr>
                <w:sz w:val="17"/>
                <w:szCs w:val="17"/>
                <w:color w:val="auto"/>
              </w:rPr>
            </w:pPr>
          </w:p>
        </w:tc>
        <w:tc>
          <w:tcPr>
            <w:tcW w:w="920" w:type="dxa"/>
            <w:vAlign w:val="bottom"/>
            <w:tcBorders>
              <w:top w:val="single" w:sz="8" w:color="auto"/>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Average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256,112</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1,068,574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238,266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103,345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195,716</w:t>
            </w:r>
          </w:p>
        </w:tc>
        <w:tc>
          <w:tcPr>
            <w:tcW w:w="10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1,862,013</w:t>
            </w:r>
          </w:p>
        </w:tc>
        <w:tc>
          <w:tcPr>
            <w:tcW w:w="0" w:type="dxa"/>
            <w:vAlign w:val="bottom"/>
          </w:tcPr>
          <w:p>
            <w:pPr>
              <w:spacing w:after="0"/>
              <w:rPr>
                <w:sz w:val="1"/>
                <w:szCs w:val="1"/>
                <w:color w:val="auto"/>
              </w:rPr>
            </w:pPr>
          </w:p>
        </w:tc>
      </w:tr>
      <w:tr>
        <w:trPr>
          <w:trHeight w:val="221"/>
        </w:trPr>
        <w:tc>
          <w:tcPr>
            <w:tcW w:w="40" w:type="dxa"/>
            <w:vAlign w:val="bottom"/>
            <w:shd w:val="clear" w:color="auto" w:fill="D2EEF5"/>
          </w:tcPr>
          <w:p>
            <w:pPr>
              <w:spacing w:after="0"/>
              <w:rPr>
                <w:sz w:val="19"/>
                <w:szCs w:val="19"/>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Net charge-offs (recoveries) to</w:t>
            </w: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9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110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D2EEF5"/>
            </w:tcBorders>
            <w:shd w:val="clear" w:color="auto" w:fill="D2EEF5"/>
          </w:tcPr>
          <w:p>
            <w:pPr>
              <w:spacing w:after="0"/>
              <w:rPr>
                <w:sz w:val="20"/>
                <w:szCs w:val="20"/>
                <w:color w:val="auto"/>
              </w:rPr>
            </w:pPr>
          </w:p>
        </w:tc>
        <w:tc>
          <w:tcPr>
            <w:tcW w:w="28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average loans</w:t>
            </w:r>
          </w:p>
        </w:tc>
        <w:tc>
          <w:tcPr>
            <w:tcW w:w="4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9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0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220" w:type="dxa"/>
            <w:vAlign w:val="bottom"/>
            <w:tcBorders>
              <w:bottom w:val="single" w:sz="8" w:color="D2EEF5"/>
            </w:tcBorders>
            <w:shd w:val="clear" w:color="auto" w:fill="D2EEF5"/>
          </w:tcPr>
          <w:p>
            <w:pPr>
              <w:spacing w:after="0"/>
              <w:rPr>
                <w:sz w:val="20"/>
                <w:szCs w:val="20"/>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2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D2EEF5"/>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December, 31, 2023</w:t>
            </w:r>
          </w:p>
        </w:tc>
        <w:tc>
          <w:tcPr>
            <w:tcW w:w="4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110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10,143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17,487</w:t>
            </w:r>
          </w:p>
        </w:tc>
        <w:tc>
          <w:tcPr>
            <w:tcW w:w="0" w:type="dxa"/>
            <w:vAlign w:val="bottom"/>
          </w:tcPr>
          <w:p>
            <w:pPr>
              <w:spacing w:after="0"/>
              <w:rPr>
                <w:sz w:val="1"/>
                <w:szCs w:val="1"/>
                <w:color w:val="auto"/>
              </w:rPr>
            </w:pPr>
          </w:p>
        </w:tc>
      </w:tr>
      <w:tr>
        <w:trPr>
          <w:trHeight w:val="281"/>
        </w:trPr>
        <w:tc>
          <w:tcPr>
            <w:tcW w:w="40" w:type="dxa"/>
            <w:vAlign w:val="bottom"/>
            <w:shd w:val="clear" w:color="auto" w:fill="D2EEF5"/>
          </w:tcPr>
          <w:p>
            <w:pPr>
              <w:spacing w:after="0"/>
              <w:rPr>
                <w:sz w:val="24"/>
                <w:szCs w:val="24"/>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Cumulative effect of adoption of</w:t>
            </w:r>
          </w:p>
        </w:tc>
        <w:tc>
          <w:tcPr>
            <w:tcW w:w="4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10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D2EEF5"/>
          </w:tcPr>
          <w:p>
            <w:pPr>
              <w:spacing w:after="0"/>
              <w:rPr>
                <w:sz w:val="19"/>
                <w:szCs w:val="19"/>
                <w:color w:val="auto"/>
              </w:rPr>
            </w:pPr>
          </w:p>
        </w:tc>
        <w:tc>
          <w:tcPr>
            <w:tcW w:w="2840" w:type="dxa"/>
            <w:vAlign w:val="bottom"/>
            <w:shd w:val="clear" w:color="auto" w:fill="D2EEF5"/>
          </w:tcPr>
          <w:p>
            <w:pPr>
              <w:spacing w:after="0" w:line="225" w:lineRule="exact"/>
              <w:rPr>
                <w:sz w:val="20"/>
                <w:szCs w:val="20"/>
                <w:color w:val="auto"/>
              </w:rPr>
            </w:pPr>
            <w:r>
              <w:rPr>
                <w:rFonts w:ascii="Arial" w:cs="Arial" w:eastAsia="Arial" w:hAnsi="Arial"/>
                <w:sz w:val="18"/>
                <w:szCs w:val="18"/>
                <w:color w:val="auto"/>
              </w:rPr>
              <w:t xml:space="preserve">accounting principle </w:t>
            </w:r>
            <w:r>
              <w:rPr>
                <w:rFonts w:ascii="Arial" w:cs="Arial" w:eastAsia="Arial" w:hAnsi="Arial"/>
                <w:sz w:val="24"/>
                <w:szCs w:val="24"/>
                <w:color w:val="auto"/>
                <w:vertAlign w:val="superscript"/>
              </w:rPr>
              <w:t>(2)</w:t>
            </w: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98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(2,158)</w:t>
            </w:r>
          </w:p>
        </w:tc>
        <w:tc>
          <w:tcPr>
            <w:tcW w:w="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110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D2EEF5"/>
          </w:tcPr>
          <w:p>
            <w:pPr>
              <w:spacing w:after="0"/>
              <w:rPr>
                <w:sz w:val="8"/>
                <w:szCs w:val="8"/>
                <w:color w:val="auto"/>
              </w:rPr>
            </w:pPr>
          </w:p>
        </w:tc>
        <w:tc>
          <w:tcPr>
            <w:tcW w:w="2840" w:type="dxa"/>
            <w:vAlign w:val="bottom"/>
            <w:shd w:val="clear" w:color="auto" w:fill="D2EEF5"/>
          </w:tcPr>
          <w:p>
            <w:pPr>
              <w:spacing w:after="0"/>
              <w:rPr>
                <w:sz w:val="8"/>
                <w:szCs w:val="8"/>
                <w:color w:val="auto"/>
              </w:rPr>
            </w:pPr>
          </w:p>
        </w:tc>
        <w:tc>
          <w:tcPr>
            <w:tcW w:w="4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920" w:type="dxa"/>
            <w:vAlign w:val="bottom"/>
            <w:vMerge w:val="continue"/>
            <w:shd w:val="clear" w:color="auto" w:fill="D2EEF5"/>
          </w:tcPr>
          <w:p>
            <w:pPr>
              <w:spacing w:after="0"/>
              <w:rPr>
                <w:sz w:val="8"/>
                <w:szCs w:val="8"/>
                <w:color w:val="auto"/>
              </w:rPr>
            </w:pPr>
          </w:p>
        </w:tc>
        <w:tc>
          <w:tcPr>
            <w:tcW w:w="60" w:type="dxa"/>
            <w:vAlign w:val="bottom"/>
            <w:shd w:val="clear" w:color="auto" w:fill="D2EEF5"/>
          </w:tcPr>
          <w:p>
            <w:pPr>
              <w:spacing w:after="0"/>
              <w:rPr>
                <w:sz w:val="8"/>
                <w:szCs w:val="8"/>
                <w:color w:val="auto"/>
              </w:rPr>
            </w:pPr>
          </w:p>
        </w:tc>
        <w:tc>
          <w:tcPr>
            <w:tcW w:w="4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60" w:type="dxa"/>
            <w:vAlign w:val="bottom"/>
            <w:shd w:val="clear" w:color="auto" w:fill="D2EEF5"/>
          </w:tcPr>
          <w:p>
            <w:pPr>
              <w:spacing w:after="0"/>
              <w:rPr>
                <w:sz w:val="8"/>
                <w:szCs w:val="8"/>
                <w:color w:val="auto"/>
              </w:rPr>
            </w:pPr>
          </w:p>
        </w:tc>
        <w:tc>
          <w:tcPr>
            <w:tcW w:w="980" w:type="dxa"/>
            <w:vAlign w:val="bottom"/>
            <w:vMerge w:val="continue"/>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1020" w:type="dxa"/>
            <w:vAlign w:val="bottom"/>
            <w:vMerge w:val="continue"/>
            <w:shd w:val="clear" w:color="auto" w:fill="D2EEF5"/>
          </w:tcPr>
          <w:p>
            <w:pPr>
              <w:spacing w:after="0"/>
              <w:rPr>
                <w:sz w:val="8"/>
                <w:szCs w:val="8"/>
                <w:color w:val="auto"/>
              </w:rPr>
            </w:pPr>
          </w:p>
        </w:tc>
        <w:tc>
          <w:tcPr>
            <w:tcW w:w="4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220" w:type="dxa"/>
            <w:vAlign w:val="bottom"/>
            <w:shd w:val="clear" w:color="auto" w:fill="D2EEF5"/>
          </w:tcPr>
          <w:p>
            <w:pPr>
              <w:spacing w:after="0"/>
              <w:rPr>
                <w:sz w:val="8"/>
                <w:szCs w:val="8"/>
                <w:color w:val="auto"/>
              </w:rPr>
            </w:pPr>
          </w:p>
        </w:tc>
        <w:tc>
          <w:tcPr>
            <w:tcW w:w="1100" w:type="dxa"/>
            <w:vAlign w:val="bottom"/>
            <w:vMerge w:val="continue"/>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60" w:type="dxa"/>
            <w:vAlign w:val="bottom"/>
            <w:shd w:val="clear" w:color="auto" w:fill="D2EEF5"/>
          </w:tcPr>
          <w:p>
            <w:pPr>
              <w:spacing w:after="0"/>
              <w:rPr>
                <w:sz w:val="8"/>
                <w:szCs w:val="8"/>
                <w:color w:val="auto"/>
              </w:rPr>
            </w:pPr>
          </w:p>
        </w:tc>
        <w:tc>
          <w:tcPr>
            <w:tcW w:w="140" w:type="dxa"/>
            <w:vAlign w:val="bottom"/>
            <w:shd w:val="clear" w:color="auto" w:fill="D2EEF5"/>
          </w:tcPr>
          <w:p>
            <w:pPr>
              <w:spacing w:after="0"/>
              <w:rPr>
                <w:sz w:val="8"/>
                <w:szCs w:val="8"/>
                <w:color w:val="auto"/>
              </w:rPr>
            </w:pPr>
          </w:p>
        </w:tc>
        <w:tc>
          <w:tcPr>
            <w:tcW w:w="80" w:type="dxa"/>
            <w:vAlign w:val="bottom"/>
            <w:shd w:val="clear" w:color="auto" w:fill="D2EEF5"/>
          </w:tcPr>
          <w:p>
            <w:pPr>
              <w:spacing w:after="0"/>
              <w:rPr>
                <w:sz w:val="8"/>
                <w:szCs w:val="8"/>
                <w:color w:val="auto"/>
              </w:rPr>
            </w:pPr>
          </w:p>
        </w:tc>
        <w:tc>
          <w:tcPr>
            <w:tcW w:w="920" w:type="dxa"/>
            <w:vAlign w:val="bottom"/>
            <w:vMerge w:val="continue"/>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20" w:type="dxa"/>
            <w:vAlign w:val="bottom"/>
            <w:shd w:val="clear" w:color="auto" w:fill="D2EEF5"/>
          </w:tcPr>
          <w:p>
            <w:pPr>
              <w:spacing w:after="0"/>
              <w:rPr>
                <w:sz w:val="8"/>
                <w:szCs w:val="8"/>
                <w:color w:val="auto"/>
              </w:rPr>
            </w:pPr>
          </w:p>
        </w:tc>
        <w:tc>
          <w:tcPr>
            <w:tcW w:w="60" w:type="dxa"/>
            <w:vAlign w:val="bottom"/>
            <w:shd w:val="clear" w:color="auto" w:fill="D2EEF5"/>
          </w:tcPr>
          <w:p>
            <w:pPr>
              <w:spacing w:after="0"/>
              <w:rPr>
                <w:sz w:val="8"/>
                <w:szCs w:val="8"/>
                <w:color w:val="auto"/>
              </w:rPr>
            </w:pPr>
          </w:p>
        </w:tc>
        <w:tc>
          <w:tcPr>
            <w:tcW w:w="20" w:type="dxa"/>
            <w:vAlign w:val="bottom"/>
            <w:shd w:val="clear" w:color="auto" w:fill="D2EEF5"/>
          </w:tcPr>
          <w:p>
            <w:pPr>
              <w:spacing w:after="0"/>
              <w:rPr>
                <w:sz w:val="8"/>
                <w:szCs w:val="8"/>
                <w:color w:val="auto"/>
              </w:rPr>
            </w:pPr>
          </w:p>
        </w:tc>
        <w:tc>
          <w:tcPr>
            <w:tcW w:w="120" w:type="dxa"/>
            <w:vAlign w:val="bottom"/>
            <w:shd w:val="clear" w:color="auto" w:fill="D2EEF5"/>
          </w:tcPr>
          <w:p>
            <w:pPr>
              <w:spacing w:after="0"/>
              <w:rPr>
                <w:sz w:val="8"/>
                <w:szCs w:val="8"/>
                <w:color w:val="auto"/>
              </w:rPr>
            </w:pPr>
          </w:p>
        </w:tc>
        <w:tc>
          <w:tcPr>
            <w:tcW w:w="60" w:type="dxa"/>
            <w:vAlign w:val="bottom"/>
            <w:shd w:val="clear" w:color="auto" w:fill="D2EEF5"/>
          </w:tcPr>
          <w:p>
            <w:pPr>
              <w:spacing w:after="0"/>
              <w:rPr>
                <w:sz w:val="8"/>
                <w:szCs w:val="8"/>
                <w:color w:val="auto"/>
              </w:rPr>
            </w:pPr>
          </w:p>
        </w:tc>
        <w:tc>
          <w:tcPr>
            <w:tcW w:w="920" w:type="dxa"/>
            <w:vAlign w:val="bottom"/>
            <w:vMerge w:val="continue"/>
            <w:shd w:val="clear" w:color="auto" w:fill="D2EEF5"/>
          </w:tcPr>
          <w:p>
            <w:pPr>
              <w:spacing w:after="0"/>
              <w:rPr>
                <w:sz w:val="8"/>
                <w:szCs w:val="8"/>
                <w:color w:val="auto"/>
              </w:rPr>
            </w:pPr>
          </w:p>
        </w:tc>
        <w:tc>
          <w:tcPr>
            <w:tcW w:w="100" w:type="dxa"/>
            <w:vAlign w:val="bottom"/>
            <w:shd w:val="clear" w:color="auto" w:fill="D2EEF5"/>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840" w:type="dxa"/>
            <w:vAlign w:val="bottom"/>
          </w:tcPr>
          <w:p>
            <w:pPr>
              <w:spacing w:after="0" w:line="268"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Recoveries</w:t>
            </w:r>
          </w:p>
        </w:tc>
        <w:tc>
          <w:tcPr>
            <w:tcW w:w="4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2EEF5"/>
            </w:tcBorders>
          </w:tcPr>
          <w:p>
            <w:pPr>
              <w:spacing w:after="0"/>
              <w:rPr>
                <w:sz w:val="20"/>
                <w:szCs w:val="20"/>
                <w:color w:val="auto"/>
              </w:rPr>
            </w:pPr>
          </w:p>
        </w:tc>
        <w:tc>
          <w:tcPr>
            <w:tcW w:w="284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Charge-offs</w:t>
            </w:r>
          </w:p>
        </w:tc>
        <w:tc>
          <w:tcPr>
            <w:tcW w:w="40" w:type="dxa"/>
            <w:vAlign w:val="bottom"/>
            <w:tcBorders>
              <w:bottom w:val="single" w:sz="8" w:color="D2EEF5"/>
            </w:tcBorders>
          </w:tcPr>
          <w:p>
            <w:pPr>
              <w:spacing w:after="0"/>
              <w:rPr>
                <w:sz w:val="20"/>
                <w:szCs w:val="20"/>
                <w:color w:val="auto"/>
              </w:rPr>
            </w:pPr>
          </w:p>
        </w:tc>
        <w:tc>
          <w:tcPr>
            <w:tcW w:w="140" w:type="dxa"/>
            <w:vAlign w:val="bottom"/>
            <w:tcBorders>
              <w:bottom w:val="single" w:sz="8" w:color="D2EEF5"/>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D2EE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20" w:type="dxa"/>
            <w:vAlign w:val="bottom"/>
            <w:tcBorders>
              <w:bottom w:val="single" w:sz="8" w:color="D2EEF5"/>
            </w:tcBorders>
          </w:tcPr>
          <w:p>
            <w:pPr>
              <w:spacing w:after="0"/>
              <w:rPr>
                <w:sz w:val="20"/>
                <w:szCs w:val="20"/>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0" w:type="dxa"/>
            <w:vAlign w:val="bottom"/>
            <w:shd w:val="clear" w:color="auto" w:fill="D2EEF5"/>
          </w:tcPr>
          <w:p>
            <w:pPr>
              <w:spacing w:after="0"/>
              <w:rPr>
                <w:sz w:val="19"/>
                <w:szCs w:val="19"/>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Ending Balance</w:t>
            </w:r>
          </w:p>
        </w:tc>
        <w:tc>
          <w:tcPr>
            <w:tcW w:w="40" w:type="dxa"/>
            <w:vAlign w:val="bottom"/>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auto"/>
            </w:tcBorders>
            <w:shd w:val="clear" w:color="auto" w:fill="D2EEF5"/>
          </w:tcPr>
          <w:p>
            <w:pPr>
              <w:spacing w:after="0"/>
              <w:rPr>
                <w:sz w:val="19"/>
                <w:szCs w:val="19"/>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2,695</w:t>
            </w:r>
          </w:p>
        </w:tc>
        <w:tc>
          <w:tcPr>
            <w:tcW w:w="60" w:type="dxa"/>
            <w:vAlign w:val="bottom"/>
            <w:tcBorders>
              <w:bottom w:val="single" w:sz="8" w:color="auto"/>
            </w:tcBorders>
            <w:shd w:val="clear" w:color="auto" w:fill="D2EEF5"/>
          </w:tcPr>
          <w:p>
            <w:pPr>
              <w:spacing w:after="0"/>
              <w:rPr>
                <w:sz w:val="19"/>
                <w:szCs w:val="19"/>
                <w:color w:val="auto"/>
              </w:rPr>
            </w:pPr>
          </w:p>
        </w:tc>
        <w:tc>
          <w:tcPr>
            <w:tcW w:w="40" w:type="dxa"/>
            <w:vAlign w:val="bottom"/>
            <w:tcBorders>
              <w:bottom w:val="single" w:sz="8" w:color="auto"/>
            </w:tcBorders>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60" w:type="dxa"/>
            <w:vAlign w:val="bottom"/>
            <w:tcBorders>
              <w:bottom w:val="single" w:sz="8" w:color="auto"/>
            </w:tcBorders>
            <w:shd w:val="clear" w:color="auto" w:fill="D2EEF5"/>
          </w:tcPr>
          <w:p>
            <w:pPr>
              <w:spacing w:after="0"/>
              <w:rPr>
                <w:sz w:val="19"/>
                <w:szCs w:val="19"/>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Borders>
              <w:bottom w:val="single" w:sz="8" w:color="auto"/>
            </w:tcBorders>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w w:val="79"/>
                <w:shd w:val="clear" w:color="auto" w:fill="D2EEF5"/>
              </w:rPr>
              <w:t>$</w:t>
            </w:r>
          </w:p>
        </w:tc>
        <w:tc>
          <w:tcPr>
            <w:tcW w:w="80" w:type="dxa"/>
            <w:vAlign w:val="bottom"/>
            <w:tcBorders>
              <w:bottom w:val="single" w:sz="8" w:color="auto"/>
            </w:tcBorders>
            <w:shd w:val="clear" w:color="auto" w:fill="D2EEF5"/>
          </w:tcPr>
          <w:p>
            <w:pPr>
              <w:spacing w:after="0"/>
              <w:rPr>
                <w:sz w:val="19"/>
                <w:szCs w:val="19"/>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Borders>
              <w:bottom w:val="single" w:sz="8" w:color="auto"/>
            </w:tcBorders>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tcBorders>
              <w:bottom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auto"/>
            </w:tcBorders>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auto"/>
            </w:tcBorders>
            <w:shd w:val="clear" w:color="auto" w:fill="D2EEF5"/>
          </w:tcPr>
          <w:p>
            <w:pPr>
              <w:spacing w:after="0"/>
              <w:rPr>
                <w:sz w:val="19"/>
                <w:szCs w:val="19"/>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auto"/>
            </w:tcBorders>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tcBorders>
              <w:bottom w:val="single" w:sz="8" w:color="auto"/>
            </w:tcBorders>
            <w:shd w:val="clear" w:color="auto" w:fill="D2EEF5"/>
          </w:tcPr>
          <w:p>
            <w:pPr>
              <w:spacing w:after="0"/>
              <w:rPr>
                <w:sz w:val="19"/>
                <w:szCs w:val="19"/>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60" w:type="dxa"/>
            <w:vAlign w:val="bottom"/>
            <w:tcBorders>
              <w:bottom w:val="single" w:sz="8" w:color="auto"/>
            </w:tcBorders>
            <w:shd w:val="clear" w:color="auto" w:fill="D2EEF5"/>
          </w:tcPr>
          <w:p>
            <w:pPr>
              <w:spacing w:after="0"/>
              <w:rPr>
                <w:sz w:val="19"/>
                <w:szCs w:val="19"/>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auto"/>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spacing w:after="0"/>
              <w:rPr>
                <w:sz w:val="17"/>
                <w:szCs w:val="17"/>
                <w:color w:val="auto"/>
              </w:rPr>
            </w:pPr>
          </w:p>
        </w:tc>
        <w:tc>
          <w:tcPr>
            <w:tcW w:w="1140" w:type="dxa"/>
            <w:vAlign w:val="bottom"/>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4"/>
          </w:tcPr>
          <w:p>
            <w:pPr>
              <w:spacing w:after="0"/>
              <w:rPr>
                <w:sz w:val="17"/>
                <w:szCs w:val="17"/>
                <w:color w:val="auto"/>
              </w:rPr>
            </w:pPr>
          </w:p>
        </w:tc>
        <w:tc>
          <w:tcPr>
            <w:tcW w:w="1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2840" w:type="dxa"/>
            <w:vAlign w:val="bottom"/>
            <w:shd w:val="clear" w:color="auto" w:fill="D2EEF5"/>
          </w:tcPr>
          <w:p>
            <w:pPr>
              <w:spacing w:after="0"/>
              <w:rPr>
                <w:sz w:val="20"/>
                <w:szCs w:val="20"/>
                <w:color w:val="auto"/>
              </w:rPr>
            </w:pPr>
            <w:r>
              <w:rPr>
                <w:rFonts w:ascii="Arial" w:cs="Arial" w:eastAsia="Arial" w:hAnsi="Arial"/>
                <w:sz w:val="18"/>
                <w:szCs w:val="18"/>
                <w:color w:val="auto"/>
              </w:rPr>
              <w:t>Average loans</w:t>
            </w:r>
          </w:p>
        </w:tc>
        <w:tc>
          <w:tcPr>
            <w:tcW w:w="4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186,854</w:t>
            </w:r>
          </w:p>
        </w:tc>
        <w:tc>
          <w:tcPr>
            <w:tcW w:w="60" w:type="dxa"/>
            <w:vAlign w:val="bottom"/>
            <w:shd w:val="clear" w:color="auto" w:fill="D2EEF5"/>
          </w:tcPr>
          <w:p>
            <w:pPr>
              <w:spacing w:after="0"/>
              <w:rPr>
                <w:sz w:val="20"/>
                <w:szCs w:val="20"/>
                <w:color w:val="auto"/>
              </w:rPr>
            </w:pPr>
          </w:p>
        </w:tc>
        <w:tc>
          <w:tcPr>
            <w:tcW w:w="120" w:type="dxa"/>
            <w:vAlign w:val="bottom"/>
            <w:gridSpan w:val="2"/>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60" w:type="dxa"/>
            <w:vAlign w:val="bottom"/>
            <w:shd w:val="clear" w:color="auto" w:fill="D2EEF5"/>
          </w:tcPr>
          <w:p>
            <w:pPr>
              <w:spacing w:after="0"/>
              <w:rPr>
                <w:sz w:val="20"/>
                <w:szCs w:val="20"/>
                <w:color w:val="auto"/>
              </w:rPr>
            </w:pP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986,234</w:t>
            </w:r>
          </w:p>
        </w:tc>
        <w:tc>
          <w:tcPr>
            <w:tcW w:w="1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ind w:left="40"/>
              <w:spacing w:after="0"/>
              <w:rPr>
                <w:sz w:val="20"/>
                <w:szCs w:val="20"/>
                <w:color w:val="auto"/>
              </w:rPr>
            </w:pPr>
            <w:r>
              <w:rPr>
                <w:rFonts w:ascii="Arial" w:cs="Arial" w:eastAsia="Arial" w:hAnsi="Arial"/>
                <w:sz w:val="18"/>
                <w:szCs w:val="18"/>
                <w:color w:val="auto"/>
                <w:w w:val="79"/>
                <w:shd w:val="clear" w:color="auto" w:fill="D2EEF5"/>
              </w:rPr>
              <w:t>$</w:t>
            </w:r>
          </w:p>
        </w:tc>
        <w:tc>
          <w:tcPr>
            <w:tcW w:w="80" w:type="dxa"/>
            <w:vAlign w:val="bottom"/>
            <w:shd w:val="clear" w:color="auto" w:fill="D2EEF5"/>
          </w:tcPr>
          <w:p>
            <w:pPr>
              <w:spacing w:after="0"/>
              <w:rPr>
                <w:sz w:val="20"/>
                <w:szCs w:val="20"/>
                <w:color w:val="auto"/>
              </w:rPr>
            </w:pPr>
          </w:p>
        </w:tc>
        <w:tc>
          <w:tcPr>
            <w:tcW w:w="10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179,574</w:t>
            </w: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93,364</w:t>
            </w: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160,934</w:t>
            </w:r>
          </w:p>
        </w:tc>
        <w:tc>
          <w:tcPr>
            <w:tcW w:w="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80" w:type="dxa"/>
            <w:vAlign w:val="bottom"/>
            <w:gridSpan w:val="2"/>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1,606,960</w:t>
            </w:r>
          </w:p>
        </w:tc>
        <w:tc>
          <w:tcPr>
            <w:tcW w:w="1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charge-offs (recoveries) to</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average loans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0"/>
        </w:trPr>
        <w:tc>
          <w:tcPr>
            <w:tcW w:w="40" w:type="dxa"/>
            <w:vAlign w:val="bottom"/>
            <w:tcBorders>
              <w:bottom w:val="single" w:sz="8" w:color="auto"/>
            </w:tcBorders>
            <w:shd w:val="clear" w:color="auto" w:fill="D2EEF5"/>
          </w:tcPr>
          <w:p>
            <w:pPr>
              <w:spacing w:after="0"/>
              <w:rPr>
                <w:sz w:val="20"/>
                <w:szCs w:val="20"/>
                <w:color w:val="auto"/>
              </w:rPr>
            </w:pPr>
          </w:p>
        </w:tc>
        <w:tc>
          <w:tcPr>
            <w:tcW w:w="2840" w:type="dxa"/>
            <w:vAlign w:val="bottom"/>
            <w:tcBorders>
              <w:bottom w:val="single" w:sz="8" w:color="auto"/>
            </w:tcBorders>
            <w:shd w:val="clear" w:color="auto" w:fill="D2EEF5"/>
          </w:tcPr>
          <w:p>
            <w:pPr>
              <w:spacing w:after="0"/>
              <w:rPr>
                <w:sz w:val="20"/>
                <w:szCs w:val="20"/>
                <w:color w:val="auto"/>
              </w:rPr>
            </w:pPr>
          </w:p>
        </w:tc>
        <w:tc>
          <w:tcPr>
            <w:tcW w:w="40" w:type="dxa"/>
            <w:vAlign w:val="bottom"/>
            <w:tcBorders>
              <w:bottom w:val="single" w:sz="8" w:color="auto"/>
            </w:tcBorders>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110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right="300" w:firstLine="1"/>
        <w:spacing w:after="0" w:line="286" w:lineRule="auto"/>
        <w:tabs>
          <w:tab w:leader="none" w:pos="3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 for credit losses excludes $199 thousand release for unfunded commitments included in other liabilities and $2 thousand release for investment securities held to maturity.</w:t>
      </w:r>
    </w:p>
    <w:p>
      <w:pPr>
        <w:spacing w:after="0" w:line="27" w:lineRule="exact"/>
        <w:rPr>
          <w:rFonts w:ascii="Arial" w:cs="Arial" w:eastAsia="Arial" w:hAnsi="Arial"/>
          <w:sz w:val="18"/>
          <w:szCs w:val="18"/>
          <w:color w:val="auto"/>
        </w:rPr>
      </w:pPr>
    </w:p>
    <w:p>
      <w:pPr>
        <w:ind w:left="320" w:hanging="279"/>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of CECL adoption on January 1, 2023.</w:t>
      </w:r>
    </w:p>
    <w:p>
      <w:pPr>
        <w:spacing w:after="0" w:line="143" w:lineRule="exact"/>
        <w:rPr>
          <w:rFonts w:ascii="Arial" w:cs="Arial" w:eastAsia="Arial" w:hAnsi="Arial"/>
          <w:sz w:val="18"/>
          <w:szCs w:val="18"/>
          <w:color w:val="auto"/>
        </w:rPr>
      </w:pPr>
    </w:p>
    <w:p>
      <w:pPr>
        <w:ind w:left="40" w:right="300" w:firstLine="1"/>
        <w:spacing w:after="0" w:line="283" w:lineRule="auto"/>
        <w:tabs>
          <w:tab w:leader="none" w:pos="3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 for credit losses excludes $144 thousand release for unfunded commitments included in other liabilities and $8 thousand provision for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tabs>
          <w:tab w:leader="none" w:pos="380" w:val="left"/>
          <w:tab w:leader="none" w:pos="22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980"/>
          </w:cols>
          <w:pgMar w:left="720" w:top="355" w:right="540" w:bottom="0" w:gutter="0" w:footer="0" w:header="0"/>
        </w:sectPr>
      </w:pPr>
    </w:p>
    <w:bookmarkStart w:id="69" w:name="page70"/>
    <w:bookmarkEnd w:id="69"/>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ACL by type and its individual percentage to total loans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 w:type="dxa"/>
            <w:vAlign w:val="bottom"/>
            <w:tcBorders>
              <w:bottom w:val="single" w:sz="8" w:color="auto"/>
            </w:tcBorders>
          </w:tcPr>
          <w:p>
            <w:pPr>
              <w:spacing w:after="0"/>
              <w:rPr>
                <w:sz w:val="19"/>
                <w:szCs w:val="19"/>
                <w:color w:val="auto"/>
              </w:rPr>
            </w:pPr>
          </w:p>
        </w:tc>
        <w:tc>
          <w:tcPr>
            <w:tcW w:w="179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2023</w:t>
            </w: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Loan Category</w:t>
            </w:r>
          </w:p>
        </w:tc>
        <w:tc>
          <w:tcPr>
            <w:tcW w:w="29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680" w:type="dxa"/>
            <w:vAlign w:val="bottom"/>
            <w:gridSpan w:val="2"/>
            <w:vMerge w:val="restart"/>
          </w:tcPr>
          <w:p>
            <w:pPr>
              <w:jc w:val="right"/>
              <w:ind w:right="740"/>
              <w:spacing w:after="0"/>
              <w:rPr>
                <w:sz w:val="20"/>
                <w:szCs w:val="20"/>
                <w:color w:val="auto"/>
              </w:rPr>
            </w:pPr>
            <w:r>
              <w:rPr>
                <w:rFonts w:ascii="Arial" w:cs="Arial" w:eastAsia="Arial" w:hAnsi="Arial"/>
                <w:sz w:val="18"/>
                <w:szCs w:val="18"/>
                <w:b w:val="1"/>
                <w:bCs w:val="1"/>
                <w:color w:val="auto"/>
              </w:rPr>
              <w:t>Allowance</w:t>
            </w:r>
          </w:p>
        </w:tc>
        <w:tc>
          <w:tcPr>
            <w:tcW w:w="1460" w:type="dxa"/>
            <w:vAlign w:val="bottom"/>
          </w:tcPr>
          <w:p>
            <w:pPr>
              <w:jc w:val="center"/>
              <w:ind w:left="150"/>
              <w:spacing w:after="0"/>
              <w:rPr>
                <w:sz w:val="20"/>
                <w:szCs w:val="20"/>
                <w:color w:val="auto"/>
              </w:rPr>
            </w:pPr>
            <w:r>
              <w:rPr>
                <w:rFonts w:ascii="Arial" w:cs="Arial" w:eastAsia="Arial" w:hAnsi="Arial"/>
                <w:sz w:val="18"/>
                <w:szCs w:val="18"/>
                <w:b w:val="1"/>
                <w:bCs w:val="1"/>
                <w:color w:val="auto"/>
              </w:rPr>
              <w:t>% of Loans in</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Allowance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 of Loans in</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60" w:type="dxa"/>
            <w:vAlign w:val="bottom"/>
            <w:gridSpan w:val="2"/>
            <w:vMerge w:val="continue"/>
          </w:tcPr>
          <w:p>
            <w:pPr>
              <w:spacing w:after="0"/>
              <w:rPr>
                <w:sz w:val="17"/>
                <w:szCs w:val="17"/>
                <w:color w:val="auto"/>
              </w:rPr>
            </w:pPr>
          </w:p>
        </w:tc>
        <w:tc>
          <w:tcPr>
            <w:tcW w:w="2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Each Category to</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Each Category to</w:t>
            </w:r>
          </w:p>
        </w:tc>
        <w:tc>
          <w:tcPr>
            <w:tcW w:w="0" w:type="dxa"/>
            <w:vAlign w:val="bottom"/>
          </w:tcPr>
          <w:p>
            <w:pPr>
              <w:spacing w:after="0"/>
              <w:rPr>
                <w:sz w:val="1"/>
                <w:szCs w:val="1"/>
                <w:color w:val="auto"/>
              </w:rPr>
            </w:pPr>
          </w:p>
        </w:tc>
      </w:tr>
      <w:tr>
        <w:trPr>
          <w:trHeight w:val="255"/>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Total Loans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Total Loans</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290" w:type="dxa"/>
            <w:vAlign w:val="bottom"/>
            <w:tcBorders>
              <w:bottom w:val="single" w:sz="8" w:color="auto"/>
            </w:tcBorders>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D2EEF5"/>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D2EEF5"/>
          </w:tcPr>
          <w:p>
            <w:pPr>
              <w:ind w:left="30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D2EEF5"/>
          </w:tcPr>
          <w:p>
            <w:pPr>
              <w:spacing w:after="0"/>
              <w:rPr>
                <w:sz w:val="19"/>
                <w:szCs w:val="19"/>
                <w:color w:val="auto"/>
              </w:rPr>
            </w:pPr>
          </w:p>
        </w:tc>
        <w:tc>
          <w:tcPr>
            <w:tcW w:w="290" w:type="dxa"/>
            <w:vAlign w:val="bottom"/>
            <w:shd w:val="clear" w:color="auto" w:fill="D2EEF5"/>
          </w:tcPr>
          <w:p>
            <w:pPr>
              <w:jc w:val="right"/>
              <w:ind w:right="60"/>
              <w:spacing w:after="0"/>
              <w:rPr>
                <w:sz w:val="20"/>
                <w:szCs w:val="20"/>
                <w:color w:val="auto"/>
              </w:rPr>
            </w:pPr>
            <w:r>
              <w:rPr>
                <w:rFonts w:ascii="Arial" w:cs="Arial" w:eastAsia="Arial" w:hAnsi="Arial"/>
                <w:sz w:val="18"/>
                <w:szCs w:val="18"/>
                <w:color w:val="auto"/>
              </w:rPr>
              <w:t>$</w:t>
            </w:r>
          </w:p>
        </w:tc>
        <w:tc>
          <w:tcPr>
            <w:tcW w:w="110" w:type="dxa"/>
            <w:vAlign w:val="bottom"/>
            <w:shd w:val="clear" w:color="auto" w:fill="D2EEF5"/>
          </w:tcPr>
          <w:p>
            <w:pPr>
              <w:spacing w:after="0"/>
              <w:rPr>
                <w:sz w:val="19"/>
                <w:szCs w:val="19"/>
                <w:color w:val="auto"/>
              </w:rPr>
            </w:pPr>
          </w:p>
        </w:tc>
        <w:tc>
          <w:tcPr>
            <w:tcW w:w="14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5,121</w:t>
            </w:r>
          </w:p>
        </w:tc>
        <w:tc>
          <w:tcPr>
            <w:tcW w:w="280" w:type="dxa"/>
            <w:vAlign w:val="bottom"/>
            <w:shd w:val="clear" w:color="auto" w:fill="D2EEF5"/>
          </w:tcPr>
          <w:p>
            <w:pPr>
              <w:spacing w:after="0"/>
              <w:rPr>
                <w:sz w:val="19"/>
                <w:szCs w:val="19"/>
                <w:color w:val="auto"/>
              </w:rPr>
            </w:pPr>
          </w:p>
        </w:tc>
        <w:tc>
          <w:tcPr>
            <w:tcW w:w="1460" w:type="dxa"/>
            <w:vAlign w:val="bottom"/>
            <w:shd w:val="clear" w:color="auto" w:fill="D2EEF5"/>
          </w:tcPr>
          <w:p>
            <w:pPr>
              <w:jc w:val="right"/>
              <w:ind w:right="30"/>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28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0" w:type="dxa"/>
            <w:vAlign w:val="bottom"/>
            <w:shd w:val="clear" w:color="auto" w:fill="D2EEF5"/>
          </w:tcPr>
          <w:p>
            <w:pPr>
              <w:jc w:val="right"/>
              <w:ind w:right="170"/>
              <w:spacing w:after="0"/>
              <w:rPr>
                <w:sz w:val="20"/>
                <w:szCs w:val="20"/>
                <w:color w:val="auto"/>
              </w:rPr>
            </w:pPr>
            <w:r>
              <w:rPr>
                <w:rFonts w:ascii="Arial" w:cs="Arial" w:eastAsia="Arial" w:hAnsi="Arial"/>
                <w:sz w:val="18"/>
                <w:szCs w:val="18"/>
                <w:color w:val="auto"/>
                <w:shd w:val="clear" w:color="auto" w:fill="D2EEF5"/>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0" w:type="dxa"/>
            <w:vAlign w:val="bottom"/>
            <w:shd w:val="clear" w:color="auto" w:fill="D2EEF5"/>
          </w:tcPr>
          <w:p>
            <w:pPr>
              <w:ind w:left="94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0" w:type="dxa"/>
            <w:vAlign w:val="bottom"/>
          </w:tcPr>
          <w:p>
            <w:pPr>
              <w:spacing w:after="0"/>
              <w:rPr>
                <w:sz w:val="1"/>
                <w:szCs w:val="1"/>
                <w:color w:val="auto"/>
              </w:rPr>
            </w:pPr>
          </w:p>
        </w:tc>
      </w:tr>
      <w:tr>
        <w:trPr>
          <w:trHeight w:val="240"/>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Commercial Real Estate</w:t>
            </w:r>
          </w:p>
        </w:tc>
        <w:tc>
          <w:tcPr>
            <w:tcW w:w="290" w:type="dxa"/>
            <w:vAlign w:val="bottom"/>
          </w:tcPr>
          <w:p>
            <w:pPr>
              <w:spacing w:after="0"/>
              <w:rPr>
                <w:sz w:val="20"/>
                <w:szCs w:val="20"/>
                <w:color w:val="auto"/>
              </w:rPr>
            </w:pP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8,788</w:t>
            </w:r>
          </w:p>
        </w:tc>
        <w:tc>
          <w:tcPr>
            <w:tcW w:w="2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10,366</w:t>
            </w:r>
          </w:p>
        </w:tc>
        <w:tc>
          <w:tcPr>
            <w:tcW w:w="1820" w:type="dxa"/>
            <w:vAlign w:val="bottom"/>
            <w:gridSpan w:val="5"/>
          </w:tcPr>
          <w:p>
            <w:pPr>
              <w:ind w:left="1360"/>
              <w:spacing w:after="0"/>
              <w:rPr>
                <w:sz w:val="20"/>
                <w:szCs w:val="20"/>
                <w:color w:val="auto"/>
              </w:rPr>
            </w:pPr>
            <w:r>
              <w:rPr>
                <w:rFonts w:ascii="Arial" w:cs="Arial" w:eastAsia="Arial" w:hAnsi="Arial"/>
                <w:sz w:val="18"/>
                <w:szCs w:val="18"/>
                <w:color w:val="auto"/>
              </w:rPr>
              <w:t>58.8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0"/>
        </w:trPr>
        <w:tc>
          <w:tcPr>
            <w:tcW w:w="3040" w:type="dxa"/>
            <w:vAlign w:val="bottom"/>
            <w:shd w:val="clear" w:color="auto" w:fill="D2EEF5"/>
          </w:tcPr>
          <w:p>
            <w:pPr>
              <w:ind w:left="300"/>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D2EEF5"/>
          </w:tcPr>
          <w:p>
            <w:pPr>
              <w:spacing w:after="0"/>
              <w:rPr>
                <w:sz w:val="20"/>
                <w:szCs w:val="20"/>
                <w:color w:val="auto"/>
              </w:rPr>
            </w:pPr>
          </w:p>
        </w:tc>
        <w:tc>
          <w:tcPr>
            <w:tcW w:w="290" w:type="dxa"/>
            <w:vAlign w:val="bottom"/>
            <w:shd w:val="clear" w:color="auto" w:fill="D2EEF5"/>
          </w:tcPr>
          <w:p>
            <w:pPr>
              <w:spacing w:after="0"/>
              <w:rPr>
                <w:sz w:val="20"/>
                <w:szCs w:val="20"/>
                <w:color w:val="auto"/>
              </w:rPr>
            </w:pPr>
          </w:p>
        </w:tc>
        <w:tc>
          <w:tcPr>
            <w:tcW w:w="110" w:type="dxa"/>
            <w:vAlign w:val="bottom"/>
            <w:shd w:val="clear" w:color="auto" w:fill="D2EEF5"/>
          </w:tcPr>
          <w:p>
            <w:pPr>
              <w:spacing w:after="0"/>
              <w:rPr>
                <w:sz w:val="20"/>
                <w:szCs w:val="20"/>
                <w:color w:val="auto"/>
              </w:rPr>
            </w:pPr>
          </w:p>
        </w:tc>
        <w:tc>
          <w:tcPr>
            <w:tcW w:w="14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4,633</w:t>
            </w:r>
          </w:p>
        </w:tc>
        <w:tc>
          <w:tcPr>
            <w:tcW w:w="280" w:type="dxa"/>
            <w:vAlign w:val="bottom"/>
            <w:shd w:val="clear" w:color="auto" w:fill="D2EEF5"/>
          </w:tcPr>
          <w:p>
            <w:pPr>
              <w:spacing w:after="0"/>
              <w:rPr>
                <w:sz w:val="20"/>
                <w:szCs w:val="20"/>
                <w:color w:val="auto"/>
              </w:rPr>
            </w:pPr>
          </w:p>
        </w:tc>
        <w:tc>
          <w:tcPr>
            <w:tcW w:w="1460" w:type="dxa"/>
            <w:vAlign w:val="bottom"/>
            <w:shd w:val="clear" w:color="auto" w:fill="D2EEF5"/>
          </w:tcPr>
          <w:p>
            <w:pPr>
              <w:jc w:val="right"/>
              <w:ind w:right="3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400" w:type="dxa"/>
            <w:vAlign w:val="bottom"/>
            <w:shd w:val="clear" w:color="auto" w:fill="D2EEF5"/>
          </w:tcPr>
          <w:p>
            <w:pPr>
              <w:spacing w:after="0"/>
              <w:rPr>
                <w:sz w:val="20"/>
                <w:szCs w:val="20"/>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60" w:type="dxa"/>
            <w:vAlign w:val="bottom"/>
            <w:gridSpan w:val="2"/>
            <w:shd w:val="clear" w:color="auto" w:fill="D2EEF5"/>
          </w:tcPr>
          <w:p>
            <w:pPr>
              <w:spacing w:after="0"/>
              <w:rPr>
                <w:sz w:val="20"/>
                <w:szCs w:val="20"/>
                <w:color w:val="auto"/>
              </w:rPr>
            </w:pPr>
          </w:p>
        </w:tc>
        <w:tc>
          <w:tcPr>
            <w:tcW w:w="1400" w:type="dxa"/>
            <w:vAlign w:val="bottom"/>
            <w:shd w:val="clear" w:color="auto" w:fill="D2EEF5"/>
          </w:tcPr>
          <w:p>
            <w:pPr>
              <w:ind w:left="94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0" w:type="dxa"/>
            <w:vAlign w:val="bottom"/>
          </w:tcPr>
          <w:p>
            <w:pPr>
              <w:spacing w:after="0"/>
              <w:rPr>
                <w:sz w:val="1"/>
                <w:szCs w:val="1"/>
                <w:color w:val="auto"/>
              </w:rPr>
            </w:pPr>
          </w:p>
        </w:tc>
      </w:tr>
      <w:tr>
        <w:trPr>
          <w:trHeight w:val="240"/>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Correspondent Banks</w:t>
            </w:r>
          </w:p>
        </w:tc>
        <w:tc>
          <w:tcPr>
            <w:tcW w:w="290" w:type="dxa"/>
            <w:vAlign w:val="bottom"/>
          </w:tcPr>
          <w:p>
            <w:pPr>
              <w:spacing w:after="0"/>
              <w:rPr>
                <w:sz w:val="20"/>
                <w:szCs w:val="20"/>
                <w:color w:val="auto"/>
              </w:rPr>
            </w:pP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654</w:t>
            </w:r>
          </w:p>
        </w:tc>
        <w:tc>
          <w:tcPr>
            <w:tcW w:w="2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911</w:t>
            </w:r>
          </w:p>
        </w:tc>
        <w:tc>
          <w:tcPr>
            <w:tcW w:w="1820" w:type="dxa"/>
            <w:vAlign w:val="bottom"/>
            <w:gridSpan w:val="5"/>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040" w:type="dxa"/>
            <w:vAlign w:val="bottom"/>
            <w:shd w:val="clear" w:color="auto" w:fill="D2EEF5"/>
          </w:tcPr>
          <w:p>
            <w:pPr>
              <w:ind w:left="300"/>
              <w:spacing w:after="0"/>
              <w:rPr>
                <w:sz w:val="20"/>
                <w:szCs w:val="20"/>
                <w:color w:val="auto"/>
              </w:rPr>
            </w:pPr>
            <w:r>
              <w:rPr>
                <w:rFonts w:ascii="Arial" w:cs="Arial" w:eastAsia="Arial" w:hAnsi="Arial"/>
                <w:sz w:val="18"/>
                <w:szCs w:val="18"/>
                <w:color w:val="auto"/>
              </w:rPr>
              <w:t>Consumer and Other</w:t>
            </w:r>
          </w:p>
        </w:tc>
        <w:tc>
          <w:tcPr>
            <w:tcW w:w="20" w:type="dxa"/>
            <w:vAlign w:val="bottom"/>
            <w:shd w:val="clear" w:color="auto" w:fill="D2EEF5"/>
          </w:tcPr>
          <w:p>
            <w:pPr>
              <w:spacing w:after="0"/>
              <w:rPr>
                <w:sz w:val="20"/>
                <w:szCs w:val="20"/>
                <w:color w:val="auto"/>
              </w:rPr>
            </w:pPr>
          </w:p>
        </w:tc>
        <w:tc>
          <w:tcPr>
            <w:tcW w:w="290" w:type="dxa"/>
            <w:vAlign w:val="bottom"/>
            <w:tcBorders>
              <w:bottom w:val="single" w:sz="8" w:color="auto"/>
            </w:tcBorders>
            <w:shd w:val="clear" w:color="auto" w:fill="D2EEF5"/>
          </w:tcPr>
          <w:p>
            <w:pPr>
              <w:spacing w:after="0"/>
              <w:rPr>
                <w:sz w:val="20"/>
                <w:szCs w:val="20"/>
                <w:color w:val="auto"/>
              </w:rPr>
            </w:pPr>
          </w:p>
        </w:tc>
        <w:tc>
          <w:tcPr>
            <w:tcW w:w="110" w:type="dxa"/>
            <w:vAlign w:val="bottom"/>
            <w:tcBorders>
              <w:bottom w:val="single" w:sz="8" w:color="auto"/>
            </w:tcBorders>
            <w:shd w:val="clear" w:color="auto" w:fill="D2EEF5"/>
          </w:tcPr>
          <w:p>
            <w:pPr>
              <w:spacing w:after="0"/>
              <w:rPr>
                <w:sz w:val="20"/>
                <w:szCs w:val="20"/>
                <w:color w:val="auto"/>
              </w:rPr>
            </w:pPr>
          </w:p>
        </w:tc>
        <w:tc>
          <w:tcPr>
            <w:tcW w:w="14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4,874</w:t>
            </w:r>
          </w:p>
        </w:tc>
        <w:tc>
          <w:tcPr>
            <w:tcW w:w="280" w:type="dxa"/>
            <w:vAlign w:val="bottom"/>
            <w:shd w:val="clear" w:color="auto" w:fill="D2EEF5"/>
          </w:tcPr>
          <w:p>
            <w:pPr>
              <w:spacing w:after="0"/>
              <w:rPr>
                <w:sz w:val="20"/>
                <w:szCs w:val="20"/>
                <w:color w:val="auto"/>
              </w:rPr>
            </w:pPr>
          </w:p>
        </w:tc>
        <w:tc>
          <w:tcPr>
            <w:tcW w:w="1460" w:type="dxa"/>
            <w:vAlign w:val="bottom"/>
            <w:tcBorders>
              <w:bottom w:val="single" w:sz="8" w:color="auto"/>
            </w:tcBorders>
            <w:shd w:val="clear" w:color="auto" w:fill="D2EEF5"/>
          </w:tcPr>
          <w:p>
            <w:pPr>
              <w:jc w:val="right"/>
              <w:ind w:right="3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400" w:type="dxa"/>
            <w:vAlign w:val="bottom"/>
            <w:tcBorders>
              <w:bottom w:val="single" w:sz="8" w:color="auto"/>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auto"/>
            </w:tcBorders>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40" w:type="dxa"/>
            <w:vAlign w:val="bottom"/>
            <w:tcBorders>
              <w:bottom w:val="single" w:sz="8" w:color="auto"/>
            </w:tcBorders>
            <w:shd w:val="clear" w:color="auto" w:fill="D2EEF5"/>
          </w:tcPr>
          <w:p>
            <w:pPr>
              <w:spacing w:after="0"/>
              <w:rPr>
                <w:sz w:val="20"/>
                <w:szCs w:val="20"/>
                <w:color w:val="auto"/>
              </w:rPr>
            </w:pPr>
          </w:p>
        </w:tc>
        <w:tc>
          <w:tcPr>
            <w:tcW w:w="1400" w:type="dxa"/>
            <w:vAlign w:val="bottom"/>
            <w:tcBorders>
              <w:bottom w:val="single" w:sz="8" w:color="auto"/>
            </w:tcBorders>
            <w:shd w:val="clear" w:color="auto" w:fill="D2EEF5"/>
          </w:tcPr>
          <w:p>
            <w:pPr>
              <w:ind w:left="940"/>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0" w:type="dxa"/>
            <w:vAlign w:val="bottom"/>
          </w:tcPr>
          <w:p>
            <w:pPr>
              <w:spacing w:after="0"/>
              <w:rPr>
                <w:sz w:val="1"/>
                <w:szCs w:val="1"/>
                <w:color w:val="auto"/>
              </w:rPr>
            </w:pPr>
          </w:p>
        </w:tc>
      </w:tr>
      <w:tr>
        <w:trPr>
          <w:trHeight w:val="270"/>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9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24,070</w:t>
            </w:r>
          </w:p>
        </w:tc>
        <w:tc>
          <w:tcPr>
            <w:tcW w:w="28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7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21,084</w:t>
            </w:r>
          </w:p>
        </w:tc>
        <w:tc>
          <w:tcPr>
            <w:tcW w:w="2060" w:type="dxa"/>
            <w:vAlign w:val="bottom"/>
            <w:gridSpan w:val="6"/>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1"/>
        </w:trPr>
        <w:tc>
          <w:tcPr>
            <w:tcW w:w="3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0" w:type="dxa"/>
            <w:vAlign w:val="bottom"/>
            <w:tcBorders>
              <w:bottom w:val="single" w:sz="8" w:color="auto"/>
            </w:tcBorders>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Bank-Owned Life Insurance</w:t>
      </w:r>
    </w:p>
    <w:p>
      <w:pPr>
        <w:spacing w:after="0" w:line="233"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At December 31, 2024, the combined cash surrender value of all bank-owned life insurance (“BOLI”) policies was $53.5 million. Changes in cash surrender value are recorded in non- interest income on the Consolidated Statements of Operations. In 2024, the Company maintained BOLI policies with five insurance carriers. The Company is the beneficiary of these policies.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Deposits</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core deposits. In addition to our banking centers network, we have developed business verticals to diversify our portfolio in different specialty industries and we offer public fund deposit products to municipalities and public agencies in our geographical footprint.</w:t>
      </w:r>
    </w:p>
    <w:p>
      <w:pPr>
        <w:spacing w:after="0" w:line="18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8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following table presents the daily average balance and average rate paid on deposits by category for the years ended December 31, 2024 and 2023 (in thousands, except ratios):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8"/>
                <w:szCs w:val="18"/>
                <w:b w:val="1"/>
                <w:bCs w:val="1"/>
                <w:color w:val="auto"/>
              </w:rPr>
              <w:t>Years Ended December 31,</w:t>
            </w:r>
          </w:p>
        </w:tc>
        <w:tc>
          <w:tcPr>
            <w:tcW w:w="1320" w:type="dxa"/>
            <w:vAlign w:val="bottom"/>
            <w:tcBorders>
              <w:bottom w:val="single" w:sz="8" w:color="auto"/>
            </w:tcBorders>
          </w:tcPr>
          <w:p>
            <w:pPr>
              <w:spacing w:after="0"/>
              <w:rPr>
                <w:sz w:val="19"/>
                <w:szCs w:val="19"/>
                <w:color w:val="auto"/>
              </w:rPr>
            </w:pPr>
          </w:p>
        </w:tc>
      </w:tr>
      <w:tr>
        <w:trPr>
          <w:trHeight w:val="220"/>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9"/>
                <w:szCs w:val="19"/>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 Rate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 Rate</w:t>
            </w:r>
          </w:p>
        </w:tc>
      </w:tr>
      <w:tr>
        <w:trPr>
          <w:trHeight w:val="230"/>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Average Balance</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Paid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Average Balance</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Paid</w:t>
            </w:r>
          </w:p>
        </w:tc>
      </w:tr>
      <w:tr>
        <w:trPr>
          <w:trHeight w:val="220"/>
        </w:trPr>
        <w:tc>
          <w:tcPr>
            <w:tcW w:w="452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Non-interest bearing demand deposits</w:t>
            </w: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4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596,073</w:t>
            </w:r>
          </w:p>
        </w:tc>
        <w:tc>
          <w:tcPr>
            <w:tcW w:w="80" w:type="dxa"/>
            <w:vAlign w:val="bottom"/>
            <w:tcBorders>
              <w:top w:val="single" w:sz="8" w:color="D2EEF5"/>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13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607,506</w:t>
            </w:r>
          </w:p>
        </w:tc>
        <w:tc>
          <w:tcPr>
            <w:tcW w:w="80" w:type="dxa"/>
            <w:vAlign w:val="bottom"/>
            <w:tcBorders>
              <w:top w:val="single" w:sz="8" w:color="D2EEF5"/>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13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0.00%</w:t>
            </w:r>
          </w:p>
        </w:tc>
      </w:tr>
      <w:tr>
        <w:trPr>
          <w:trHeight w:val="240"/>
        </w:trPr>
        <w:tc>
          <w:tcPr>
            <w:tcW w:w="4520" w:type="dxa"/>
            <w:vAlign w:val="bottom"/>
            <w:gridSpan w:val="2"/>
          </w:tcPr>
          <w:p>
            <w:pPr>
              <w:spacing w:after="0"/>
              <w:rPr>
                <w:sz w:val="20"/>
                <w:szCs w:val="20"/>
                <w:color w:val="auto"/>
              </w:rPr>
            </w:pPr>
            <w:r>
              <w:rPr>
                <w:rFonts w:ascii="Arial" w:cs="Arial" w:eastAsia="Arial" w:hAnsi="Arial"/>
                <w:sz w:val="18"/>
                <w:szCs w:val="18"/>
                <w:color w:val="auto"/>
              </w:rPr>
              <w:t>Interest-bearing demand deposits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40"/>
        </w:trPr>
        <w:tc>
          <w:tcPr>
            <w:tcW w:w="45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shd w:val="clear" w:color="auto" w:fill="D2EEF5"/>
          </w:tcPr>
          <w:p>
            <w:pPr>
              <w:spacing w:after="0"/>
              <w:rPr>
                <w:sz w:val="20"/>
                <w:szCs w:val="20"/>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1,109,853</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963,708</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3.08%</w:t>
            </w:r>
          </w:p>
        </w:tc>
      </w:tr>
      <w:tr>
        <w:trPr>
          <w:trHeight w:val="240"/>
        </w:trPr>
        <w:tc>
          <w:tcPr>
            <w:tcW w:w="452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326,373</w:t>
            </w:r>
          </w:p>
        </w:tc>
        <w:tc>
          <w:tcPr>
            <w:tcW w:w="80" w:type="dxa"/>
            <w:vAlign w:val="bottom"/>
            <w:tcBorders>
              <w:bottom w:val="single" w:sz="8" w:color="D2EEF5"/>
            </w:tcBorders>
          </w:tcPr>
          <w:p>
            <w:pPr>
              <w:spacing w:after="0"/>
              <w:rPr>
                <w:sz w:val="20"/>
                <w:szCs w:val="20"/>
                <w:color w:val="auto"/>
              </w:rPr>
            </w:pPr>
          </w:p>
        </w:tc>
        <w:tc>
          <w:tcPr>
            <w:tcW w:w="100" w:type="dxa"/>
            <w:vAlign w:val="bottom"/>
            <w:tcBorders>
              <w:bottom w:val="single" w:sz="8" w:color="D2EEF5"/>
            </w:tcBorders>
          </w:tcPr>
          <w:p>
            <w:pPr>
              <w:spacing w:after="0"/>
              <w:rPr>
                <w:sz w:val="20"/>
                <w:szCs w:val="20"/>
                <w:color w:val="auto"/>
              </w:rPr>
            </w:pPr>
          </w:p>
        </w:tc>
        <w:tc>
          <w:tcPr>
            <w:tcW w:w="1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4.09%</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268,715</w:t>
            </w:r>
          </w:p>
        </w:tc>
        <w:tc>
          <w:tcPr>
            <w:tcW w:w="80" w:type="dxa"/>
            <w:vAlign w:val="bottom"/>
            <w:tcBorders>
              <w:bottom w:val="single" w:sz="8" w:color="D2EEF5"/>
            </w:tcBorders>
          </w:tcPr>
          <w:p>
            <w:pPr>
              <w:spacing w:after="0"/>
              <w:rPr>
                <w:sz w:val="20"/>
                <w:szCs w:val="20"/>
                <w:color w:val="auto"/>
              </w:rPr>
            </w:pPr>
          </w:p>
        </w:tc>
        <w:tc>
          <w:tcPr>
            <w:tcW w:w="100" w:type="dxa"/>
            <w:vAlign w:val="bottom"/>
            <w:tcBorders>
              <w:bottom w:val="single" w:sz="8" w:color="D2EEF5"/>
            </w:tcBorders>
          </w:tcPr>
          <w:p>
            <w:pPr>
              <w:spacing w:after="0"/>
              <w:rPr>
                <w:sz w:val="20"/>
                <w:szCs w:val="20"/>
                <w:color w:val="auto"/>
              </w:rPr>
            </w:pPr>
          </w:p>
        </w:tc>
        <w:tc>
          <w:tcPr>
            <w:tcW w:w="1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3.16%</w:t>
            </w:r>
          </w:p>
        </w:tc>
      </w:tr>
      <w:tr>
        <w:trPr>
          <w:trHeight w:val="236"/>
        </w:trPr>
        <w:tc>
          <w:tcPr>
            <w:tcW w:w="450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2,086,966</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1,893,253</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361"/>
        <w:spacing w:after="0" w:line="251" w:lineRule="auto"/>
        <w:rPr>
          <w:sz w:val="20"/>
          <w:szCs w:val="20"/>
          <w:color w:val="auto"/>
        </w:rPr>
      </w:pPr>
      <w:r>
        <w:rPr>
          <w:rFonts w:ascii="Arial" w:cs="Arial" w:eastAsia="Arial" w:hAnsi="Arial"/>
          <w:sz w:val="20"/>
          <w:szCs w:val="20"/>
          <w:color w:val="auto"/>
        </w:rPr>
        <w:t>Total average deposits for the year ended December 31, 2024 was $2.1 billion, an increase of $193.7 million, or 10.2% over total average deposits of $1.9 billion for the same period in 2023. The greatest increase was in money market and savings deposits which increased by $146.1 million, or 15.2%. Non-interest-bearing demand deposits decreased by $11.4 million or 1.9% due to customers moving deposits to interest-bearing accounts due to increases in rate paid on deposits due to increases in the interest rate market.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0" w:name="page71"/>
    <w:bookmarkEnd w:id="70"/>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9"/>
          <w:szCs w:val="19"/>
          <w:color w:val="auto"/>
        </w:rPr>
        <w:t>The uninsured deposits are estimated based on the FDIC deposit insurance limit of $250 thousand for all deposit accounts at the Bank per account holder. Total estimated uninsured deposits was $1.2 billion at December 31, 2024 and $1.1 billion at December 31, 2023. As of December 31, 2024, 45% of our deposits are estimated to be FDIC-insured. Our public funds are 5% of total deposits and are partially collateralized. Brokered deposits are 6% of total deposits and are FDIC-insured. The estimated average account size of our deposit portfolio is $ 105 thousand. Time deposits with balances of $250 thousand or more totaled $94.0 million and $58.1 million at December 31, 2024 and 2023, respectively. The Bank maintains a well-diversified deposit base. At December 31, 2024, our top 10 depositors only held 16.7% of our total portfolio.</w:t>
      </w:r>
    </w:p>
    <w:p>
      <w:pPr>
        <w:spacing w:after="0" w:line="17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Critical elements of our liquidity risk management include: effective corporate governance consisting of oversight by the Board and ALCO and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9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shows scheduled maturities of uninsured time deposits as of December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180" w:type="dxa"/>
            <w:vAlign w:val="bottom"/>
            <w:shd w:val="clear" w:color="auto" w:fill="D2EEF5"/>
          </w:tcPr>
          <w:p>
            <w:pPr>
              <w:ind w:left="40"/>
              <w:spacing w:after="0"/>
              <w:rPr>
                <w:sz w:val="20"/>
                <w:szCs w:val="20"/>
                <w:color w:val="auto"/>
              </w:rPr>
            </w:pPr>
            <w:r>
              <w:rPr>
                <w:rFonts w:ascii="Arial" w:cs="Arial" w:eastAsia="Arial" w:hAnsi="Arial"/>
                <w:sz w:val="18"/>
                <w:szCs w:val="18"/>
                <w:color w:val="auto"/>
              </w:rPr>
              <w:t>Three months or less</w:t>
            </w: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4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38,848</w:t>
            </w:r>
          </w:p>
        </w:tc>
      </w:tr>
      <w:tr>
        <w:trPr>
          <w:trHeight w:val="254"/>
        </w:trPr>
        <w:tc>
          <w:tcPr>
            <w:tcW w:w="9180" w:type="dxa"/>
            <w:vAlign w:val="bottom"/>
          </w:tcPr>
          <w:p>
            <w:pPr>
              <w:ind w:left="40"/>
              <w:spacing w:after="0"/>
              <w:rPr>
                <w:sz w:val="20"/>
                <w:szCs w:val="20"/>
                <w:color w:val="auto"/>
              </w:rPr>
            </w:pPr>
            <w:r>
              <w:rPr>
                <w:rFonts w:ascii="Arial" w:cs="Arial" w:eastAsia="Arial" w:hAnsi="Arial"/>
                <w:sz w:val="18"/>
                <w:szCs w:val="18"/>
                <w:color w:val="auto"/>
              </w:rPr>
              <w:t>Over three through six months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31,977</w:t>
            </w:r>
          </w:p>
        </w:tc>
      </w:tr>
      <w:tr>
        <w:trPr>
          <w:trHeight w:val="257"/>
        </w:trPr>
        <w:tc>
          <w:tcPr>
            <w:tcW w:w="9180" w:type="dxa"/>
            <w:vAlign w:val="bottom"/>
            <w:shd w:val="clear" w:color="auto" w:fill="D2EEF5"/>
          </w:tcPr>
          <w:p>
            <w:pPr>
              <w:ind w:left="40"/>
              <w:spacing w:after="0"/>
              <w:rPr>
                <w:sz w:val="20"/>
                <w:szCs w:val="20"/>
                <w:color w:val="auto"/>
              </w:rPr>
            </w:pPr>
            <w:r>
              <w:rPr>
                <w:rFonts w:ascii="Arial" w:cs="Arial" w:eastAsia="Arial" w:hAnsi="Arial"/>
                <w:sz w:val="18"/>
                <w:szCs w:val="18"/>
                <w:color w:val="auto"/>
              </w:rPr>
              <w:t>Over six through twelve months</w:t>
            </w: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4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22,239</w:t>
            </w:r>
          </w:p>
        </w:tc>
      </w:tr>
      <w:tr>
        <w:trPr>
          <w:trHeight w:val="254"/>
        </w:trPr>
        <w:tc>
          <w:tcPr>
            <w:tcW w:w="9180" w:type="dxa"/>
            <w:vAlign w:val="bottom"/>
            <w:tcBorders>
              <w:bottom w:val="single" w:sz="8" w:color="D2EEF5"/>
            </w:tcBorders>
          </w:tcPr>
          <w:p>
            <w:pPr>
              <w:ind w:left="40"/>
              <w:spacing w:after="0"/>
              <w:rPr>
                <w:sz w:val="20"/>
                <w:szCs w:val="20"/>
                <w:color w:val="auto"/>
              </w:rPr>
            </w:pPr>
            <w:r>
              <w:rPr>
                <w:rFonts w:ascii="Arial" w:cs="Arial" w:eastAsia="Arial" w:hAnsi="Arial"/>
                <w:sz w:val="18"/>
                <w:szCs w:val="18"/>
                <w:color w:val="auto"/>
              </w:rPr>
              <w:t>Over twelve months</w:t>
            </w:r>
          </w:p>
        </w:tc>
        <w:tc>
          <w:tcPr>
            <w:tcW w:w="20" w:type="dxa"/>
            <w:vAlign w:val="bottom"/>
            <w:tcBorders>
              <w:bottom w:val="single" w:sz="8" w:color="D2EEF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r>
        <w:trPr>
          <w:trHeight w:val="236"/>
        </w:trPr>
        <w:tc>
          <w:tcPr>
            <w:tcW w:w="918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4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94,006</w:t>
            </w:r>
          </w:p>
        </w:tc>
      </w:tr>
      <w:tr>
        <w:trPr>
          <w:trHeight w:val="20"/>
        </w:trPr>
        <w:tc>
          <w:tcPr>
            <w:tcW w:w="9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Borrowings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Outstanding fixed-rate advances from the FHLB were at $163.0 million and $183.0 million, as of December 31, 2024, and December 31, 2023, respectively. The weighted average rate for outstanding FHLB advances was 3.8% and 4.4% at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1" w:name="page72"/>
    <w:bookmarkEnd w:id="71"/>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FHLB fixed rate advances as of December 31, 2024 (in thousands):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540pt,2.05pt" o:allowincell="f" strokecolor="#000000" strokeweight="0.4799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Borders>
              <w:bottom w:val="single" w:sz="8" w:color="D2EEF5"/>
            </w:tcBorders>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Maturity Date</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D2EEF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Amount</w:t>
            </w:r>
          </w:p>
        </w:tc>
      </w:tr>
      <w:tr>
        <w:trPr>
          <w:trHeight w:val="188"/>
        </w:trPr>
        <w:tc>
          <w:tcPr>
            <w:tcW w:w="2560" w:type="dxa"/>
            <w:vAlign w:val="bottom"/>
            <w:tcBorders>
              <w:top w:val="single" w:sz="8" w:color="D2EEF5"/>
              <w:bottom w:val="single" w:sz="8" w:color="D2EEF5"/>
            </w:tcBorders>
            <w:shd w:val="clear" w:color="auto" w:fill="D2EEF5"/>
          </w:tcPr>
          <w:p>
            <w:pPr>
              <w:jc w:val="center"/>
              <w:spacing w:after="0" w:line="189" w:lineRule="exact"/>
              <w:rPr>
                <w:sz w:val="20"/>
                <w:szCs w:val="20"/>
                <w:color w:val="auto"/>
              </w:rPr>
            </w:pPr>
            <w:r>
              <w:rPr>
                <w:rFonts w:ascii="Arial" w:cs="Arial" w:eastAsia="Arial" w:hAnsi="Arial"/>
                <w:sz w:val="18"/>
                <w:szCs w:val="18"/>
                <w:color w:val="auto"/>
              </w:rPr>
              <w:t>2.05%</w:t>
            </w:r>
          </w:p>
        </w:tc>
        <w:tc>
          <w:tcPr>
            <w:tcW w:w="180" w:type="dxa"/>
            <w:vAlign w:val="bottom"/>
            <w:tcBorders>
              <w:top w:val="single" w:sz="8" w:color="D2EEF5"/>
              <w:bottom w:val="single" w:sz="8" w:color="D2EEF5"/>
            </w:tcBorders>
            <w:shd w:val="clear" w:color="auto" w:fill="D2EEF5"/>
          </w:tcPr>
          <w:p>
            <w:pPr>
              <w:spacing w:after="0"/>
              <w:rPr>
                <w:sz w:val="16"/>
                <w:szCs w:val="16"/>
                <w:color w:val="auto"/>
              </w:rPr>
            </w:pPr>
          </w:p>
        </w:tc>
        <w:tc>
          <w:tcPr>
            <w:tcW w:w="2580" w:type="dxa"/>
            <w:vAlign w:val="bottom"/>
            <w:tcBorders>
              <w:top w:val="single" w:sz="8" w:color="D2EEF5"/>
              <w:bottom w:val="single" w:sz="8" w:color="D2EEF5"/>
            </w:tcBorders>
            <w:shd w:val="clear" w:color="auto" w:fill="D2EEF5"/>
          </w:tcPr>
          <w:p>
            <w:pPr>
              <w:jc w:val="center"/>
              <w:spacing w:after="0" w:line="189" w:lineRule="exact"/>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6"/>
                <w:szCs w:val="16"/>
                <w:color w:val="auto"/>
              </w:rPr>
            </w:pPr>
          </w:p>
        </w:tc>
        <w:tc>
          <w:tcPr>
            <w:tcW w:w="60" w:type="dxa"/>
            <w:vAlign w:val="bottom"/>
            <w:tcBorders>
              <w:top w:val="single" w:sz="8" w:color="D2EEF5"/>
              <w:bottom w:val="single" w:sz="8" w:color="D2EEF5"/>
            </w:tcBorders>
            <w:shd w:val="clear" w:color="auto" w:fill="D2EEF5"/>
          </w:tcPr>
          <w:p>
            <w:pPr>
              <w:spacing w:after="0"/>
              <w:rPr>
                <w:sz w:val="16"/>
                <w:szCs w:val="16"/>
                <w:color w:val="auto"/>
              </w:rPr>
            </w:pPr>
          </w:p>
        </w:tc>
        <w:tc>
          <w:tcPr>
            <w:tcW w:w="2140" w:type="dxa"/>
            <w:vAlign w:val="bottom"/>
            <w:tcBorders>
              <w:top w:val="single" w:sz="8" w:color="D2EEF5"/>
              <w:bottom w:val="single" w:sz="8" w:color="D2EEF5"/>
            </w:tcBorders>
            <w:shd w:val="clear" w:color="auto" w:fill="D2EEF5"/>
          </w:tcPr>
          <w:p>
            <w:pPr>
              <w:jc w:val="right"/>
              <w:spacing w:after="0" w:line="189" w:lineRule="exact"/>
              <w:rPr>
                <w:sz w:val="20"/>
                <w:szCs w:val="20"/>
                <w:color w:val="auto"/>
              </w:rPr>
            </w:pPr>
            <w:r>
              <w:rPr>
                <w:rFonts w:ascii="Arial" w:cs="Arial" w:eastAsia="Arial" w:hAnsi="Arial"/>
                <w:sz w:val="18"/>
                <w:szCs w:val="18"/>
                <w:color w:val="auto"/>
              </w:rPr>
              <w:t>March 27,</w:t>
            </w:r>
          </w:p>
        </w:tc>
        <w:tc>
          <w:tcPr>
            <w:tcW w:w="420" w:type="dxa"/>
            <w:vAlign w:val="bottom"/>
            <w:tcBorders>
              <w:top w:val="single" w:sz="8" w:color="D2EEF5"/>
              <w:bottom w:val="single" w:sz="8" w:color="D2EEF5"/>
            </w:tcBorders>
            <w:shd w:val="clear" w:color="auto" w:fill="D2EEF5"/>
          </w:tcPr>
          <w:p>
            <w:pPr>
              <w:ind w:left="20"/>
              <w:spacing w:after="0" w:line="189" w:lineRule="exact"/>
              <w:rPr>
                <w:sz w:val="20"/>
                <w:szCs w:val="20"/>
                <w:color w:val="auto"/>
              </w:rPr>
            </w:pPr>
            <w:r>
              <w:rPr>
                <w:rFonts w:ascii="Arial" w:cs="Arial" w:eastAsia="Arial" w:hAnsi="Arial"/>
                <w:sz w:val="18"/>
                <w:szCs w:val="18"/>
                <w:color w:val="auto"/>
                <w:w w:val="94"/>
              </w:rPr>
              <w:t>2025</w:t>
            </w:r>
          </w:p>
        </w:tc>
        <w:tc>
          <w:tcPr>
            <w:tcW w:w="100" w:type="dxa"/>
            <w:vAlign w:val="bottom"/>
            <w:tcBorders>
              <w:top w:val="single" w:sz="8" w:color="D2EEF5"/>
              <w:bottom w:val="single" w:sz="8" w:color="D2EEF5"/>
            </w:tcBorders>
            <w:shd w:val="clear" w:color="auto" w:fill="D2EEF5"/>
          </w:tcPr>
          <w:p>
            <w:pPr>
              <w:spacing w:after="0"/>
              <w:rPr>
                <w:sz w:val="16"/>
                <w:szCs w:val="16"/>
                <w:color w:val="auto"/>
              </w:rPr>
            </w:pPr>
          </w:p>
        </w:tc>
        <w:tc>
          <w:tcPr>
            <w:tcW w:w="180" w:type="dxa"/>
            <w:vAlign w:val="bottom"/>
            <w:tcBorders>
              <w:top w:val="single" w:sz="8" w:color="D2EEF5"/>
              <w:bottom w:val="single" w:sz="8" w:color="D2EEF5"/>
            </w:tcBorders>
            <w:shd w:val="clear" w:color="auto" w:fill="D2EEF5"/>
          </w:tcPr>
          <w:p>
            <w:pPr>
              <w:jc w:val="right"/>
              <w:spacing w:after="0" w:line="189" w:lineRule="exact"/>
              <w:rPr>
                <w:sz w:val="20"/>
                <w:szCs w:val="20"/>
                <w:color w:val="auto"/>
              </w:rPr>
            </w:pPr>
            <w:r>
              <w:rPr>
                <w:rFonts w:ascii="Arial" w:cs="Arial" w:eastAsia="Arial" w:hAnsi="Arial"/>
                <w:sz w:val="18"/>
                <w:szCs w:val="18"/>
                <w:color w:val="auto"/>
                <w:w w:val="79"/>
              </w:rPr>
              <w:t>$</w:t>
            </w:r>
          </w:p>
        </w:tc>
        <w:tc>
          <w:tcPr>
            <w:tcW w:w="2560" w:type="dxa"/>
            <w:vAlign w:val="bottom"/>
            <w:tcBorders>
              <w:top w:val="single" w:sz="8" w:color="D2EEF5"/>
              <w:bottom w:val="single" w:sz="8" w:color="D2EEF5"/>
            </w:tcBorders>
            <w:shd w:val="clear" w:color="auto" w:fill="D2EEF5"/>
          </w:tcPr>
          <w:p>
            <w:pPr>
              <w:jc w:val="right"/>
              <w:spacing w:after="0" w:line="189" w:lineRule="exact"/>
              <w:rPr>
                <w:sz w:val="20"/>
                <w:szCs w:val="20"/>
                <w:color w:val="auto"/>
              </w:rPr>
            </w:pPr>
            <w:r>
              <w:rPr>
                <w:rFonts w:ascii="Arial" w:cs="Arial" w:eastAsia="Arial" w:hAnsi="Arial"/>
                <w:sz w:val="18"/>
                <w:szCs w:val="18"/>
                <w:color w:val="auto"/>
              </w:rPr>
              <w:t>10,000</w:t>
            </w:r>
          </w:p>
        </w:tc>
      </w:tr>
      <w:tr>
        <w:trPr>
          <w:trHeight w:val="232"/>
        </w:trPr>
        <w:tc>
          <w:tcPr>
            <w:tcW w:w="2560" w:type="dxa"/>
            <w:vAlign w:val="bottom"/>
          </w:tcPr>
          <w:p>
            <w:pPr>
              <w:jc w:val="cente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July 18,</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0"/>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D2EEF5"/>
            </w:tcBorders>
            <w:shd w:val="clear" w:color="auto" w:fill="D2EEF5"/>
          </w:tcPr>
          <w:p>
            <w:pPr>
              <w:spacing w:after="0"/>
              <w:rPr>
                <w:sz w:val="19"/>
                <w:szCs w:val="19"/>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January 24,</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2028</w:t>
            </w:r>
          </w:p>
        </w:tc>
        <w:tc>
          <w:tcPr>
            <w:tcW w:w="10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11,000</w:t>
            </w:r>
          </w:p>
        </w:tc>
      </w:tr>
      <w:tr>
        <w:trPr>
          <w:trHeight w:val="240"/>
        </w:trPr>
        <w:tc>
          <w:tcPr>
            <w:tcW w:w="2560" w:type="dxa"/>
            <w:vAlign w:val="bottom"/>
          </w:tcPr>
          <w:p>
            <w:pPr>
              <w:jc w:val="center"/>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April 25,</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0"/>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D2EEF5"/>
            </w:tcBorders>
            <w:shd w:val="clear" w:color="auto" w:fill="D2EEF5"/>
          </w:tcPr>
          <w:p>
            <w:pPr>
              <w:spacing w:after="0"/>
              <w:rPr>
                <w:sz w:val="19"/>
                <w:szCs w:val="19"/>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September 13,</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2027</w:t>
            </w:r>
          </w:p>
        </w:tc>
        <w:tc>
          <w:tcPr>
            <w:tcW w:w="10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21,000</w:t>
            </w:r>
          </w:p>
        </w:tc>
      </w:tr>
      <w:tr>
        <w:trPr>
          <w:trHeight w:val="244"/>
        </w:trPr>
        <w:tc>
          <w:tcPr>
            <w:tcW w:w="2560" w:type="dxa"/>
            <w:vAlign w:val="bottom"/>
            <w:tcBorders>
              <w:bottom w:val="single" w:sz="8" w:color="D2EEF5"/>
            </w:tcBorders>
          </w:tcPr>
          <w:p>
            <w:pPr>
              <w:jc w:val="center"/>
              <w:spacing w:after="0"/>
              <w:rPr>
                <w:sz w:val="20"/>
                <w:szCs w:val="20"/>
                <w:color w:val="auto"/>
              </w:rPr>
            </w:pPr>
            <w:r>
              <w:rPr>
                <w:rFonts w:ascii="Arial" w:cs="Arial" w:eastAsia="Arial" w:hAnsi="Arial"/>
                <w:sz w:val="18"/>
                <w:szCs w:val="18"/>
                <w:color w:val="auto"/>
              </w:rPr>
              <w:t>3.79%</w:t>
            </w:r>
          </w:p>
        </w:tc>
        <w:tc>
          <w:tcPr>
            <w:tcW w:w="180" w:type="dxa"/>
            <w:vAlign w:val="bottom"/>
            <w:tcBorders>
              <w:bottom w:val="single" w:sz="8" w:color="D2EEF5"/>
            </w:tcBorders>
          </w:tcPr>
          <w:p>
            <w:pPr>
              <w:spacing w:after="0"/>
              <w:rPr>
                <w:sz w:val="21"/>
                <w:szCs w:val="21"/>
                <w:color w:val="auto"/>
              </w:rPr>
            </w:pPr>
          </w:p>
        </w:tc>
        <w:tc>
          <w:tcPr>
            <w:tcW w:w="2580" w:type="dxa"/>
            <w:vAlign w:val="bottom"/>
            <w:tcBorders>
              <w:bottom w:val="single" w:sz="8" w:color="D2EEF5"/>
            </w:tcBorders>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1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March 23,</w:t>
            </w:r>
          </w:p>
        </w:tc>
        <w:tc>
          <w:tcPr>
            <w:tcW w:w="520" w:type="dxa"/>
            <w:vAlign w:val="bottom"/>
            <w:tcBorders>
              <w:bottom w:val="single" w:sz="8" w:color="D2EEF5"/>
            </w:tcBorders>
            <w:gridSpan w:val="2"/>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D2EEF5"/>
            </w:tcBorders>
          </w:tcPr>
          <w:p>
            <w:pPr>
              <w:spacing w:after="0"/>
              <w:rPr>
                <w:sz w:val="21"/>
                <w:szCs w:val="21"/>
                <w:color w:val="auto"/>
              </w:rPr>
            </w:pPr>
          </w:p>
        </w:tc>
        <w:tc>
          <w:tcPr>
            <w:tcW w:w="256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D2EEF5"/>
            </w:tcBorders>
            <w:shd w:val="clear" w:color="auto" w:fill="D2EEF5"/>
          </w:tcPr>
          <w:p>
            <w:pPr>
              <w:spacing w:after="0"/>
              <w:rPr>
                <w:sz w:val="20"/>
                <w:szCs w:val="20"/>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February 13,</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2025</w:t>
            </w:r>
          </w:p>
        </w:tc>
        <w:tc>
          <w:tcPr>
            <w:tcW w:w="10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45,000</w:t>
            </w:r>
          </w:p>
        </w:tc>
      </w:tr>
      <w:tr>
        <w:trPr>
          <w:trHeight w:val="237"/>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163,000</w:t>
            </w: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540pt,2.05pt" o:allowincell="f" strokecolor="#000000" strokeweight="0.48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Borders>
              <w:bottom w:val="single" w:sz="8" w:color="D2EEF5"/>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Maturity Date</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Amount</w:t>
            </w:r>
          </w:p>
        </w:tc>
      </w:tr>
      <w:tr>
        <w:trPr>
          <w:trHeight w:val="208"/>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D2EEF5"/>
            </w:tcBorders>
            <w:shd w:val="clear" w:color="auto" w:fill="D2EEF5"/>
          </w:tcPr>
          <w:p>
            <w:pPr>
              <w:spacing w:after="0"/>
              <w:rPr>
                <w:sz w:val="18"/>
                <w:szCs w:val="18"/>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July 30,</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2024</w:t>
            </w:r>
          </w:p>
        </w:tc>
        <w:tc>
          <w:tcPr>
            <w:tcW w:w="8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spacing w:after="0"/>
              <w:rPr>
                <w:sz w:val="18"/>
                <w:szCs w:val="18"/>
                <w:color w:val="auto"/>
              </w:rPr>
            </w:pP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5,000</w:t>
            </w:r>
          </w:p>
        </w:tc>
      </w:tr>
      <w:tr>
        <w:trPr>
          <w:trHeight w:val="232"/>
        </w:trPr>
        <w:tc>
          <w:tcPr>
            <w:tcW w:w="2560" w:type="dxa"/>
            <w:vAlign w:val="bottom"/>
          </w:tcPr>
          <w:p>
            <w:pPr>
              <w:jc w:val="cente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July 18,</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0"/>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D2EEF5"/>
            </w:tcBorders>
            <w:shd w:val="clear" w:color="auto" w:fill="D2EEF5"/>
          </w:tcPr>
          <w:p>
            <w:pPr>
              <w:spacing w:after="0"/>
              <w:rPr>
                <w:sz w:val="19"/>
                <w:szCs w:val="19"/>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March 27,</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2025</w:t>
            </w:r>
          </w:p>
        </w:tc>
        <w:tc>
          <w:tcPr>
            <w:tcW w:w="80" w:type="dxa"/>
            <w:vAlign w:val="bottom"/>
            <w:tcBorders>
              <w:bottom w:val="single" w:sz="8" w:color="D2EEF5"/>
            </w:tcBorders>
            <w:shd w:val="clear" w:color="auto" w:fill="D2EEF5"/>
          </w:tcPr>
          <w:p>
            <w:pPr>
              <w:spacing w:after="0"/>
              <w:rPr>
                <w:sz w:val="19"/>
                <w:szCs w:val="19"/>
                <w:color w:val="auto"/>
              </w:rPr>
            </w:pPr>
          </w:p>
        </w:tc>
        <w:tc>
          <w:tcPr>
            <w:tcW w:w="2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10,000</w:t>
            </w:r>
          </w:p>
        </w:tc>
      </w:tr>
      <w:tr>
        <w:trPr>
          <w:trHeight w:val="240"/>
        </w:trPr>
        <w:tc>
          <w:tcPr>
            <w:tcW w:w="2560" w:type="dxa"/>
            <w:vAlign w:val="bottom"/>
          </w:tcPr>
          <w:p>
            <w:pPr>
              <w:jc w:val="center"/>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January 24,</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20"/>
        </w:trPr>
        <w:tc>
          <w:tcPr>
            <w:tcW w:w="256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D2EEF5"/>
            </w:tcBorders>
            <w:shd w:val="clear" w:color="auto" w:fill="D2EEF5"/>
          </w:tcPr>
          <w:p>
            <w:pPr>
              <w:spacing w:after="0"/>
              <w:rPr>
                <w:sz w:val="19"/>
                <w:szCs w:val="19"/>
                <w:color w:val="auto"/>
              </w:rPr>
            </w:pPr>
          </w:p>
        </w:tc>
        <w:tc>
          <w:tcPr>
            <w:tcW w:w="25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2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April 25,</w:t>
            </w:r>
          </w:p>
        </w:tc>
        <w:tc>
          <w:tcPr>
            <w:tcW w:w="420" w:type="dxa"/>
            <w:vAlign w:val="bottom"/>
            <w:tcBorders>
              <w:bottom w:val="single" w:sz="8" w:color="D2EEF5"/>
            </w:tcBorders>
            <w:shd w:val="clear" w:color="auto" w:fill="D2EEF5"/>
          </w:tcPr>
          <w:p>
            <w:pPr>
              <w:ind w:left="20"/>
              <w:spacing w:after="0"/>
              <w:rPr>
                <w:sz w:val="20"/>
                <w:szCs w:val="20"/>
                <w:color w:val="auto"/>
              </w:rPr>
            </w:pPr>
            <w:r>
              <w:rPr>
                <w:rFonts w:ascii="Arial" w:cs="Arial" w:eastAsia="Arial" w:hAnsi="Arial"/>
                <w:sz w:val="18"/>
                <w:szCs w:val="18"/>
                <w:color w:val="auto"/>
                <w:w w:val="94"/>
              </w:rPr>
              <w:t>2028</w:t>
            </w:r>
          </w:p>
        </w:tc>
        <w:tc>
          <w:tcPr>
            <w:tcW w:w="80" w:type="dxa"/>
            <w:vAlign w:val="bottom"/>
            <w:tcBorders>
              <w:bottom w:val="single" w:sz="8" w:color="D2EEF5"/>
            </w:tcBorders>
            <w:shd w:val="clear" w:color="auto" w:fill="D2EEF5"/>
          </w:tcPr>
          <w:p>
            <w:pPr>
              <w:spacing w:after="0"/>
              <w:rPr>
                <w:sz w:val="19"/>
                <w:szCs w:val="19"/>
                <w:color w:val="auto"/>
              </w:rPr>
            </w:pPr>
          </w:p>
        </w:tc>
        <w:tc>
          <w:tcPr>
            <w:tcW w:w="2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5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50,000</w:t>
            </w:r>
          </w:p>
        </w:tc>
      </w:tr>
      <w:tr>
        <w:trPr>
          <w:trHeight w:val="240"/>
        </w:trPr>
        <w:tc>
          <w:tcPr>
            <w:tcW w:w="2560" w:type="dxa"/>
            <w:vAlign w:val="bottom"/>
          </w:tcPr>
          <w:p>
            <w:pPr>
              <w:jc w:val="center"/>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December 26,</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101,000</w:t>
            </w:r>
          </w:p>
        </w:tc>
      </w:tr>
      <w:tr>
        <w:trPr>
          <w:trHeight w:val="237"/>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183,000</w:t>
            </w: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have also established Fed Funds lines of credit with our upstream correspondent banks to manage temporary fluctuations in our daily cash balances. As of December 31, 2024, there were no outstanding balances under the Fed Funds line of credit.</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8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paid off $80 million in borrowings under the BTFP program during the third quarter of 2024. The original maturity of this borrowing by the Bank under the BTFP program was January 2025, and there are no remaining borrowings under this program.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35" w:lineRule="exact"/>
        <w:rPr>
          <w:sz w:val="20"/>
          <w:szCs w:val="20"/>
          <w:color w:val="auto"/>
        </w:rPr>
      </w:pPr>
    </w:p>
    <w:p>
      <w:pPr>
        <w:jc w:val="both"/>
        <w:ind w:firstLine="361"/>
        <w:spacing w:after="0" w:line="247" w:lineRule="auto"/>
        <w:rPr>
          <w:sz w:val="20"/>
          <w:szCs w:val="20"/>
          <w:color w:val="auto"/>
        </w:rPr>
      </w:pPr>
      <w:r>
        <w:rPr>
          <w:rFonts w:ascii="Arial" w:cs="Arial" w:eastAsia="Arial" w:hAnsi="Arial"/>
          <w:sz w:val="20"/>
          <w:szCs w:val="20"/>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Since commitments associated with letters of credit and commitments to extend credit may expire unused, the amounts shown do not necessarily reflect the actual future cash funding requirements. The following table presents lending related commitments outstanding as of December 31, 2024 and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D2EEF5"/>
            </w:tcBorders>
          </w:tcPr>
          <w:p>
            <w:pPr>
              <w:spacing w:after="0"/>
              <w:rPr>
                <w:sz w:val="19"/>
                <w:szCs w:val="19"/>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 2023</w:t>
            </w:r>
          </w:p>
        </w:tc>
      </w:tr>
      <w:tr>
        <w:trPr>
          <w:trHeight w:val="220"/>
        </w:trPr>
        <w:tc>
          <w:tcPr>
            <w:tcW w:w="710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Commitments to grant loans and unfunded lines of credit</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122,578</w:t>
            </w:r>
          </w:p>
        </w:tc>
        <w:tc>
          <w:tcPr>
            <w:tcW w:w="60" w:type="dxa"/>
            <w:vAlign w:val="bottom"/>
            <w:shd w:val="clear" w:color="auto" w:fill="D2EEF5"/>
          </w:tcPr>
          <w:p>
            <w:pPr>
              <w:spacing w:after="0"/>
              <w:rPr>
                <w:sz w:val="19"/>
                <w:szCs w:val="19"/>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85,117</w:t>
            </w:r>
          </w:p>
        </w:tc>
      </w:tr>
      <w:tr>
        <w:trPr>
          <w:trHeight w:val="240"/>
        </w:trPr>
        <w:tc>
          <w:tcPr>
            <w:tcW w:w="710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Standby and commercial letters of credit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60" w:type="dxa"/>
            <w:vAlign w:val="bottom"/>
            <w:tcBorders>
              <w:bottom w:val="single" w:sz="8" w:color="D2EEF5"/>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36"/>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127,967</w:t>
            </w:r>
          </w:p>
        </w:tc>
        <w:tc>
          <w:tcPr>
            <w:tcW w:w="60" w:type="dxa"/>
            <w:vAlign w:val="bottom"/>
            <w:shd w:val="clear" w:color="auto" w:fill="D2EEF5"/>
          </w:tcPr>
          <w:p>
            <w:pPr>
              <w:spacing w:after="0"/>
              <w:rPr>
                <w:sz w:val="20"/>
                <w:szCs w:val="20"/>
                <w:color w:val="auto"/>
              </w:rPr>
            </w:pPr>
          </w:p>
        </w:tc>
        <w:tc>
          <w:tcPr>
            <w:tcW w:w="660" w:type="dxa"/>
            <w:vAlign w:val="bottom"/>
            <w:shd w:val="clear" w:color="auto" w:fill="D2EEF5"/>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89,104</w:t>
            </w: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w:t>
      </w:r>
    </w:p>
    <w:p>
      <w:pPr>
        <w:spacing w:after="0" w:line="200" w:lineRule="exact"/>
        <w:rPr>
          <w:sz w:val="20"/>
          <w:szCs w:val="20"/>
          <w:color w:val="auto"/>
        </w:rPr>
      </w:pPr>
    </w:p>
    <w:p>
      <w:pPr>
        <w:spacing w:after="0" w:line="382"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2" w:name="page73"/>
    <w:bookmarkEnd w:id="72"/>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expire without being fully drawn, the total commitment amounts disclosed above do not necessarily represent future cash requirements.</w:t>
      </w:r>
    </w:p>
    <w:p>
      <w:pPr>
        <w:spacing w:after="0" w:line="1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Unfunded lines of credit represent unused portions of credit facilities to our current borrowers that represent no change in credit risk in our portfolio. Lines of credit generally have variable interest rates. The maximum potential number of future payments we could be required to make is represented by the contractual amount of the commitment, less the amount of any advances made.</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and Liability Management Committee</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18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ALCO oversees the establishment, approval, implementation, and review of interest rate risk, management, and mitigation strategies, ALM related policies, ALCO procedures and risk tolerances and appetite.</w:t>
      </w:r>
    </w:p>
    <w:p>
      <w:pPr>
        <w:spacing w:after="0" w:line="152"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While some degree of interest rate risk (“IRR”) exposure is inherent to the banking business, our ALCO has established what it believes are sound risk management practices in place to identify, measure, monitor and mitigate IRR exposures.</w:t>
      </w:r>
    </w:p>
    <w:p>
      <w:pPr>
        <w:spacing w:after="0" w:line="12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When assessing the scope of IRR exposure and impact on the consolidated balance sheet, cash flows and statement of operations, management considers both earnings and economic impacts. Asset price variations, deposits volatility and reduced earnings or outright losses could adversely affect the Company’s liquidity, performance, and capital adequacy.</w:t>
      </w:r>
    </w:p>
    <w:p>
      <w:pPr>
        <w:spacing w:after="0" w:line="17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82"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To have a more complete picture of IRR, the Company also evaluates the economic value of equity.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and Interest Rate Risk Management</w:t>
      </w:r>
    </w:p>
    <w:p>
      <w:pPr>
        <w:spacing w:after="0" w:line="235" w:lineRule="exact"/>
        <w:rPr>
          <w:sz w:val="20"/>
          <w:szCs w:val="20"/>
          <w:color w:val="auto"/>
        </w:rPr>
      </w:pPr>
    </w:p>
    <w:p>
      <w:pPr>
        <w:jc w:val="both"/>
        <w:ind w:firstLine="415"/>
        <w:spacing w:after="0" w:line="246" w:lineRule="auto"/>
        <w:rPr>
          <w:sz w:val="20"/>
          <w:szCs w:val="20"/>
          <w:color w:val="auto"/>
        </w:rPr>
      </w:pPr>
      <w:r>
        <w:rPr>
          <w:rFonts w:ascii="Arial" w:cs="Arial" w:eastAsia="Arial" w:hAnsi="Arial"/>
          <w:sz w:val="20"/>
          <w:szCs w:val="20"/>
          <w:color w:val="auto"/>
        </w:rPr>
        <w:t>According to our ALCO model, as of December 31, 2024, the Bank’s balance sheet was neutral for year one and asset sensitive for year two.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Neutral indicates minimal changes to the net interest income due to changes on the market interest rate.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8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Because of the inherent use of these estimates and assumptions in the model, our actual results may, and most likely will, differ from static measures results. In addition, static measures like the economic value of equity do not include actions that management may undertake to manage the risks in response to anticipated changes in interest rates or client deposit behavior. As part of our ALM strategy and policy, management has the ability to modify the balance sheet to either increase</w:t>
      </w:r>
    </w:p>
    <w:p>
      <w:pPr>
        <w:spacing w:after="0" w:line="200" w:lineRule="exact"/>
        <w:rPr>
          <w:sz w:val="20"/>
          <w:szCs w:val="20"/>
          <w:color w:val="auto"/>
        </w:rPr>
      </w:pPr>
    </w:p>
    <w:p>
      <w:pPr>
        <w:spacing w:after="0" w:line="331"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3" w:name="page74"/>
    <w:bookmarkEnd w:id="73"/>
    <w:p>
      <w:pPr>
        <w:spacing w:after="0"/>
        <w:rPr>
          <w:sz w:val="20"/>
          <w:szCs w:val="20"/>
          <w:color w:val="auto"/>
        </w:rPr>
      </w:pPr>
      <w:r>
        <w:rPr>
          <w:rFonts w:ascii="Arial" w:cs="Arial" w:eastAsia="Arial" w:hAnsi="Arial"/>
          <w:sz w:val="20"/>
          <w:szCs w:val="20"/>
          <w:u w:val="single" w:color="auto"/>
          <w:color w:val="1C2790"/>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or decrease asset duration and increase or decrease liability duration to modify the balance sheet sensitivity to interest rates.</w:t>
      </w:r>
    </w:p>
    <w:p>
      <w:pPr>
        <w:spacing w:after="0" w:line="15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According to our model, as of end of 2024, the NIM will remain fairly stable for static rate scenarios ( -400 basis points: +400 basis points).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w:t>
      </w:r>
    </w:p>
    <w:p>
      <w:pPr>
        <w:spacing w:after="0" w:line="16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Additionally, in the last year we have been reducing our asset sensitivity by extending asset duration. This has reduced our NII volatility for the first and second year in the analysis and has helped us to maintain the NII in accordance with ALCO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35"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9"/>
          <w:szCs w:val="19"/>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5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Liquidity risk is the risk that we will be unable to meet our short-term and long-term obligations as they become due because of an inability to liquidate assets or obtain adequate funding on acceptable terms in a timely matter. The Company’s obligations, and the funding sources used to meet them, depend significantly on our business mix, balance sheet structure and composition, credit quality of our assets, interest rate environment and the cash flow profiles of our on- and off-balance sheet obligations.</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In managing cash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Company’s contingency funding plan.</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Changes in macroeconomic conditions, exposure to credit deterioration, market, operational, legal and reputational risks, including cybersecurity risk and social media events could also affect the Company’s liquidity risk profile unexpectedly and are considered in the assessment of liquidity and ALM framework.</w:t>
      </w:r>
    </w:p>
    <w:p>
      <w:pPr>
        <w:spacing w:after="0" w:line="17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6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Critical elements of our liquidity risk management include: effective corporate governance consisting of oversight by the Board and ALCO and involvement by senior management;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8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At December 31, 2024, the Company had $412.8 million in available liquidity on balance sheet, including $339.7 million in unpledged securities available to use as collateral and $73.1 million in excess cash. The Company had an additional $267.0 million in off-balance sheet liquidity, excluding access to brokered deposits and other off-balance sheet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4" w:name="page75"/>
    <w:bookmarkEnd w:id="74"/>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Adequacy</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As of December 31, 2024, the Bank was well capitalized under the FDIC’s prompt corrective action framework. Additionally, we follow the capital conservation buffer framework, and according to our actual ratios, the Bank exceeds the capital conversation buffer in all capital ratios as of December 31, 2024. The Company is not subject to regulatory capital requirements because it is deemed by the Federal Reserve to be a small bank holding company.</w:t>
      </w:r>
    </w:p>
    <w:p>
      <w:pPr>
        <w:spacing w:after="0" w:line="18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capital ratios for the Bank at December 31, 2024 and 2023 (in thousands, except ratios):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vMerge w:val="restart"/>
          </w:tcPr>
          <w:p>
            <w:pPr>
              <w:jc w:val="right"/>
              <w:ind w:right="450"/>
              <w:spacing w:after="0"/>
              <w:rPr>
                <w:sz w:val="20"/>
                <w:szCs w:val="20"/>
                <w:color w:val="auto"/>
              </w:rPr>
            </w:pPr>
            <w:r>
              <w:rPr>
                <w:rFonts w:ascii="Arial" w:cs="Arial" w:eastAsia="Arial" w:hAnsi="Arial"/>
                <w:sz w:val="18"/>
                <w:szCs w:val="18"/>
                <w:b w:val="1"/>
                <w:bCs w:val="1"/>
                <w:color w:val="auto"/>
              </w:rPr>
              <w:t>Minimum Capital</w:t>
            </w:r>
          </w:p>
        </w:tc>
        <w:tc>
          <w:tcPr>
            <w:tcW w:w="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To be Well Capitalized Under</w:t>
            </w:r>
          </w:p>
        </w:tc>
        <w:tc>
          <w:tcPr>
            <w:tcW w:w="0" w:type="dxa"/>
            <w:vAlign w:val="bottom"/>
          </w:tcPr>
          <w:p>
            <w:pPr>
              <w:spacing w:after="0"/>
              <w:rPr>
                <w:sz w:val="1"/>
                <w:szCs w:val="1"/>
                <w:color w:val="auto"/>
              </w:rPr>
            </w:pPr>
          </w:p>
        </w:tc>
      </w:tr>
      <w:tr>
        <w:trPr>
          <w:trHeight w:val="206"/>
        </w:trPr>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Prompt Corrective Action</w:t>
            </w:r>
          </w:p>
        </w:tc>
        <w:tc>
          <w:tcPr>
            <w:tcW w:w="0" w:type="dxa"/>
            <w:vAlign w:val="bottom"/>
          </w:tcPr>
          <w:p>
            <w:pPr>
              <w:spacing w:after="0"/>
              <w:rPr>
                <w:sz w:val="1"/>
                <w:szCs w:val="1"/>
                <w:color w:val="auto"/>
              </w:rPr>
            </w:pPr>
          </w:p>
        </w:tc>
      </w:tr>
      <w:tr>
        <w:trPr>
          <w:trHeight w:val="227"/>
        </w:trPr>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Actual</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Requirements</w:t>
            </w:r>
          </w:p>
        </w:tc>
        <w:tc>
          <w:tcPr>
            <w:tcW w:w="8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Provisions</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Ratio</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80" w:type="dxa"/>
            <w:vAlign w:val="bottom"/>
          </w:tcPr>
          <w:p>
            <w:pPr>
              <w:spacing w:after="0"/>
              <w:rPr>
                <w:sz w:val="19"/>
                <w:szCs w:val="19"/>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0" w:type="dxa"/>
            <w:vAlign w:val="bottom"/>
          </w:tcPr>
          <w:p>
            <w:pPr>
              <w:spacing w:after="0"/>
              <w:rPr>
                <w:sz w:val="1"/>
                <w:szCs w:val="1"/>
                <w:color w:val="auto"/>
              </w:rPr>
            </w:pPr>
          </w:p>
        </w:tc>
      </w:tr>
      <w:tr>
        <w:trPr>
          <w:trHeight w:val="220"/>
        </w:trPr>
        <w:tc>
          <w:tcPr>
            <w:tcW w:w="28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34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112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240" w:type="dxa"/>
            <w:vAlign w:val="bottom"/>
            <w:tcBorders>
              <w:top w:val="single" w:sz="8" w:color="auto"/>
            </w:tcBorders>
            <w:shd w:val="clear" w:color="auto" w:fill="D2EEF5"/>
          </w:tcPr>
          <w:p>
            <w:pPr>
              <w:spacing w:after="0"/>
              <w:rPr>
                <w:sz w:val="19"/>
                <w:szCs w:val="19"/>
                <w:color w:val="auto"/>
              </w:rPr>
            </w:pPr>
          </w:p>
        </w:tc>
        <w:tc>
          <w:tcPr>
            <w:tcW w:w="88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112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12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30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320" w:type="dxa"/>
            <w:vAlign w:val="bottom"/>
            <w:tcBorders>
              <w:top w:val="single" w:sz="8" w:color="auto"/>
            </w:tcBorders>
            <w:shd w:val="clear" w:color="auto" w:fill="D2EEF5"/>
          </w:tcPr>
          <w:p>
            <w:pPr>
              <w:spacing w:after="0"/>
              <w:rPr>
                <w:sz w:val="19"/>
                <w:szCs w:val="19"/>
                <w:color w:val="auto"/>
              </w:rPr>
            </w:pPr>
          </w:p>
        </w:tc>
        <w:tc>
          <w:tcPr>
            <w:tcW w:w="800" w:type="dxa"/>
            <w:vAlign w:val="bottom"/>
            <w:tcBorders>
              <w:top w:val="single" w:sz="8" w:color="auto"/>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Total risk-based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266,387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159,795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199,744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0"/>
        </w:trPr>
        <w:tc>
          <w:tcPr>
            <w:tcW w:w="28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Tier 1 risk-based capital:</w:t>
            </w:r>
          </w:p>
        </w:tc>
        <w:tc>
          <w:tcPr>
            <w:tcW w:w="520" w:type="dxa"/>
            <w:vAlign w:val="bottom"/>
            <w:gridSpan w:val="2"/>
            <w:shd w:val="clear" w:color="auto" w:fill="D2EE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2EEF5"/>
          </w:tcPr>
          <w:p>
            <w:pPr>
              <w:spacing w:after="0"/>
              <w:rPr>
                <w:sz w:val="20"/>
                <w:szCs w:val="20"/>
                <w:color w:val="auto"/>
              </w:rPr>
            </w:pPr>
          </w:p>
        </w:tc>
        <w:tc>
          <w:tcPr>
            <w:tcW w:w="24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12.10%</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119,846</w:t>
            </w:r>
          </w:p>
        </w:tc>
        <w:tc>
          <w:tcPr>
            <w:tcW w:w="8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159,795</w:t>
            </w: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Common equity tier 1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89,885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129,834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0"/>
        </w:trPr>
        <w:tc>
          <w:tcPr>
            <w:tcW w:w="28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Leverage ratio:</w:t>
            </w:r>
          </w:p>
        </w:tc>
        <w:tc>
          <w:tcPr>
            <w:tcW w:w="520" w:type="dxa"/>
            <w:vAlign w:val="bottom"/>
            <w:gridSpan w:val="2"/>
            <w:shd w:val="clear" w:color="auto" w:fill="D2EE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2EEF5"/>
          </w:tcPr>
          <w:p>
            <w:pPr>
              <w:spacing w:after="0"/>
              <w:rPr>
                <w:sz w:val="20"/>
                <w:szCs w:val="20"/>
                <w:color w:val="auto"/>
              </w:rPr>
            </w:pPr>
          </w:p>
        </w:tc>
        <w:tc>
          <w:tcPr>
            <w:tcW w:w="24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103,074</w:t>
            </w:r>
          </w:p>
        </w:tc>
        <w:tc>
          <w:tcPr>
            <w:tcW w:w="8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128,843</w:t>
            </w: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0"/>
        </w:trPr>
        <w:tc>
          <w:tcPr>
            <w:tcW w:w="2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December 31, 2023</w:t>
            </w:r>
          </w:p>
        </w:tc>
        <w:tc>
          <w:tcPr>
            <w:tcW w:w="3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4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3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Total risk-based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233,109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147,432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184,290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0"/>
        </w:trPr>
        <w:tc>
          <w:tcPr>
            <w:tcW w:w="28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Tier 1 risk-based capital:</w:t>
            </w:r>
          </w:p>
        </w:tc>
        <w:tc>
          <w:tcPr>
            <w:tcW w:w="520" w:type="dxa"/>
            <w:vAlign w:val="bottom"/>
            <w:gridSpan w:val="2"/>
            <w:shd w:val="clear" w:color="auto" w:fill="D2EE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shd w:val="clear" w:color="auto" w:fill="D2EEF5"/>
          </w:tcPr>
          <w:p>
            <w:pPr>
              <w:spacing w:after="0"/>
              <w:rPr>
                <w:sz w:val="20"/>
                <w:szCs w:val="20"/>
                <w:color w:val="auto"/>
              </w:rPr>
            </w:pPr>
          </w:p>
        </w:tc>
        <w:tc>
          <w:tcPr>
            <w:tcW w:w="24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11.48%</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110,574</w:t>
            </w:r>
          </w:p>
        </w:tc>
        <w:tc>
          <w:tcPr>
            <w:tcW w:w="8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147,432</w:t>
            </w: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Common equity tier 1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83,931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119,789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0"/>
        </w:trPr>
        <w:tc>
          <w:tcPr>
            <w:tcW w:w="28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Leverage ratio:</w:t>
            </w:r>
          </w:p>
        </w:tc>
        <w:tc>
          <w:tcPr>
            <w:tcW w:w="520" w:type="dxa"/>
            <w:vAlign w:val="bottom"/>
            <w:gridSpan w:val="2"/>
            <w:shd w:val="clear" w:color="auto" w:fill="D2EE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shd w:val="clear" w:color="auto" w:fill="D2EEF5"/>
          </w:tcPr>
          <w:p>
            <w:pPr>
              <w:spacing w:after="0"/>
              <w:rPr>
                <w:sz w:val="20"/>
                <w:szCs w:val="20"/>
                <w:color w:val="auto"/>
              </w:rPr>
            </w:pPr>
          </w:p>
        </w:tc>
        <w:tc>
          <w:tcPr>
            <w:tcW w:w="24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9.17%</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92,328</w:t>
            </w:r>
          </w:p>
        </w:tc>
        <w:tc>
          <w:tcPr>
            <w:tcW w:w="8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D2EEF5"/>
          </w:tcPr>
          <w:p>
            <w:pPr>
              <w:spacing w:after="0"/>
              <w:rPr>
                <w:sz w:val="20"/>
                <w:szCs w:val="20"/>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115,410</w:t>
            </w: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Inflation</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5" w:name="page76"/>
    <w:bookmarkEnd w:id="75"/>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and Management Explanation of Non-GAAP Financial Measures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Management has included the non-GAAP measures set forth below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4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and for the years ended December 31,</w:t>
            </w:r>
          </w:p>
        </w:tc>
      </w:tr>
      <w:tr>
        <w:trPr>
          <w:trHeight w:val="220"/>
        </w:trPr>
        <w:tc>
          <w:tcPr>
            <w:tcW w:w="280" w:type="dxa"/>
            <w:vAlign w:val="bottom"/>
            <w:tcBorders>
              <w:bottom w:val="single" w:sz="8" w:color="D2EEF5"/>
            </w:tcBorders>
          </w:tcPr>
          <w:p>
            <w:pPr>
              <w:spacing w:after="0"/>
              <w:rPr>
                <w:sz w:val="19"/>
                <w:szCs w:val="19"/>
                <w:color w:val="auto"/>
              </w:rPr>
            </w:pPr>
          </w:p>
        </w:tc>
        <w:tc>
          <w:tcPr>
            <w:tcW w:w="6420" w:type="dxa"/>
            <w:vAlign w:val="bottom"/>
            <w:tcBorders>
              <w:bottom w:val="single" w:sz="8" w:color="D2EEF5"/>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r>
      <w:tr>
        <w:trPr>
          <w:trHeight w:val="220"/>
        </w:trPr>
        <w:tc>
          <w:tcPr>
            <w:tcW w:w="67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Pre-Tax Pre-Provision ("PTPP") income: (1)</w:t>
            </w:r>
          </w:p>
        </w:tc>
        <w:tc>
          <w:tcPr>
            <w:tcW w:w="130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40" w:type="dxa"/>
            <w:vAlign w:val="bottom"/>
            <w:shd w:val="clear" w:color="auto" w:fill="D2EEF5"/>
          </w:tcPr>
          <w:p>
            <w:pPr>
              <w:spacing w:after="0"/>
              <w:rPr>
                <w:sz w:val="19"/>
                <w:szCs w:val="19"/>
                <w:color w:val="auto"/>
              </w:rPr>
            </w:pPr>
          </w:p>
        </w:tc>
        <w:tc>
          <w:tcPr>
            <w:tcW w:w="1560" w:type="dxa"/>
            <w:vAlign w:val="bottom"/>
            <w:shd w:val="clear" w:color="auto" w:fill="D2EEF5"/>
          </w:tcPr>
          <w:p>
            <w:pPr>
              <w:spacing w:after="0"/>
              <w:rPr>
                <w:sz w:val="19"/>
                <w:szCs w:val="19"/>
                <w:color w:val="auto"/>
              </w:rPr>
            </w:pPr>
          </w:p>
        </w:tc>
      </w:tr>
      <w:tr>
        <w:trPr>
          <w:trHeight w:val="240"/>
        </w:trPr>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(GAAP)</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24,674</w:t>
            </w:r>
          </w:p>
        </w:tc>
        <w:tc>
          <w:tcPr>
            <w:tcW w:w="40" w:type="dxa"/>
            <w:vAlign w:val="bottom"/>
          </w:tcPr>
          <w:p>
            <w:pPr>
              <w:spacing w:after="0"/>
              <w:rPr>
                <w:sz w:val="20"/>
                <w:szCs w:val="20"/>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40"/>
        </w:trPr>
        <w:tc>
          <w:tcPr>
            <w:tcW w:w="280" w:type="dxa"/>
            <w:vAlign w:val="bottom"/>
            <w:shd w:val="clear" w:color="auto" w:fill="D2EEF5"/>
          </w:tcPr>
          <w:p>
            <w:pPr>
              <w:spacing w:after="0"/>
              <w:rPr>
                <w:sz w:val="20"/>
                <w:szCs w:val="20"/>
                <w:color w:val="auto"/>
              </w:rPr>
            </w:pPr>
          </w:p>
        </w:tc>
        <w:tc>
          <w:tcPr>
            <w:tcW w:w="6420" w:type="dxa"/>
            <w:vAlign w:val="bottom"/>
            <w:shd w:val="clear" w:color="auto" w:fill="D2EEF5"/>
          </w:tcPr>
          <w:p>
            <w:pPr>
              <w:spacing w:after="0"/>
              <w:rPr>
                <w:sz w:val="20"/>
                <w:szCs w:val="20"/>
                <w:color w:val="auto"/>
              </w:rPr>
            </w:pPr>
            <w:r>
              <w:rPr>
                <w:rFonts w:ascii="Arial" w:cs="Arial" w:eastAsia="Arial" w:hAnsi="Arial"/>
                <w:sz w:val="18"/>
                <w:szCs w:val="18"/>
                <w:color w:val="auto"/>
              </w:rPr>
              <w:t>Plus: Provision for income taxes</w:t>
            </w:r>
          </w:p>
        </w:tc>
        <w:tc>
          <w:tcPr>
            <w:tcW w:w="130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7,803</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40" w:type="dxa"/>
            <w:vAlign w:val="bottom"/>
            <w:shd w:val="clear" w:color="auto" w:fill="D2EEF5"/>
          </w:tcPr>
          <w:p>
            <w:pPr>
              <w:spacing w:after="0"/>
              <w:rPr>
                <w:sz w:val="20"/>
                <w:szCs w:val="20"/>
                <w:color w:val="auto"/>
              </w:rPr>
            </w:pPr>
          </w:p>
        </w:tc>
        <w:tc>
          <w:tcPr>
            <w:tcW w:w="15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5,251</w:t>
            </w:r>
          </w:p>
        </w:tc>
      </w:tr>
      <w:tr>
        <w:trPr>
          <w:trHeight w:val="240"/>
        </w:trPr>
        <w:tc>
          <w:tcPr>
            <w:tcW w:w="280" w:type="dxa"/>
            <w:vAlign w:val="bottom"/>
            <w:tcBorders>
              <w:bottom w:val="single" w:sz="8" w:color="D2EEF5"/>
            </w:tcBorders>
          </w:tcPr>
          <w:p>
            <w:pPr>
              <w:spacing w:after="0"/>
              <w:rPr>
                <w:sz w:val="20"/>
                <w:szCs w:val="20"/>
                <w:color w:val="auto"/>
              </w:rPr>
            </w:pPr>
          </w:p>
        </w:tc>
        <w:tc>
          <w:tcPr>
            <w:tcW w:w="642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Plus: Provision for credit losses</w:t>
            </w:r>
          </w:p>
        </w:tc>
        <w:tc>
          <w:tcPr>
            <w:tcW w:w="1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40" w:type="dxa"/>
            <w:vAlign w:val="bottom"/>
            <w:tcBorders>
              <w:bottom w:val="single" w:sz="8" w:color="D2EEF5"/>
            </w:tcBorders>
          </w:tcPr>
          <w:p>
            <w:pPr>
              <w:spacing w:after="0"/>
              <w:rPr>
                <w:sz w:val="20"/>
                <w:szCs w:val="20"/>
                <w:color w:val="auto"/>
              </w:rPr>
            </w:pPr>
          </w:p>
        </w:tc>
        <w:tc>
          <w:tcPr>
            <w:tcW w:w="40" w:type="dxa"/>
            <w:vAlign w:val="bottom"/>
            <w:tcBorders>
              <w:bottom w:val="single" w:sz="8" w:color="D2EEF5"/>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r>
      <w:tr>
        <w:trPr>
          <w:trHeight w:val="217"/>
        </w:trPr>
        <w:tc>
          <w:tcPr>
            <w:tcW w:w="280" w:type="dxa"/>
            <w:vAlign w:val="bottom"/>
            <w:shd w:val="clear" w:color="auto" w:fill="D2EEF5"/>
          </w:tcPr>
          <w:p>
            <w:pPr>
              <w:spacing w:after="0"/>
              <w:rPr>
                <w:sz w:val="18"/>
                <w:szCs w:val="18"/>
                <w:color w:val="auto"/>
              </w:rPr>
            </w:pPr>
          </w:p>
        </w:tc>
        <w:tc>
          <w:tcPr>
            <w:tcW w:w="6420" w:type="dxa"/>
            <w:vAlign w:val="bottom"/>
            <w:shd w:val="clear" w:color="auto" w:fill="D2EEF5"/>
          </w:tcPr>
          <w:p>
            <w:pPr>
              <w:spacing w:after="0"/>
              <w:rPr>
                <w:sz w:val="20"/>
                <w:szCs w:val="20"/>
                <w:color w:val="auto"/>
              </w:rPr>
            </w:pPr>
            <w:r>
              <w:rPr>
                <w:rFonts w:ascii="Arial" w:cs="Arial" w:eastAsia="Arial" w:hAnsi="Arial"/>
                <w:sz w:val="18"/>
                <w:szCs w:val="18"/>
                <w:color w:val="auto"/>
              </w:rPr>
              <w:t>PTPP income</w:t>
            </w:r>
          </w:p>
        </w:tc>
        <w:tc>
          <w:tcPr>
            <w:tcW w:w="1300" w:type="dxa"/>
            <w:vAlign w:val="bottom"/>
            <w:tcBorders>
              <w:bottom w:val="single" w:sz="8" w:color="auto"/>
            </w:tcBorders>
            <w:shd w:val="clear" w:color="auto" w:fill="D2EEF5"/>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35,634</w:t>
            </w:r>
          </w:p>
        </w:tc>
        <w:tc>
          <w:tcPr>
            <w:tcW w:w="40" w:type="dxa"/>
            <w:vAlign w:val="bottom"/>
            <w:shd w:val="clear" w:color="auto" w:fill="D2EEF5"/>
          </w:tcPr>
          <w:p>
            <w:pPr>
              <w:spacing w:after="0"/>
              <w:rPr>
                <w:sz w:val="18"/>
                <w:szCs w:val="18"/>
                <w:color w:val="auto"/>
              </w:rPr>
            </w:pPr>
          </w:p>
        </w:tc>
        <w:tc>
          <w:tcPr>
            <w:tcW w:w="40" w:type="dxa"/>
            <w:vAlign w:val="bottom"/>
            <w:shd w:val="clear" w:color="auto" w:fill="D2EEF5"/>
          </w:tcPr>
          <w:p>
            <w:pPr>
              <w:spacing w:after="0"/>
              <w:rPr>
                <w:sz w:val="18"/>
                <w:szCs w:val="18"/>
                <w:color w:val="auto"/>
              </w:rPr>
            </w:pPr>
          </w:p>
        </w:tc>
        <w:tc>
          <w:tcPr>
            <w:tcW w:w="440" w:type="dxa"/>
            <w:vAlign w:val="bottom"/>
            <w:tcBorders>
              <w:bottom w:val="single" w:sz="8" w:color="auto"/>
            </w:tcBorders>
            <w:shd w:val="clear" w:color="auto" w:fill="D2EEF5"/>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24,163</w:t>
            </w:r>
          </w:p>
        </w:tc>
      </w:tr>
      <w:tr>
        <w:trPr>
          <w:trHeight w:val="20"/>
        </w:trPr>
        <w:tc>
          <w:tcPr>
            <w:tcW w:w="670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0"/>
        </w:trPr>
        <w:tc>
          <w:tcPr>
            <w:tcW w:w="67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Operating net income: (1)</w:t>
            </w:r>
          </w:p>
        </w:tc>
        <w:tc>
          <w:tcPr>
            <w:tcW w:w="1300" w:type="dxa"/>
            <w:vAlign w:val="bottom"/>
            <w:shd w:val="clear" w:color="auto" w:fill="D2EEF5"/>
          </w:tcPr>
          <w:p>
            <w:pPr>
              <w:spacing w:after="0"/>
              <w:rPr>
                <w:sz w:val="20"/>
                <w:szCs w:val="20"/>
                <w:color w:val="auto"/>
              </w:rPr>
            </w:pPr>
          </w:p>
        </w:tc>
        <w:tc>
          <w:tcPr>
            <w:tcW w:w="7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40" w:type="dxa"/>
            <w:vAlign w:val="bottom"/>
            <w:shd w:val="clear" w:color="auto" w:fill="D2EEF5"/>
          </w:tcPr>
          <w:p>
            <w:pPr>
              <w:spacing w:after="0"/>
              <w:rPr>
                <w:sz w:val="20"/>
                <w:szCs w:val="20"/>
                <w:color w:val="auto"/>
              </w:rPr>
            </w:pPr>
          </w:p>
        </w:tc>
        <w:tc>
          <w:tcPr>
            <w:tcW w:w="1560" w:type="dxa"/>
            <w:vAlign w:val="bottom"/>
            <w:shd w:val="clear" w:color="auto" w:fill="D2EEF5"/>
          </w:tcPr>
          <w:p>
            <w:pPr>
              <w:spacing w:after="0"/>
              <w:rPr>
                <w:sz w:val="20"/>
                <w:szCs w:val="20"/>
                <w:color w:val="auto"/>
              </w:rPr>
            </w:pPr>
          </w:p>
        </w:tc>
      </w:tr>
      <w:tr>
        <w:trPr>
          <w:trHeight w:val="240"/>
        </w:trPr>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(GAAP)</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24,674</w:t>
            </w:r>
          </w:p>
        </w:tc>
        <w:tc>
          <w:tcPr>
            <w:tcW w:w="40" w:type="dxa"/>
            <w:vAlign w:val="bottom"/>
          </w:tcPr>
          <w:p>
            <w:pPr>
              <w:spacing w:after="0"/>
              <w:rPr>
                <w:sz w:val="20"/>
                <w:szCs w:val="20"/>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40"/>
        </w:trPr>
        <w:tc>
          <w:tcPr>
            <w:tcW w:w="280" w:type="dxa"/>
            <w:vAlign w:val="bottom"/>
            <w:shd w:val="clear" w:color="auto" w:fill="D2EEF5"/>
          </w:tcPr>
          <w:p>
            <w:pPr>
              <w:spacing w:after="0"/>
              <w:rPr>
                <w:sz w:val="20"/>
                <w:szCs w:val="20"/>
                <w:color w:val="auto"/>
              </w:rPr>
            </w:pPr>
          </w:p>
        </w:tc>
        <w:tc>
          <w:tcPr>
            <w:tcW w:w="6420" w:type="dxa"/>
            <w:vAlign w:val="bottom"/>
            <w:shd w:val="clear" w:color="auto" w:fill="D2EEF5"/>
          </w:tcPr>
          <w:p>
            <w:pPr>
              <w:spacing w:after="0"/>
              <w:rPr>
                <w:sz w:val="20"/>
                <w:szCs w:val="20"/>
                <w:color w:val="auto"/>
              </w:rPr>
            </w:pPr>
            <w:r>
              <w:rPr>
                <w:rFonts w:ascii="Arial" w:cs="Arial" w:eastAsia="Arial" w:hAnsi="Arial"/>
                <w:sz w:val="18"/>
                <w:szCs w:val="18"/>
                <w:color w:val="auto"/>
              </w:rPr>
              <w:t>Less: Net gain (loss) on sale of securities</w:t>
            </w:r>
          </w:p>
        </w:tc>
        <w:tc>
          <w:tcPr>
            <w:tcW w:w="130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40" w:type="dxa"/>
            <w:vAlign w:val="bottom"/>
            <w:shd w:val="clear" w:color="auto" w:fill="D2EEF5"/>
          </w:tcPr>
          <w:p>
            <w:pPr>
              <w:spacing w:after="0"/>
              <w:rPr>
                <w:sz w:val="20"/>
                <w:szCs w:val="20"/>
                <w:color w:val="auto"/>
              </w:rPr>
            </w:pPr>
          </w:p>
        </w:tc>
        <w:tc>
          <w:tcPr>
            <w:tcW w:w="15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(1,859)</w:t>
            </w:r>
          </w:p>
        </w:tc>
      </w:tr>
      <w:tr>
        <w:trPr>
          <w:trHeight w:val="240"/>
        </w:trPr>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Tax effect on sale of securities</w:t>
            </w:r>
          </w:p>
        </w:tc>
        <w:tc>
          <w:tcPr>
            <w:tcW w:w="13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0"/>
        </w:trPr>
        <w:tc>
          <w:tcPr>
            <w:tcW w:w="280" w:type="dxa"/>
            <w:vAlign w:val="bottom"/>
            <w:tcBorders>
              <w:top w:val="single" w:sz="8" w:color="D2EEF5"/>
            </w:tcBorders>
            <w:shd w:val="clear" w:color="auto" w:fill="D2EEF5"/>
          </w:tcPr>
          <w:p>
            <w:pPr>
              <w:spacing w:after="0"/>
              <w:rPr>
                <w:sz w:val="19"/>
                <w:szCs w:val="19"/>
                <w:color w:val="auto"/>
              </w:rPr>
            </w:pPr>
          </w:p>
        </w:tc>
        <w:tc>
          <w:tcPr>
            <w:tcW w:w="642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Operating net income</w:t>
            </w:r>
          </w:p>
        </w:tc>
        <w:tc>
          <w:tcPr>
            <w:tcW w:w="1300" w:type="dxa"/>
            <w:vAlign w:val="bottom"/>
            <w:tcBorders>
              <w:top w:val="single" w:sz="8" w:color="auto"/>
              <w:bottom w:val="single" w:sz="8" w:color="auto"/>
            </w:tcBorders>
            <w:shd w:val="clear" w:color="auto" w:fill="D2EEF5"/>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24,664</w:t>
            </w:r>
          </w:p>
        </w:tc>
        <w:tc>
          <w:tcPr>
            <w:tcW w:w="4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440" w:type="dxa"/>
            <w:vAlign w:val="bottom"/>
            <w:tcBorders>
              <w:top w:val="single" w:sz="8" w:color="auto"/>
              <w:bottom w:val="single" w:sz="8" w:color="auto"/>
            </w:tcBorders>
            <w:shd w:val="clear" w:color="auto" w:fill="D2EEF5"/>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17,933</w:t>
            </w:r>
          </w:p>
        </w:tc>
      </w:tr>
      <w:tr>
        <w:trPr>
          <w:trHeight w:val="20"/>
        </w:trPr>
        <w:tc>
          <w:tcPr>
            <w:tcW w:w="670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0"/>
        </w:trPr>
        <w:tc>
          <w:tcPr>
            <w:tcW w:w="670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0"/>
        </w:trPr>
        <w:tc>
          <w:tcPr>
            <w:tcW w:w="67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Operating PTPP income: (1)</w:t>
            </w:r>
          </w:p>
        </w:tc>
        <w:tc>
          <w:tcPr>
            <w:tcW w:w="1300" w:type="dxa"/>
            <w:vAlign w:val="bottom"/>
            <w:shd w:val="clear" w:color="auto" w:fill="D2EEF5"/>
          </w:tcPr>
          <w:p>
            <w:pPr>
              <w:spacing w:after="0"/>
              <w:rPr>
                <w:sz w:val="20"/>
                <w:szCs w:val="20"/>
                <w:color w:val="auto"/>
              </w:rPr>
            </w:pPr>
          </w:p>
        </w:tc>
        <w:tc>
          <w:tcPr>
            <w:tcW w:w="7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40" w:type="dxa"/>
            <w:vAlign w:val="bottom"/>
            <w:shd w:val="clear" w:color="auto" w:fill="D2EEF5"/>
          </w:tcPr>
          <w:p>
            <w:pPr>
              <w:spacing w:after="0"/>
              <w:rPr>
                <w:sz w:val="20"/>
                <w:szCs w:val="20"/>
                <w:color w:val="auto"/>
              </w:rPr>
            </w:pPr>
          </w:p>
        </w:tc>
        <w:tc>
          <w:tcPr>
            <w:tcW w:w="1560" w:type="dxa"/>
            <w:vAlign w:val="bottom"/>
            <w:shd w:val="clear" w:color="auto" w:fill="D2EEF5"/>
          </w:tcPr>
          <w:p>
            <w:pPr>
              <w:spacing w:after="0"/>
              <w:rPr>
                <w:sz w:val="20"/>
                <w:szCs w:val="20"/>
                <w:color w:val="auto"/>
              </w:rPr>
            </w:pPr>
          </w:p>
        </w:tc>
      </w:tr>
      <w:tr>
        <w:trPr>
          <w:trHeight w:val="240"/>
        </w:trPr>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PTPP income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35,634</w:t>
            </w:r>
          </w:p>
        </w:tc>
        <w:tc>
          <w:tcPr>
            <w:tcW w:w="40" w:type="dxa"/>
            <w:vAlign w:val="bottom"/>
          </w:tcPr>
          <w:p>
            <w:pPr>
              <w:spacing w:after="0"/>
              <w:rPr>
                <w:sz w:val="20"/>
                <w:szCs w:val="20"/>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24,163</w:t>
            </w:r>
          </w:p>
        </w:tc>
      </w:tr>
      <w:tr>
        <w:trPr>
          <w:trHeight w:val="240"/>
        </w:trPr>
        <w:tc>
          <w:tcPr>
            <w:tcW w:w="280" w:type="dxa"/>
            <w:vAlign w:val="bottom"/>
            <w:shd w:val="clear" w:color="auto" w:fill="D2EEF5"/>
          </w:tcPr>
          <w:p>
            <w:pPr>
              <w:spacing w:after="0"/>
              <w:rPr>
                <w:sz w:val="20"/>
                <w:szCs w:val="20"/>
                <w:color w:val="auto"/>
              </w:rPr>
            </w:pPr>
          </w:p>
        </w:tc>
        <w:tc>
          <w:tcPr>
            <w:tcW w:w="6420" w:type="dxa"/>
            <w:vAlign w:val="bottom"/>
            <w:shd w:val="clear" w:color="auto" w:fill="D2EEF5"/>
          </w:tcPr>
          <w:p>
            <w:pPr>
              <w:spacing w:after="0"/>
              <w:rPr>
                <w:sz w:val="20"/>
                <w:szCs w:val="20"/>
                <w:color w:val="auto"/>
              </w:rPr>
            </w:pPr>
            <w:r>
              <w:rPr>
                <w:rFonts w:ascii="Arial" w:cs="Arial" w:eastAsia="Arial" w:hAnsi="Arial"/>
                <w:sz w:val="18"/>
                <w:szCs w:val="18"/>
                <w:color w:val="auto"/>
              </w:rPr>
              <w:t>Less: Net gain (loss) on sale of securities</w:t>
            </w:r>
          </w:p>
        </w:tc>
        <w:tc>
          <w:tcPr>
            <w:tcW w:w="130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440" w:type="dxa"/>
            <w:vAlign w:val="bottom"/>
            <w:tcBorders>
              <w:bottom w:val="single" w:sz="8" w:color="auto"/>
            </w:tcBorders>
            <w:shd w:val="clear" w:color="auto" w:fill="D2EEF5"/>
          </w:tcPr>
          <w:p>
            <w:pPr>
              <w:spacing w:after="0"/>
              <w:rPr>
                <w:sz w:val="20"/>
                <w:szCs w:val="20"/>
                <w:color w:val="auto"/>
              </w:rPr>
            </w:pPr>
          </w:p>
        </w:tc>
        <w:tc>
          <w:tcPr>
            <w:tcW w:w="15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(1,859)</w:t>
            </w:r>
          </w:p>
        </w:tc>
      </w:tr>
      <w:tr>
        <w:trPr>
          <w:trHeight w:val="220"/>
        </w:trPr>
        <w:tc>
          <w:tcPr>
            <w:tcW w:w="2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PTPP Income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35,620</w:t>
            </w:r>
          </w:p>
        </w:tc>
        <w:tc>
          <w:tcPr>
            <w:tcW w:w="40" w:type="dxa"/>
            <w:vAlign w:val="bottom"/>
          </w:tcPr>
          <w:p>
            <w:pPr>
              <w:spacing w:after="0"/>
              <w:rPr>
                <w:sz w:val="19"/>
                <w:szCs w:val="19"/>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26,022</w:t>
            </w:r>
          </w:p>
        </w:tc>
      </w:tr>
      <w:tr>
        <w:trPr>
          <w:trHeight w:val="20"/>
        </w:trPr>
        <w:tc>
          <w:tcPr>
            <w:tcW w:w="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The Company believes these non-GAAP measurements are key indicators of the ongoing earnings power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42576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7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999pt" to="335.25pt,-9.5999pt" o:allowincell="f" strokecolor="#000000" strokeweight="0.48pt"/>
            </w:pict>
          </mc:Fallback>
        </mc:AlternateContent>
      </w:r>
    </w:p>
    <w:p>
      <w:pPr>
        <w:spacing w:after="0" w:line="242"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6" w:name="page77"/>
    <w:bookmarkEnd w:id="76"/>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620" w:type="dxa"/>
            <w:vAlign w:val="bottom"/>
          </w:tcPr>
          <w:p>
            <w:pPr>
              <w:spacing w:after="0"/>
              <w:rPr>
                <w:sz w:val="24"/>
                <w:szCs w:val="24"/>
                <w:color w:val="auto"/>
              </w:rPr>
            </w:pPr>
          </w:p>
        </w:tc>
        <w:tc>
          <w:tcPr>
            <w:tcW w:w="6660" w:type="dxa"/>
            <w:vAlign w:val="bottom"/>
            <w:gridSpan w:val="7"/>
          </w:tcPr>
          <w:p>
            <w:pPr>
              <w:ind w:left="200"/>
              <w:spacing w:after="0"/>
              <w:rPr>
                <w:sz w:val="20"/>
                <w:szCs w:val="20"/>
                <w:color w:val="auto"/>
              </w:rPr>
            </w:pPr>
            <w:r>
              <w:rPr>
                <w:rFonts w:ascii="Arial" w:cs="Arial" w:eastAsia="Arial" w:hAnsi="Arial"/>
                <w:sz w:val="20"/>
                <w:szCs w:val="20"/>
                <w:b w:val="1"/>
                <w:bCs w:val="1"/>
                <w:color w:val="auto"/>
              </w:rPr>
              <w:t>INDEX TO CONSOLIDATED FINANCIAL STATEMENTS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6"/>
        </w:trPr>
        <w:tc>
          <w:tcPr>
            <w:tcW w:w="9280" w:type="dxa"/>
            <w:vAlign w:val="bottom"/>
            <w:gridSpan w:val="8"/>
          </w:tcPr>
          <w:p>
            <w:pPr>
              <w:spacing w:after="0"/>
              <w:rPr>
                <w:sz w:val="20"/>
                <w:szCs w:val="20"/>
                <w:color w:val="auto"/>
              </w:rPr>
            </w:pPr>
            <w:r>
              <w:rPr>
                <w:rFonts w:ascii="Arial" w:cs="Arial" w:eastAsia="Arial" w:hAnsi="Arial"/>
                <w:sz w:val="20"/>
                <w:szCs w:val="20"/>
                <w:color w:val="1C2790"/>
              </w:rPr>
              <w:t xml:space="preserve">Report of Independent Registered Public Accounting Firm </w:t>
            </w:r>
            <w:r>
              <w:rPr>
                <w:rFonts w:ascii="Arial" w:cs="Arial" w:eastAsia="Arial" w:hAnsi="Arial"/>
                <w:sz w:val="20"/>
                <w:szCs w:val="20"/>
                <w:color w:val="000000"/>
              </w:rPr>
              <w:t>(Crowe LLP, PCAOB ID: 173)</w:t>
            </w:r>
          </w:p>
        </w:tc>
        <w:tc>
          <w:tcPr>
            <w:tcW w:w="1520" w:type="dxa"/>
            <w:vAlign w:val="bottom"/>
            <w:gridSpan w:val="2"/>
          </w:tcPr>
          <w:p>
            <w:pPr>
              <w:jc w:val="right"/>
              <w:spacing w:after="0"/>
              <w:rPr>
                <w:sz w:val="20"/>
                <w:szCs w:val="20"/>
                <w:color w:val="auto"/>
              </w:rPr>
            </w:pPr>
            <w:r>
              <w:rPr>
                <w:rFonts w:ascii="Arial" w:cs="Arial" w:eastAsia="Arial" w:hAnsi="Arial"/>
                <w:sz w:val="20"/>
                <w:szCs w:val="20"/>
                <w:color w:val="1C2790"/>
              </w:rPr>
              <w:t>78</w:t>
            </w:r>
          </w:p>
        </w:tc>
      </w:tr>
      <w:tr>
        <w:trPr>
          <w:trHeight w:val="20"/>
        </w:trPr>
        <w:tc>
          <w:tcPr>
            <w:tcW w:w="2620" w:type="dxa"/>
            <w:vAlign w:val="bottom"/>
            <w:shd w:val="clear" w:color="auto" w:fill="1C2790"/>
          </w:tcPr>
          <w:p>
            <w:pPr>
              <w:spacing w:after="0" w:line="20" w:lineRule="exact"/>
              <w:rPr>
                <w:sz w:val="1"/>
                <w:szCs w:val="1"/>
                <w:color w:val="auto"/>
              </w:rPr>
            </w:pPr>
          </w:p>
        </w:tc>
        <w:tc>
          <w:tcPr>
            <w:tcW w:w="88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660" w:type="dxa"/>
            <w:vAlign w:val="bottom"/>
            <w:shd w:val="clear" w:color="auto" w:fill="1C2790"/>
          </w:tcPr>
          <w:p>
            <w:pPr>
              <w:spacing w:after="0" w:line="20" w:lineRule="exact"/>
              <w:rPr>
                <w:sz w:val="1"/>
                <w:szCs w:val="1"/>
                <w:color w:val="auto"/>
              </w:rPr>
            </w:pPr>
          </w:p>
        </w:tc>
        <w:tc>
          <w:tcPr>
            <w:tcW w:w="900" w:type="dxa"/>
            <w:vAlign w:val="bottom"/>
            <w:shd w:val="clear" w:color="auto" w:fill="1C279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r>
      <w:tr>
        <w:trPr>
          <w:trHeight w:val="441"/>
        </w:trPr>
        <w:tc>
          <w:tcPr>
            <w:tcW w:w="5120" w:type="dxa"/>
            <w:vAlign w:val="bottom"/>
            <w:gridSpan w:val="5"/>
          </w:tcPr>
          <w:p>
            <w:pPr>
              <w:spacing w:after="0"/>
              <w:rPr>
                <w:sz w:val="20"/>
                <w:szCs w:val="20"/>
                <w:color w:val="auto"/>
              </w:rPr>
            </w:pPr>
            <w:r>
              <w:rPr>
                <w:rFonts w:ascii="Arial" w:cs="Arial" w:eastAsia="Arial" w:hAnsi="Arial"/>
                <w:sz w:val="20"/>
                <w:szCs w:val="20"/>
                <w:color w:val="1C2790"/>
              </w:rPr>
              <w:t>Consolidated Balance Sheets</w:t>
            </w:r>
          </w:p>
        </w:tc>
        <w:tc>
          <w:tcPr>
            <w:tcW w:w="4160" w:type="dxa"/>
            <w:vAlign w:val="bottom"/>
            <w:gridSpan w:val="3"/>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0"/>
                <w:szCs w:val="20"/>
                <w:color w:val="1C2790"/>
              </w:rPr>
              <w:t>79</w:t>
            </w:r>
          </w:p>
        </w:tc>
      </w:tr>
      <w:tr>
        <w:trPr>
          <w:trHeight w:val="210"/>
        </w:trPr>
        <w:tc>
          <w:tcPr>
            <w:tcW w:w="2620" w:type="dxa"/>
            <w:vAlign w:val="bottom"/>
            <w:tcBorders>
              <w:top w:val="single" w:sz="8" w:color="1C2790"/>
              <w:bottom w:val="single" w:sz="8" w:color="1C2790"/>
            </w:tcBorders>
          </w:tcPr>
          <w:p>
            <w:pPr>
              <w:spacing w:after="0" w:line="210" w:lineRule="exact"/>
              <w:rPr>
                <w:sz w:val="20"/>
                <w:szCs w:val="20"/>
                <w:color w:val="auto"/>
              </w:rPr>
            </w:pPr>
            <w:r>
              <w:rPr>
                <w:rFonts w:ascii="Arial" w:cs="Arial" w:eastAsia="Arial" w:hAnsi="Arial"/>
                <w:sz w:val="20"/>
                <w:szCs w:val="20"/>
                <w:color w:val="1C2790"/>
              </w:rPr>
              <w:t>Consolidated Statements of</w:t>
            </w:r>
          </w:p>
        </w:tc>
        <w:tc>
          <w:tcPr>
            <w:tcW w:w="880" w:type="dxa"/>
            <w:vAlign w:val="bottom"/>
            <w:tcBorders>
              <w:bottom w:val="single" w:sz="8" w:color="1C2790"/>
            </w:tcBorders>
          </w:tcPr>
          <w:p>
            <w:pPr>
              <w:spacing w:after="0" w:line="210" w:lineRule="exact"/>
              <w:rPr>
                <w:sz w:val="20"/>
                <w:szCs w:val="20"/>
                <w:color w:val="auto"/>
              </w:rPr>
            </w:pPr>
            <w:r>
              <w:rPr>
                <w:rFonts w:ascii="Arial" w:cs="Arial" w:eastAsia="Arial" w:hAnsi="Arial"/>
                <w:sz w:val="20"/>
                <w:szCs w:val="20"/>
                <w:color w:val="1C2790"/>
                <w:w w:val="87"/>
              </w:rPr>
              <w:t>Operations</w:t>
            </w:r>
          </w:p>
        </w:tc>
        <w:tc>
          <w:tcPr>
            <w:tcW w:w="5780" w:type="dxa"/>
            <w:vAlign w:val="bottom"/>
            <w:gridSpan w:val="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1C2790"/>
              <w:bottom w:val="single" w:sz="8" w:color="1C2790"/>
            </w:tcBorders>
          </w:tcPr>
          <w:p>
            <w:pPr>
              <w:jc w:val="right"/>
              <w:spacing w:after="0" w:line="210" w:lineRule="exact"/>
              <w:rPr>
                <w:sz w:val="20"/>
                <w:szCs w:val="20"/>
                <w:color w:val="auto"/>
              </w:rPr>
            </w:pPr>
            <w:r>
              <w:rPr>
                <w:rFonts w:ascii="Arial" w:cs="Arial" w:eastAsia="Arial" w:hAnsi="Arial"/>
                <w:sz w:val="20"/>
                <w:szCs w:val="20"/>
                <w:color w:val="1C2790"/>
                <w:w w:val="89"/>
              </w:rPr>
              <w:t>80</w:t>
            </w:r>
          </w:p>
        </w:tc>
      </w:tr>
      <w:tr>
        <w:trPr>
          <w:trHeight w:val="210"/>
        </w:trPr>
        <w:tc>
          <w:tcPr>
            <w:tcW w:w="5240" w:type="dxa"/>
            <w:vAlign w:val="bottom"/>
            <w:tcBorders>
              <w:bottom w:val="single" w:sz="8" w:color="1C2790"/>
            </w:tcBorders>
            <w:gridSpan w:val="6"/>
          </w:tcPr>
          <w:p>
            <w:pPr>
              <w:spacing w:after="0" w:line="210" w:lineRule="exact"/>
              <w:rPr>
                <w:sz w:val="20"/>
                <w:szCs w:val="20"/>
                <w:color w:val="auto"/>
              </w:rPr>
            </w:pPr>
            <w:r>
              <w:rPr>
                <w:rFonts w:ascii="Arial" w:cs="Arial" w:eastAsia="Arial" w:hAnsi="Arial"/>
                <w:sz w:val="20"/>
                <w:szCs w:val="20"/>
                <w:color w:val="1C2790"/>
                <w:w w:val="99"/>
              </w:rPr>
              <w:t>Consolidated Statements of Comprehensive Income (Loss)</w:t>
            </w:r>
          </w:p>
        </w:tc>
        <w:tc>
          <w:tcPr>
            <w:tcW w:w="404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bottom w:val="single" w:sz="8" w:color="1C2790"/>
            </w:tcBorders>
          </w:tcPr>
          <w:p>
            <w:pPr>
              <w:jc w:val="right"/>
              <w:spacing w:after="0" w:line="210" w:lineRule="exact"/>
              <w:rPr>
                <w:sz w:val="20"/>
                <w:szCs w:val="20"/>
                <w:color w:val="auto"/>
              </w:rPr>
            </w:pPr>
            <w:r>
              <w:rPr>
                <w:rFonts w:ascii="Arial" w:cs="Arial" w:eastAsia="Arial" w:hAnsi="Arial"/>
                <w:sz w:val="20"/>
                <w:szCs w:val="20"/>
                <w:color w:val="1C2790"/>
                <w:w w:val="89"/>
              </w:rPr>
              <w:t>81</w:t>
            </w:r>
          </w:p>
        </w:tc>
      </w:tr>
      <w:tr>
        <w:trPr>
          <w:trHeight w:val="210"/>
        </w:trPr>
        <w:tc>
          <w:tcPr>
            <w:tcW w:w="9280" w:type="dxa"/>
            <w:vAlign w:val="bottom"/>
            <w:gridSpan w:val="8"/>
          </w:tcPr>
          <w:p>
            <w:pPr>
              <w:spacing w:after="0" w:line="210" w:lineRule="exact"/>
              <w:rPr>
                <w:sz w:val="20"/>
                <w:szCs w:val="20"/>
                <w:color w:val="auto"/>
              </w:rPr>
            </w:pPr>
            <w:r>
              <w:rPr>
                <w:rFonts w:ascii="Arial" w:cs="Arial" w:eastAsia="Arial" w:hAnsi="Arial"/>
                <w:sz w:val="20"/>
                <w:szCs w:val="20"/>
                <w:color w:val="1C2790"/>
              </w:rPr>
              <w:t>Consolidated Statements of Changes in Stockholders’ Equity</w:t>
            </w:r>
          </w:p>
        </w:tc>
        <w:tc>
          <w:tcPr>
            <w:tcW w:w="1300" w:type="dxa"/>
            <w:vAlign w:val="bottom"/>
          </w:tcPr>
          <w:p>
            <w:pPr>
              <w:spacing w:after="0"/>
              <w:rPr>
                <w:sz w:val="18"/>
                <w:szCs w:val="18"/>
                <w:color w:val="auto"/>
              </w:rPr>
            </w:pPr>
          </w:p>
        </w:tc>
        <w:tc>
          <w:tcPr>
            <w:tcW w:w="220" w:type="dxa"/>
            <w:vAlign w:val="bottom"/>
          </w:tcPr>
          <w:p>
            <w:pPr>
              <w:jc w:val="right"/>
              <w:spacing w:after="0" w:line="210" w:lineRule="exact"/>
              <w:rPr>
                <w:sz w:val="20"/>
                <w:szCs w:val="20"/>
                <w:color w:val="auto"/>
              </w:rPr>
            </w:pPr>
            <w:r>
              <w:rPr>
                <w:rFonts w:ascii="Arial" w:cs="Arial" w:eastAsia="Arial" w:hAnsi="Arial"/>
                <w:sz w:val="20"/>
                <w:szCs w:val="20"/>
                <w:color w:val="1C2790"/>
                <w:w w:val="89"/>
              </w:rPr>
              <w:t>82</w:t>
            </w:r>
          </w:p>
        </w:tc>
      </w:tr>
      <w:tr>
        <w:trPr>
          <w:trHeight w:val="208"/>
        </w:trPr>
        <w:tc>
          <w:tcPr>
            <w:tcW w:w="3560" w:type="dxa"/>
            <w:vAlign w:val="bottom"/>
            <w:tcBorders>
              <w:top w:val="single" w:sz="8" w:color="1C2790"/>
              <w:bottom w:val="single" w:sz="8" w:color="1C2790"/>
            </w:tcBorders>
            <w:gridSpan w:val="3"/>
          </w:tcPr>
          <w:p>
            <w:pPr>
              <w:spacing w:after="0" w:line="208" w:lineRule="exact"/>
              <w:rPr>
                <w:sz w:val="20"/>
                <w:szCs w:val="20"/>
                <w:color w:val="auto"/>
              </w:rPr>
            </w:pPr>
            <w:r>
              <w:rPr>
                <w:rFonts w:ascii="Arial" w:cs="Arial" w:eastAsia="Arial" w:hAnsi="Arial"/>
                <w:sz w:val="20"/>
                <w:szCs w:val="20"/>
                <w:color w:val="1C2790"/>
                <w:w w:val="99"/>
              </w:rPr>
              <w:t>Consolidated Statements of Cash Flows</w:t>
            </w:r>
          </w:p>
        </w:tc>
        <w:tc>
          <w:tcPr>
            <w:tcW w:w="1840" w:type="dxa"/>
            <w:vAlign w:val="bottom"/>
            <w:tcBorders>
              <w:top w:val="single" w:sz="8" w:color="1C2790"/>
            </w:tcBorders>
            <w:gridSpan w:val="4"/>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1C2790"/>
              <w:bottom w:val="single" w:sz="8" w:color="1C2790"/>
            </w:tcBorders>
          </w:tcPr>
          <w:p>
            <w:pPr>
              <w:jc w:val="right"/>
              <w:spacing w:after="0" w:line="208" w:lineRule="exact"/>
              <w:rPr>
                <w:sz w:val="20"/>
                <w:szCs w:val="20"/>
                <w:color w:val="auto"/>
              </w:rPr>
            </w:pPr>
            <w:r>
              <w:rPr>
                <w:rFonts w:ascii="Arial" w:cs="Arial" w:eastAsia="Arial" w:hAnsi="Arial"/>
                <w:sz w:val="20"/>
                <w:szCs w:val="20"/>
                <w:color w:val="1C2790"/>
                <w:w w:val="89"/>
              </w:rPr>
              <w:t>83</w:t>
            </w:r>
          </w:p>
        </w:tc>
      </w:tr>
      <w:tr>
        <w:trPr>
          <w:trHeight w:val="210"/>
        </w:trPr>
        <w:tc>
          <w:tcPr>
            <w:tcW w:w="9280" w:type="dxa"/>
            <w:vAlign w:val="bottom"/>
            <w:gridSpan w:val="8"/>
          </w:tcPr>
          <w:p>
            <w:pPr>
              <w:spacing w:after="0" w:line="210" w:lineRule="exact"/>
              <w:rPr>
                <w:sz w:val="20"/>
                <w:szCs w:val="20"/>
                <w:color w:val="auto"/>
              </w:rPr>
            </w:pPr>
            <w:r>
              <w:rPr>
                <w:rFonts w:ascii="Arial" w:cs="Arial" w:eastAsia="Arial" w:hAnsi="Arial"/>
                <w:sz w:val="20"/>
                <w:szCs w:val="20"/>
                <w:color w:val="1C2790"/>
              </w:rPr>
              <w:t>Notes to the Consolidated Financial Statements</w:t>
            </w:r>
          </w:p>
        </w:tc>
        <w:tc>
          <w:tcPr>
            <w:tcW w:w="1300" w:type="dxa"/>
            <w:vAlign w:val="bottom"/>
          </w:tcPr>
          <w:p>
            <w:pPr>
              <w:spacing w:after="0"/>
              <w:rPr>
                <w:sz w:val="18"/>
                <w:szCs w:val="18"/>
                <w:color w:val="auto"/>
              </w:rPr>
            </w:pPr>
          </w:p>
        </w:tc>
        <w:tc>
          <w:tcPr>
            <w:tcW w:w="220" w:type="dxa"/>
            <w:vAlign w:val="bottom"/>
          </w:tcPr>
          <w:p>
            <w:pPr>
              <w:jc w:val="right"/>
              <w:spacing w:after="0" w:line="210" w:lineRule="exact"/>
              <w:rPr>
                <w:sz w:val="20"/>
                <w:szCs w:val="20"/>
                <w:color w:val="auto"/>
              </w:rPr>
            </w:pPr>
            <w:r>
              <w:rPr>
                <w:rFonts w:ascii="Arial" w:cs="Arial" w:eastAsia="Arial" w:hAnsi="Arial"/>
                <w:sz w:val="20"/>
                <w:szCs w:val="20"/>
                <w:color w:val="1C2790"/>
                <w:w w:val="89"/>
              </w:rPr>
              <w:t>85</w:t>
            </w:r>
          </w:p>
        </w:tc>
      </w:tr>
      <w:tr>
        <w:trPr>
          <w:trHeight w:val="20"/>
        </w:trPr>
        <w:tc>
          <w:tcPr>
            <w:tcW w:w="2620" w:type="dxa"/>
            <w:vAlign w:val="bottom"/>
            <w:shd w:val="clear" w:color="auto" w:fill="1C2790"/>
          </w:tcPr>
          <w:p>
            <w:pPr>
              <w:spacing w:after="0" w:line="20" w:lineRule="exact"/>
              <w:rPr>
                <w:sz w:val="1"/>
                <w:szCs w:val="1"/>
                <w:color w:val="auto"/>
              </w:rPr>
            </w:pPr>
          </w:p>
        </w:tc>
        <w:tc>
          <w:tcPr>
            <w:tcW w:w="88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660" w:type="dxa"/>
            <w:vAlign w:val="bottom"/>
            <w:shd w:val="clear" w:color="auto" w:fill="1C279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10800"/>
          </w:cols>
          <w:pgMar w:left="720" w:top="355" w:right="720" w:bottom="0" w:gutter="0" w:footer="0" w:header="0"/>
        </w:sectPr>
      </w:pPr>
    </w:p>
    <w:bookmarkStart w:id="77" w:name="page78"/>
    <w:bookmarkEnd w:id="77"/>
    <w:p>
      <w:pPr>
        <w:ind w:left="6120"/>
        <w:spacing w:after="0"/>
        <w:rPr>
          <w:sz w:val="20"/>
          <w:szCs w:val="20"/>
          <w:color w:val="auto"/>
        </w:rPr>
      </w:pPr>
      <w:r>
        <w:rPr>
          <w:rFonts w:ascii="Arial" w:cs="Arial" w:eastAsia="Arial" w:hAnsi="Arial"/>
          <w:sz w:val="15"/>
          <w:szCs w:val="15"/>
          <w:b w:val="1"/>
          <w:bCs w:val="1"/>
          <w:color w:val="000033"/>
        </w:rPr>
        <w:drawing>
          <wp:anchor simplePos="0" relativeHeight="251657728" behindDoc="1" locked="0" layoutInCell="0" allowOverlap="1">
            <wp:simplePos x="0" y="0"/>
            <wp:positionH relativeFrom="page">
              <wp:posOffset>914400</wp:posOffset>
            </wp:positionH>
            <wp:positionV relativeFrom="page">
              <wp:posOffset>91440</wp:posOffset>
            </wp:positionV>
            <wp:extent cx="1905000" cy="581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05000" cy="581025"/>
                    </a:xfrm>
                    <a:prstGeom prst="rect">
                      <a:avLst/>
                    </a:prstGeom>
                    <a:noFill/>
                  </pic:spPr>
                </pic:pic>
              </a:graphicData>
            </a:graphic>
          </wp:anchor>
        </w:drawing>
        <w:t>Crowe LLP</w:t>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2"/>
          <w:szCs w:val="12"/>
          <w:color w:val="000033"/>
        </w:rPr>
        <w:t>Independent Member Crowe Global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Stockholders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USCB Financial Holdings, Inc.</w:t>
      </w:r>
    </w:p>
    <w:p>
      <w:pPr>
        <w:spacing w:after="0"/>
        <w:rPr>
          <w:sz w:val="20"/>
          <w:szCs w:val="20"/>
          <w:color w:val="auto"/>
        </w:rPr>
      </w:pPr>
      <w:r>
        <w:rPr>
          <w:rFonts w:ascii="Arial" w:cs="Arial" w:eastAsia="Arial" w:hAnsi="Arial"/>
          <w:sz w:val="20"/>
          <w:szCs w:val="20"/>
          <w:color w:val="auto"/>
        </w:rPr>
        <w:t>Doral, Florida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have audited the accompanying consolidated balance sheets of USCB Financial Holdings, Inc. (the “Company”) as of December 31, 2024 and 2023, the related consolidated statements of operations, comprehensive income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jc w:val="right"/>
        <w:ind w:right="4120"/>
        <w:spacing w:after="0"/>
        <w:rPr>
          <w:sz w:val="20"/>
          <w:szCs w:val="20"/>
          <w:color w:val="auto"/>
        </w:rPr>
      </w:pPr>
      <w:r>
        <w:rPr>
          <w:rFonts w:ascii="Arial" w:cs="Arial" w:eastAsia="Arial" w:hAnsi="Arial"/>
          <w:sz w:val="20"/>
          <w:szCs w:val="20"/>
          <w:i w:val="1"/>
          <w:iCs w:val="1"/>
          <w:color w:val="auto"/>
        </w:rPr>
        <w:t>/s/ Crowe LLP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2286000</wp:posOffset>
                </wp:positionH>
                <wp:positionV relativeFrom="paragraph">
                  <wp:posOffset>-1270</wp:posOffset>
                </wp:positionV>
                <wp:extent cx="18288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pt,-0.0999pt" to="324pt,-0.0999pt" o:allowincell="f" strokecolor="#000000" strokeweight="0.7199pt"/>
            </w:pict>
          </mc:Fallback>
        </mc:AlternateContent>
      </w:r>
    </w:p>
    <w:p>
      <w:pPr>
        <w:jc w:val="right"/>
        <w:ind w:right="4180"/>
        <w:spacing w:after="0"/>
        <w:rPr>
          <w:sz w:val="20"/>
          <w:szCs w:val="20"/>
          <w:color w:val="auto"/>
        </w:rPr>
      </w:pPr>
      <w:r>
        <w:rPr>
          <w:rFonts w:ascii="Arial" w:cs="Arial" w:eastAsia="Arial" w:hAnsi="Arial"/>
          <w:sz w:val="20"/>
          <w:szCs w:val="20"/>
          <w:color w:val="auto"/>
        </w:rPr>
        <w:t>Crowe LLP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Fort Lauderdale, Florida</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40" w:orient="portrait"/>
          <w:cols w:equalWidth="0" w:num="1">
            <w:col w:w="9360"/>
          </w:cols>
          <w:pgMar w:left="1440" w:top="745" w:right="1440" w:bottom="0" w:gutter="0" w:footer="0" w:header="0"/>
        </w:sectPr>
      </w:pPr>
    </w:p>
    <w:bookmarkStart w:id="78" w:name="page79"/>
    <w:bookmarkEnd w:id="7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jc w:val="center"/>
        <w:spacing w:after="0"/>
        <w:rPr>
          <w:sz w:val="20"/>
          <w:szCs w:val="20"/>
          <w:color w:val="auto"/>
        </w:rPr>
      </w:pPr>
      <w:r>
        <w:rPr>
          <w:rFonts w:ascii="Arial" w:cs="Arial" w:eastAsia="Arial" w:hAnsi="Arial"/>
          <w:sz w:val="20"/>
          <w:szCs w:val="20"/>
          <w:color w:val="auto"/>
        </w:rPr>
        <w:t>(Dollars 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3"/>
        </w:trPr>
        <w:tc>
          <w:tcPr>
            <w:tcW w:w="7340" w:type="dxa"/>
            <w:vAlign w:val="bottom"/>
            <w:tcBorders>
              <w:bottom w:val="single" w:sz="8" w:color="D2EEF5"/>
            </w:tcBorders>
          </w:tcPr>
          <w:p>
            <w:pPr>
              <w:spacing w:after="0"/>
              <w:rPr>
                <w:sz w:val="17"/>
                <w:szCs w:val="17"/>
                <w:color w:val="auto"/>
              </w:rPr>
            </w:pPr>
          </w:p>
        </w:tc>
        <w:tc>
          <w:tcPr>
            <w:tcW w:w="20" w:type="dxa"/>
            <w:vAlign w:val="bottom"/>
            <w:tcBorders>
              <w:bottom w:val="single" w:sz="8" w:color="D2EE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2EEF5"/>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r>
      <w:tr>
        <w:trPr>
          <w:trHeight w:val="206"/>
        </w:trPr>
        <w:tc>
          <w:tcPr>
            <w:tcW w:w="734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580" w:type="dxa"/>
            <w:vAlign w:val="bottom"/>
            <w:shd w:val="clear" w:color="auto" w:fill="D2EEF5"/>
          </w:tcPr>
          <w:p>
            <w:pPr>
              <w:spacing w:after="0"/>
              <w:rPr>
                <w:sz w:val="17"/>
                <w:szCs w:val="17"/>
                <w:color w:val="auto"/>
              </w:rPr>
            </w:pPr>
          </w:p>
        </w:tc>
        <w:tc>
          <w:tcPr>
            <w:tcW w:w="1100" w:type="dxa"/>
            <w:vAlign w:val="bottom"/>
            <w:shd w:val="clear" w:color="auto" w:fill="D2EEF5"/>
          </w:tcPr>
          <w:p>
            <w:pPr>
              <w:spacing w:after="0"/>
              <w:rPr>
                <w:sz w:val="17"/>
                <w:szCs w:val="17"/>
                <w:color w:val="auto"/>
              </w:rPr>
            </w:pP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6,986</w:t>
            </w:r>
          </w:p>
        </w:tc>
        <w:tc>
          <w:tcPr>
            <w:tcW w:w="66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8,019</w:t>
            </w:r>
          </w:p>
        </w:tc>
      </w:tr>
      <w:tr>
        <w:trPr>
          <w:trHeight w:val="22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Interest-bearing deposits in banks</w:t>
            </w:r>
          </w:p>
        </w:tc>
        <w:tc>
          <w:tcPr>
            <w:tcW w:w="20" w:type="dxa"/>
            <w:vAlign w:val="bottom"/>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70,049</w:t>
            </w:r>
          </w:p>
        </w:tc>
        <w:tc>
          <w:tcPr>
            <w:tcW w:w="80" w:type="dxa"/>
            <w:vAlign w:val="bottom"/>
            <w:shd w:val="clear" w:color="auto" w:fill="D2EEF5"/>
          </w:tcPr>
          <w:p>
            <w:pPr>
              <w:spacing w:after="0"/>
              <w:rPr>
                <w:sz w:val="19"/>
                <w:szCs w:val="19"/>
                <w:color w:val="auto"/>
              </w:rPr>
            </w:pPr>
          </w:p>
        </w:tc>
        <w:tc>
          <w:tcPr>
            <w:tcW w:w="580" w:type="dxa"/>
            <w:vAlign w:val="bottom"/>
            <w:tcBorders>
              <w:bottom w:val="single" w:sz="8" w:color="auto"/>
            </w:tcBorders>
            <w:shd w:val="clear" w:color="auto" w:fill="D2EEF5"/>
          </w:tcPr>
          <w:p>
            <w:pPr>
              <w:spacing w:after="0"/>
              <w:rPr>
                <w:sz w:val="19"/>
                <w:szCs w:val="19"/>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33,043</w:t>
            </w:r>
          </w:p>
        </w:tc>
      </w:tr>
      <w:tr>
        <w:trPr>
          <w:trHeight w:val="203"/>
        </w:trPr>
        <w:tc>
          <w:tcPr>
            <w:tcW w:w="7340" w:type="dxa"/>
            <w:vAlign w:val="bottom"/>
          </w:tcPr>
          <w:p>
            <w:pPr>
              <w:ind w:left="140"/>
              <w:spacing w:after="0"/>
              <w:rPr>
                <w:sz w:val="20"/>
                <w:szCs w:val="20"/>
                <w:color w:val="auto"/>
              </w:rPr>
            </w:pPr>
            <w:r>
              <w:rPr>
                <w:rFonts w:ascii="Arial" w:cs="Arial" w:eastAsia="Arial" w:hAnsi="Arial"/>
                <w:sz w:val="16"/>
                <w:szCs w:val="16"/>
                <w:color w:val="auto"/>
              </w:rPr>
              <w:t>Total cash and cash equivalents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77,035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41,062</w:t>
            </w:r>
          </w:p>
        </w:tc>
      </w:tr>
      <w:tr>
        <w:trPr>
          <w:trHeight w:val="26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Investment securities held to maturity net allowance of $6 and $8, respectively (fair value $145,540 and</w:t>
            </w:r>
          </w:p>
        </w:tc>
        <w:tc>
          <w:tcPr>
            <w:tcW w:w="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50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580" w:type="dxa"/>
            <w:vAlign w:val="bottom"/>
            <w:shd w:val="clear" w:color="auto" w:fill="D2EEF5"/>
          </w:tcPr>
          <w:p>
            <w:pPr>
              <w:spacing w:after="0"/>
              <w:rPr>
                <w:sz w:val="23"/>
                <w:szCs w:val="23"/>
                <w:color w:val="auto"/>
              </w:rPr>
            </w:pPr>
          </w:p>
        </w:tc>
        <w:tc>
          <w:tcPr>
            <w:tcW w:w="1100" w:type="dxa"/>
            <w:vAlign w:val="bottom"/>
            <w:shd w:val="clear" w:color="auto" w:fill="D2EEF5"/>
          </w:tcPr>
          <w:p>
            <w:pPr>
              <w:spacing w:after="0"/>
              <w:rPr>
                <w:sz w:val="23"/>
                <w:szCs w:val="23"/>
                <w:color w:val="auto"/>
              </w:rPr>
            </w:pPr>
          </w:p>
        </w:tc>
      </w:tr>
      <w:tr>
        <w:trPr>
          <w:trHeight w:val="185"/>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$155,510, respectively)</w:t>
            </w:r>
          </w:p>
        </w:tc>
        <w:tc>
          <w:tcPr>
            <w:tcW w:w="2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164,694</w:t>
            </w:r>
          </w:p>
        </w:tc>
        <w:tc>
          <w:tcPr>
            <w:tcW w:w="8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174,974</w:t>
            </w: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Investment securities available for sale, at fair 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260,221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229,329</w:t>
            </w:r>
          </w:p>
        </w:tc>
      </w:tr>
      <w:tr>
        <w:trPr>
          <w:trHeight w:val="223"/>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Federal Home Loan Bank stock, at cost</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9,379</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10,153</w:t>
            </w: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Loans held for investment, net of allowance of $24,070 and $21,084, respectively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1,948,778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1,759,743</w:t>
            </w:r>
          </w:p>
        </w:tc>
      </w:tr>
      <w:tr>
        <w:trPr>
          <w:trHeight w:val="22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Accrued interest receivable</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10,945</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10,688</w:t>
            </w: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Premises and equipment,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4,836</w:t>
            </w:r>
          </w:p>
        </w:tc>
      </w:tr>
      <w:tr>
        <w:trPr>
          <w:trHeight w:val="223"/>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Bank owned life insurance</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53,472</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51,781</w:t>
            </w: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Deferred tax asset,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29,646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37,282</w:t>
            </w:r>
          </w:p>
        </w:tc>
      </w:tr>
      <w:tr>
        <w:trPr>
          <w:trHeight w:val="22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Lease right-of-use asset</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8,451</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11,423</w:t>
            </w:r>
          </w:p>
        </w:tc>
      </w:tr>
      <w:tr>
        <w:trPr>
          <w:trHeight w:val="226"/>
        </w:trPr>
        <w:tc>
          <w:tcPr>
            <w:tcW w:w="7340" w:type="dxa"/>
            <w:vAlign w:val="bottom"/>
            <w:tcBorders>
              <w:bottom w:val="single" w:sz="8" w:color="D2EEF5"/>
            </w:tcBorders>
          </w:tcPr>
          <w:p>
            <w:pPr>
              <w:spacing w:after="0"/>
              <w:rPr>
                <w:sz w:val="20"/>
                <w:szCs w:val="20"/>
                <w:color w:val="auto"/>
              </w:rPr>
            </w:pPr>
            <w:r>
              <w:rPr>
                <w:rFonts w:ascii="Arial" w:cs="Arial" w:eastAsia="Arial" w:hAnsi="Arial"/>
                <w:sz w:val="16"/>
                <w:szCs w:val="16"/>
                <w:color w:val="auto"/>
              </w:rPr>
              <w:t>Other assets</w:t>
            </w: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14,032</w:t>
            </w:r>
          </w:p>
        </w:tc>
        <w:tc>
          <w:tcPr>
            <w:tcW w:w="80" w:type="dxa"/>
            <w:vAlign w:val="bottom"/>
            <w:tcBorders>
              <w:bottom w:val="single" w:sz="8" w:color="D2EE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7,822</w:t>
            </w:r>
          </w:p>
        </w:tc>
      </w:tr>
      <w:tr>
        <w:trPr>
          <w:trHeight w:val="220"/>
        </w:trPr>
        <w:tc>
          <w:tcPr>
            <w:tcW w:w="73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2,581,216</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2,339,093</w:t>
            </w:r>
          </w:p>
        </w:tc>
      </w:tr>
      <w:tr>
        <w:trPr>
          <w:trHeight w:val="20"/>
        </w:trPr>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3"/>
        </w:trPr>
        <w:tc>
          <w:tcPr>
            <w:tcW w:w="734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spacing w:after="0"/>
              <w:rPr>
                <w:sz w:val="19"/>
                <w:szCs w:val="19"/>
                <w:color w:val="auto"/>
              </w:rPr>
            </w:pP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Deposits: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73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Non-interest bearing demand deposits</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575,159</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552,762</w:t>
            </w:r>
          </w:p>
        </w:tc>
      </w:tr>
      <w:tr>
        <w:trPr>
          <w:trHeight w:val="226"/>
        </w:trPr>
        <w:tc>
          <w:tcPr>
            <w:tcW w:w="7340" w:type="dxa"/>
            <w:vAlign w:val="bottom"/>
          </w:tcPr>
          <w:p>
            <w:pPr>
              <w:ind w:left="140"/>
              <w:spacing w:after="0"/>
              <w:rPr>
                <w:sz w:val="20"/>
                <w:szCs w:val="20"/>
                <w:color w:val="auto"/>
              </w:rPr>
            </w:pPr>
            <w:r>
              <w:rPr>
                <w:rFonts w:ascii="Arial" w:cs="Arial" w:eastAsia="Arial" w:hAnsi="Arial"/>
                <w:sz w:val="16"/>
                <w:szCs w:val="16"/>
                <w:color w:val="auto"/>
              </w:rPr>
              <w:t>Savings and money market deposits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1,180,809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1,048,272</w:t>
            </w:r>
          </w:p>
        </w:tc>
      </w:tr>
      <w:tr>
        <w:trPr>
          <w:trHeight w:val="223"/>
        </w:trPr>
        <w:tc>
          <w:tcPr>
            <w:tcW w:w="73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Interest-bearing demand deposits</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50,648</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47,702</w:t>
            </w:r>
          </w:p>
        </w:tc>
      </w:tr>
      <w:tr>
        <w:trPr>
          <w:trHeight w:val="226"/>
        </w:trPr>
        <w:tc>
          <w:tcPr>
            <w:tcW w:w="73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Time deposits</w:t>
            </w: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367,388</w:t>
            </w:r>
          </w:p>
        </w:tc>
        <w:tc>
          <w:tcPr>
            <w:tcW w:w="80" w:type="dxa"/>
            <w:vAlign w:val="bottom"/>
            <w:tcBorders>
              <w:bottom w:val="single" w:sz="8" w:color="D2EE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288,403</w:t>
            </w:r>
          </w:p>
        </w:tc>
      </w:tr>
      <w:tr>
        <w:trPr>
          <w:trHeight w:val="206"/>
        </w:trPr>
        <w:tc>
          <w:tcPr>
            <w:tcW w:w="7340" w:type="dxa"/>
            <w:vAlign w:val="bottom"/>
            <w:tcBorders>
              <w:bottom w:val="single" w:sz="8" w:color="D2EEF5"/>
            </w:tcBorders>
            <w:shd w:val="clear" w:color="auto" w:fill="D2EEF5"/>
          </w:tcPr>
          <w:p>
            <w:pPr>
              <w:ind w:left="280"/>
              <w:spacing w:after="0"/>
              <w:rPr>
                <w:sz w:val="20"/>
                <w:szCs w:val="20"/>
                <w:color w:val="auto"/>
              </w:rPr>
            </w:pPr>
            <w:r>
              <w:rPr>
                <w:rFonts w:ascii="Arial" w:cs="Arial" w:eastAsia="Arial" w:hAnsi="Arial"/>
                <w:sz w:val="16"/>
                <w:szCs w:val="16"/>
                <w:color w:val="auto"/>
              </w:rPr>
              <w:t>Total deposits</w:t>
            </w:r>
          </w:p>
        </w:tc>
        <w:tc>
          <w:tcPr>
            <w:tcW w:w="20" w:type="dxa"/>
            <w:vAlign w:val="bottom"/>
            <w:tcBorders>
              <w:bottom w:val="single" w:sz="8" w:color="D2EEF5"/>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2,174,004</w:t>
            </w:r>
          </w:p>
        </w:tc>
        <w:tc>
          <w:tcPr>
            <w:tcW w:w="80" w:type="dxa"/>
            <w:vAlign w:val="bottom"/>
            <w:tcBorders>
              <w:bottom w:val="single" w:sz="8" w:color="D2EEF5"/>
            </w:tcBorders>
            <w:shd w:val="clear" w:color="auto" w:fill="D2EEF5"/>
          </w:tcPr>
          <w:p>
            <w:pPr>
              <w:spacing w:after="0"/>
              <w:rPr>
                <w:sz w:val="17"/>
                <w:szCs w:val="17"/>
                <w:color w:val="auto"/>
              </w:rPr>
            </w:pPr>
          </w:p>
        </w:tc>
        <w:tc>
          <w:tcPr>
            <w:tcW w:w="580" w:type="dxa"/>
            <w:vAlign w:val="bottom"/>
            <w:tcBorders>
              <w:bottom w:val="single" w:sz="8" w:color="auto"/>
            </w:tcBorders>
            <w:shd w:val="clear" w:color="auto" w:fill="D2EEF5"/>
          </w:tcPr>
          <w:p>
            <w:pPr>
              <w:spacing w:after="0"/>
              <w:rPr>
                <w:sz w:val="17"/>
                <w:szCs w:val="17"/>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1,937,139</w:t>
            </w: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rPr>
              <w:t>Federal Home Loan Bank advances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163,000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183,000</w:t>
            </w:r>
          </w:p>
        </w:tc>
      </w:tr>
      <w:tr>
        <w:trPr>
          <w:trHeight w:val="223"/>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Lease liability</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8,451</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11,423</w:t>
            </w:r>
          </w:p>
        </w:tc>
      </w:tr>
      <w:tr>
        <w:trPr>
          <w:trHeight w:val="226"/>
        </w:trPr>
        <w:tc>
          <w:tcPr>
            <w:tcW w:w="7340" w:type="dxa"/>
            <w:vAlign w:val="bottom"/>
            <w:tcBorders>
              <w:bottom w:val="single" w:sz="8" w:color="D2EEF5"/>
            </w:tcBorders>
          </w:tcPr>
          <w:p>
            <w:pPr>
              <w:spacing w:after="0"/>
              <w:rPr>
                <w:sz w:val="20"/>
                <w:szCs w:val="20"/>
                <w:color w:val="auto"/>
              </w:rPr>
            </w:pPr>
            <w:r>
              <w:rPr>
                <w:rFonts w:ascii="Arial" w:cs="Arial" w:eastAsia="Arial" w:hAnsi="Arial"/>
                <w:sz w:val="16"/>
                <w:szCs w:val="16"/>
                <w:color w:val="auto"/>
              </w:rPr>
              <w:t>Accrued interest and other liabilities</w:t>
            </w: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20,373</w:t>
            </w:r>
          </w:p>
        </w:tc>
        <w:tc>
          <w:tcPr>
            <w:tcW w:w="80" w:type="dxa"/>
            <w:vAlign w:val="bottom"/>
            <w:tcBorders>
              <w:bottom w:val="single" w:sz="8" w:color="D2EE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15,563</w:t>
            </w:r>
          </w:p>
        </w:tc>
      </w:tr>
      <w:tr>
        <w:trPr>
          <w:trHeight w:val="206"/>
        </w:trPr>
        <w:tc>
          <w:tcPr>
            <w:tcW w:w="734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6"/>
                <w:szCs w:val="16"/>
                <w:color w:val="auto"/>
              </w:rPr>
              <w:t>Total liabilities</w:t>
            </w:r>
          </w:p>
        </w:tc>
        <w:tc>
          <w:tcPr>
            <w:tcW w:w="20" w:type="dxa"/>
            <w:vAlign w:val="bottom"/>
            <w:tcBorders>
              <w:bottom w:val="single" w:sz="8" w:color="D2EEF5"/>
            </w:tcBorders>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2,365,828</w:t>
            </w:r>
          </w:p>
        </w:tc>
        <w:tc>
          <w:tcPr>
            <w:tcW w:w="80" w:type="dxa"/>
            <w:vAlign w:val="bottom"/>
            <w:tcBorders>
              <w:bottom w:val="single" w:sz="8" w:color="D2EEF5"/>
            </w:tcBorders>
            <w:shd w:val="clear" w:color="auto" w:fill="D2EEF5"/>
          </w:tcPr>
          <w:p>
            <w:pPr>
              <w:spacing w:after="0"/>
              <w:rPr>
                <w:sz w:val="17"/>
                <w:szCs w:val="17"/>
                <w:color w:val="auto"/>
              </w:rPr>
            </w:pPr>
          </w:p>
        </w:tc>
        <w:tc>
          <w:tcPr>
            <w:tcW w:w="580" w:type="dxa"/>
            <w:vAlign w:val="bottom"/>
            <w:tcBorders>
              <w:bottom w:val="single" w:sz="8" w:color="auto"/>
            </w:tcBorders>
            <w:shd w:val="clear" w:color="auto" w:fill="D2EEF5"/>
          </w:tcPr>
          <w:p>
            <w:pPr>
              <w:spacing w:after="0"/>
              <w:rPr>
                <w:sz w:val="17"/>
                <w:szCs w:val="17"/>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2,147,125</w:t>
            </w:r>
          </w:p>
        </w:tc>
      </w:tr>
      <w:tr>
        <w:trPr>
          <w:trHeight w:val="206"/>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3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b w:val="1"/>
                <w:bCs w:val="1"/>
                <w:color w:val="auto"/>
              </w:rPr>
              <w:t>Commitments and contingencies (See Notes 10 and 19)</w:t>
            </w:r>
          </w:p>
        </w:tc>
        <w:tc>
          <w:tcPr>
            <w:tcW w:w="20" w:type="dxa"/>
            <w:vAlign w:val="bottom"/>
            <w:tcBorders>
              <w:bottom w:val="single" w:sz="8" w:color="D2EEF5"/>
            </w:tcBorders>
            <w:shd w:val="clear" w:color="auto" w:fill="D2EEF5"/>
          </w:tcPr>
          <w:p>
            <w:pPr>
              <w:spacing w:after="0"/>
              <w:rPr>
                <w:sz w:val="17"/>
                <w:szCs w:val="17"/>
                <w:color w:val="auto"/>
              </w:rPr>
            </w:pPr>
          </w:p>
        </w:tc>
        <w:tc>
          <w:tcPr>
            <w:tcW w:w="180" w:type="dxa"/>
            <w:vAlign w:val="bottom"/>
            <w:tcBorders>
              <w:bottom w:val="single" w:sz="8" w:color="D2EEF5"/>
            </w:tcBorders>
            <w:shd w:val="clear" w:color="auto" w:fill="D2EEF5"/>
          </w:tcPr>
          <w:p>
            <w:pPr>
              <w:spacing w:after="0"/>
              <w:rPr>
                <w:sz w:val="17"/>
                <w:szCs w:val="17"/>
                <w:color w:val="auto"/>
              </w:rPr>
            </w:pPr>
          </w:p>
        </w:tc>
        <w:tc>
          <w:tcPr>
            <w:tcW w:w="1500" w:type="dxa"/>
            <w:vAlign w:val="bottom"/>
            <w:tcBorders>
              <w:bottom w:val="single" w:sz="8" w:color="D2EEF5"/>
            </w:tcBorders>
            <w:shd w:val="clear" w:color="auto" w:fill="D2EEF5"/>
          </w:tcPr>
          <w:p>
            <w:pPr>
              <w:spacing w:after="0"/>
              <w:rPr>
                <w:sz w:val="17"/>
                <w:szCs w:val="17"/>
                <w:color w:val="auto"/>
              </w:rPr>
            </w:pPr>
          </w:p>
        </w:tc>
        <w:tc>
          <w:tcPr>
            <w:tcW w:w="80" w:type="dxa"/>
            <w:vAlign w:val="bottom"/>
            <w:tcBorders>
              <w:bottom w:val="single" w:sz="8" w:color="D2EEF5"/>
            </w:tcBorders>
            <w:shd w:val="clear" w:color="auto" w:fill="D2EEF5"/>
          </w:tcPr>
          <w:p>
            <w:pPr>
              <w:spacing w:after="0"/>
              <w:rPr>
                <w:sz w:val="17"/>
                <w:szCs w:val="17"/>
                <w:color w:val="auto"/>
              </w:rPr>
            </w:pPr>
          </w:p>
        </w:tc>
        <w:tc>
          <w:tcPr>
            <w:tcW w:w="580" w:type="dxa"/>
            <w:vAlign w:val="bottom"/>
            <w:tcBorders>
              <w:bottom w:val="single" w:sz="8" w:color="D2EEF5"/>
            </w:tcBorders>
            <w:shd w:val="clear" w:color="auto" w:fill="D2EEF5"/>
          </w:tcPr>
          <w:p>
            <w:pPr>
              <w:spacing w:after="0"/>
              <w:rPr>
                <w:sz w:val="17"/>
                <w:szCs w:val="17"/>
                <w:color w:val="auto"/>
              </w:rPr>
            </w:pPr>
          </w:p>
        </w:tc>
        <w:tc>
          <w:tcPr>
            <w:tcW w:w="1100" w:type="dxa"/>
            <w:vAlign w:val="bottom"/>
            <w:tcBorders>
              <w:bottom w:val="single" w:sz="8" w:color="D2EEF5"/>
            </w:tcBorders>
            <w:shd w:val="clear" w:color="auto" w:fill="D2EEF5"/>
          </w:tcPr>
          <w:p>
            <w:pPr>
              <w:spacing w:after="0"/>
              <w:rPr>
                <w:sz w:val="17"/>
                <w:szCs w:val="17"/>
                <w:color w:val="auto"/>
              </w:rPr>
            </w:pPr>
          </w:p>
        </w:tc>
      </w:tr>
      <w:tr>
        <w:trPr>
          <w:trHeight w:val="226"/>
        </w:trPr>
        <w:tc>
          <w:tcPr>
            <w:tcW w:w="7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734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STOCKHOLDERS' EQUITY:</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spacing w:after="0"/>
              <w:rPr>
                <w:sz w:val="19"/>
                <w:szCs w:val="19"/>
                <w:color w:val="auto"/>
              </w:rPr>
            </w:pPr>
          </w:p>
        </w:tc>
      </w:tr>
      <w:tr>
        <w:trPr>
          <w:trHeight w:val="250"/>
        </w:trPr>
        <w:tc>
          <w:tcPr>
            <w:tcW w:w="7340" w:type="dxa"/>
            <w:vAlign w:val="bottom"/>
          </w:tcPr>
          <w:p>
            <w:pPr>
              <w:spacing w:after="0"/>
              <w:rPr>
                <w:sz w:val="20"/>
                <w:szCs w:val="20"/>
                <w:color w:val="auto"/>
              </w:rPr>
            </w:pPr>
            <w:r>
              <w:rPr>
                <w:rFonts w:ascii="Arial" w:cs="Arial" w:eastAsia="Arial" w:hAnsi="Arial"/>
                <w:sz w:val="16"/>
                <w:szCs w:val="16"/>
                <w:color w:val="auto"/>
              </w:rPr>
              <w:t>Preferred stock - Class C; $1.00 par value; $1,000 per share liquidation preference; 52,748 shares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7340" w:type="dxa"/>
            <w:vAlign w:val="bottom"/>
          </w:tcPr>
          <w:p>
            <w:pPr>
              <w:spacing w:after="0"/>
              <w:rPr>
                <w:sz w:val="20"/>
                <w:szCs w:val="20"/>
                <w:color w:val="auto"/>
              </w:rPr>
            </w:pPr>
            <w:r>
              <w:rPr>
                <w:rFonts w:ascii="Arial" w:cs="Arial" w:eastAsia="Arial" w:hAnsi="Arial"/>
                <w:sz w:val="16"/>
                <w:szCs w:val="16"/>
                <w:color w:val="auto"/>
              </w:rPr>
              <w:t>authorized; 0 issued and 0 outstanding as of December 31, 2024 and 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Preferred stock - Class D; $1.00 par value; $5.00 per share liquidation preference; 12,309,480 shares</w:t>
            </w:r>
          </w:p>
        </w:tc>
        <w:tc>
          <w:tcPr>
            <w:tcW w:w="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50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580" w:type="dxa"/>
            <w:vAlign w:val="bottom"/>
            <w:shd w:val="clear" w:color="auto" w:fill="D2EEF5"/>
          </w:tcPr>
          <w:p>
            <w:pPr>
              <w:spacing w:after="0"/>
              <w:rPr>
                <w:sz w:val="23"/>
                <w:szCs w:val="23"/>
                <w:color w:val="auto"/>
              </w:rPr>
            </w:pPr>
          </w:p>
        </w:tc>
        <w:tc>
          <w:tcPr>
            <w:tcW w:w="1100" w:type="dxa"/>
            <w:vAlign w:val="bottom"/>
            <w:shd w:val="clear" w:color="auto" w:fill="D2EEF5"/>
          </w:tcPr>
          <w:p>
            <w:pPr>
              <w:spacing w:after="0"/>
              <w:rPr>
                <w:sz w:val="23"/>
                <w:szCs w:val="23"/>
                <w:color w:val="auto"/>
              </w:rPr>
            </w:pPr>
          </w:p>
        </w:tc>
      </w:tr>
      <w:tr>
        <w:trPr>
          <w:trHeight w:val="185"/>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authorized; 0 issued and 0 outstanding as of December 31, 2024 and 2023</w:t>
            </w:r>
          </w:p>
        </w:tc>
        <w:tc>
          <w:tcPr>
            <w:tcW w:w="2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340" w:type="dxa"/>
            <w:vAlign w:val="bottom"/>
          </w:tcPr>
          <w:p>
            <w:pPr>
              <w:spacing w:after="0"/>
              <w:rPr>
                <w:sz w:val="20"/>
                <w:szCs w:val="20"/>
                <w:color w:val="auto"/>
              </w:rPr>
            </w:pPr>
            <w:r>
              <w:rPr>
                <w:rFonts w:ascii="Arial" w:cs="Arial" w:eastAsia="Arial" w:hAnsi="Arial"/>
                <w:sz w:val="16"/>
                <w:szCs w:val="16"/>
                <w:color w:val="auto"/>
              </w:rPr>
              <w:t>Preferred stock - Class E; $1.00 par value; $1,000 per share liquidation preference; 3,185,024 shares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7340" w:type="dxa"/>
            <w:vAlign w:val="bottom"/>
          </w:tcPr>
          <w:p>
            <w:pPr>
              <w:spacing w:after="0"/>
              <w:rPr>
                <w:sz w:val="20"/>
                <w:szCs w:val="20"/>
                <w:color w:val="auto"/>
              </w:rPr>
            </w:pPr>
            <w:r>
              <w:rPr>
                <w:rFonts w:ascii="Arial" w:cs="Arial" w:eastAsia="Arial" w:hAnsi="Arial"/>
                <w:sz w:val="16"/>
                <w:szCs w:val="16"/>
                <w:color w:val="auto"/>
              </w:rPr>
              <w:t>authorized; 0 issued and 0 outstanding as of December 31, 2024 and 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Common stock - Class A Voting; $1.00 par value; 45,000,000 shares authorized; 19,924,632 and</w:t>
            </w:r>
          </w:p>
        </w:tc>
        <w:tc>
          <w:tcPr>
            <w:tcW w:w="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50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580" w:type="dxa"/>
            <w:vAlign w:val="bottom"/>
            <w:shd w:val="clear" w:color="auto" w:fill="D2EEF5"/>
          </w:tcPr>
          <w:p>
            <w:pPr>
              <w:spacing w:after="0"/>
              <w:rPr>
                <w:sz w:val="23"/>
                <w:szCs w:val="23"/>
                <w:color w:val="auto"/>
              </w:rPr>
            </w:pPr>
          </w:p>
        </w:tc>
        <w:tc>
          <w:tcPr>
            <w:tcW w:w="1100" w:type="dxa"/>
            <w:vAlign w:val="bottom"/>
            <w:shd w:val="clear" w:color="auto" w:fill="D2EEF5"/>
          </w:tcPr>
          <w:p>
            <w:pPr>
              <w:spacing w:after="0"/>
              <w:rPr>
                <w:sz w:val="23"/>
                <w:szCs w:val="23"/>
                <w:color w:val="auto"/>
              </w:rPr>
            </w:pPr>
          </w:p>
        </w:tc>
      </w:tr>
      <w:tr>
        <w:trPr>
          <w:trHeight w:val="185"/>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19,575,435 issued and outstanding as of December 31, 2024 and 2023</w:t>
            </w:r>
          </w:p>
        </w:tc>
        <w:tc>
          <w:tcPr>
            <w:tcW w:w="2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19,925</w:t>
            </w:r>
          </w:p>
        </w:tc>
        <w:tc>
          <w:tcPr>
            <w:tcW w:w="8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19,575</w:t>
            </w:r>
          </w:p>
        </w:tc>
      </w:tr>
      <w:tr>
        <w:trPr>
          <w:trHeight w:val="250"/>
        </w:trPr>
        <w:tc>
          <w:tcPr>
            <w:tcW w:w="7340" w:type="dxa"/>
            <w:vAlign w:val="bottom"/>
          </w:tcPr>
          <w:p>
            <w:pPr>
              <w:spacing w:after="0"/>
              <w:rPr>
                <w:sz w:val="20"/>
                <w:szCs w:val="20"/>
                <w:color w:val="auto"/>
              </w:rPr>
            </w:pPr>
            <w:r>
              <w:rPr>
                <w:rFonts w:ascii="Arial" w:cs="Arial" w:eastAsia="Arial" w:hAnsi="Arial"/>
                <w:sz w:val="16"/>
                <w:szCs w:val="16"/>
                <w:color w:val="auto"/>
              </w:rPr>
              <w:t>Common stock - Class B Non-voting; $1.00 par value; 8,000,000 shares authorized; 0 issued and 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7340" w:type="dxa"/>
            <w:vAlign w:val="bottom"/>
          </w:tcPr>
          <w:p>
            <w:pPr>
              <w:spacing w:after="0"/>
              <w:rPr>
                <w:sz w:val="20"/>
                <w:szCs w:val="20"/>
                <w:color w:val="auto"/>
              </w:rPr>
            </w:pPr>
            <w:r>
              <w:rPr>
                <w:rFonts w:ascii="Arial" w:cs="Arial" w:eastAsia="Arial" w:hAnsi="Arial"/>
                <w:sz w:val="16"/>
                <w:szCs w:val="16"/>
                <w:color w:val="auto"/>
              </w:rPr>
              <w:t>outstanding as of December 31, 2024 and 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340" w:type="dxa"/>
            <w:vAlign w:val="bottom"/>
            <w:shd w:val="clear" w:color="auto" w:fill="D2EEF5"/>
          </w:tcPr>
          <w:p>
            <w:pPr>
              <w:spacing w:after="0"/>
              <w:rPr>
                <w:sz w:val="20"/>
                <w:szCs w:val="20"/>
                <w:color w:val="auto"/>
              </w:rPr>
            </w:pPr>
            <w:r>
              <w:rPr>
                <w:rFonts w:ascii="Arial" w:cs="Arial" w:eastAsia="Arial" w:hAnsi="Arial"/>
                <w:sz w:val="16"/>
                <w:szCs w:val="16"/>
                <w:color w:val="auto"/>
              </w:rPr>
              <w:t>Additional paid-in capital on common stock</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307,810</w:t>
            </w:r>
          </w:p>
        </w:tc>
        <w:tc>
          <w:tcPr>
            <w:tcW w:w="8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305,212</w:t>
            </w:r>
          </w:p>
        </w:tc>
      </w:tr>
      <w:tr>
        <w:trPr>
          <w:trHeight w:val="226"/>
        </w:trPr>
        <w:tc>
          <w:tcPr>
            <w:tcW w:w="7340" w:type="dxa"/>
            <w:vAlign w:val="bottom"/>
          </w:tcPr>
          <w:p>
            <w:pPr>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(67,813)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(88,548)</w:t>
            </w:r>
          </w:p>
        </w:tc>
      </w:tr>
      <w:tr>
        <w:trPr>
          <w:trHeight w:val="226"/>
        </w:trPr>
        <w:tc>
          <w:tcPr>
            <w:tcW w:w="73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(44,534)</w:t>
            </w:r>
          </w:p>
        </w:tc>
        <w:tc>
          <w:tcPr>
            <w:tcW w:w="80" w:type="dxa"/>
            <w:vAlign w:val="bottom"/>
            <w:tcBorders>
              <w:bottom w:val="single" w:sz="8" w:color="D2EEF5"/>
            </w:tcBorders>
            <w:shd w:val="clear" w:color="auto" w:fill="D2EEF5"/>
          </w:tcPr>
          <w:p>
            <w:pPr>
              <w:spacing w:after="0"/>
              <w:rPr>
                <w:sz w:val="19"/>
                <w:szCs w:val="19"/>
                <w:color w:val="auto"/>
              </w:rPr>
            </w:pPr>
          </w:p>
        </w:tc>
        <w:tc>
          <w:tcPr>
            <w:tcW w:w="580" w:type="dxa"/>
            <w:vAlign w:val="bottom"/>
            <w:tcBorders>
              <w:bottom w:val="single" w:sz="8" w:color="auto"/>
            </w:tcBorders>
            <w:shd w:val="clear" w:color="auto" w:fill="D2EEF5"/>
          </w:tcPr>
          <w:p>
            <w:pPr>
              <w:spacing w:after="0"/>
              <w:rPr>
                <w:sz w:val="19"/>
                <w:szCs w:val="19"/>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(44,271)</w:t>
            </w:r>
          </w:p>
        </w:tc>
      </w:tr>
      <w:tr>
        <w:trPr>
          <w:trHeight w:val="203"/>
        </w:trPr>
        <w:tc>
          <w:tcPr>
            <w:tcW w:w="73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Total stockholders' equity</w:t>
            </w:r>
          </w:p>
        </w:tc>
        <w:tc>
          <w:tcPr>
            <w:tcW w:w="20" w:type="dxa"/>
            <w:vAlign w:val="bottom"/>
            <w:tcBorders>
              <w:bottom w:val="single" w:sz="8" w:color="D2EE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215,388</w:t>
            </w:r>
          </w:p>
        </w:tc>
        <w:tc>
          <w:tcPr>
            <w:tcW w:w="80" w:type="dxa"/>
            <w:vAlign w:val="bottom"/>
            <w:tcBorders>
              <w:bottom w:val="single" w:sz="8" w:color="D2EEF5"/>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191,968</w:t>
            </w:r>
          </w:p>
        </w:tc>
      </w:tr>
      <w:tr>
        <w:trPr>
          <w:trHeight w:val="240"/>
        </w:trPr>
        <w:tc>
          <w:tcPr>
            <w:tcW w:w="7340" w:type="dxa"/>
            <w:vAlign w:val="bottom"/>
            <w:tcBorders>
              <w:bottom w:val="single" w:sz="8" w:color="D2EEF5"/>
            </w:tcBorders>
            <w:shd w:val="clear" w:color="auto" w:fill="D2EEF5"/>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2,581,216</w:t>
            </w:r>
          </w:p>
        </w:tc>
        <w:tc>
          <w:tcPr>
            <w:tcW w:w="80" w:type="dxa"/>
            <w:vAlign w:val="bottom"/>
            <w:tcBorders>
              <w:bottom w:val="single" w:sz="8" w:color="D2EEF5"/>
            </w:tcBorders>
            <w:shd w:val="clear" w:color="auto" w:fill="D2EEF5"/>
          </w:tcPr>
          <w:p>
            <w:pPr>
              <w:spacing w:after="0"/>
              <w:rPr>
                <w:sz w:val="20"/>
                <w:szCs w:val="20"/>
                <w:color w:val="auto"/>
              </w:rPr>
            </w:pPr>
          </w:p>
        </w:tc>
        <w:tc>
          <w:tcPr>
            <w:tcW w:w="580" w:type="dxa"/>
            <w:vAlign w:val="bottom"/>
            <w:tcBorders>
              <w:bottom w:val="single" w:sz="8" w:color="auto"/>
            </w:tcBorders>
            <w:shd w:val="clear" w:color="auto" w:fill="D2EEF5"/>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2,339,093</w:t>
            </w:r>
          </w:p>
        </w:tc>
      </w:tr>
      <w:tr>
        <w:trPr>
          <w:trHeight w:val="20"/>
        </w:trPr>
        <w:tc>
          <w:tcPr>
            <w:tcW w:w="736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9040" w:type="dxa"/>
            <w:vAlign w:val="bottom"/>
            <w:gridSpan w:val="4"/>
          </w:tcPr>
          <w:p>
            <w:pPr>
              <w:ind w:left="2280"/>
              <w:spacing w:after="0" w:line="181" w:lineRule="exact"/>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79" w:name="page80"/>
    <w:bookmarkEnd w:id="7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jc w:val="center"/>
        <w:spacing w:after="0"/>
        <w:rPr>
          <w:sz w:val="20"/>
          <w:szCs w:val="20"/>
          <w:color w:val="auto"/>
        </w:rPr>
      </w:pPr>
      <w:r>
        <w:rPr>
          <w:rFonts w:ascii="Arial" w:cs="Arial" w:eastAsia="Arial" w:hAnsi="Arial"/>
          <w:sz w:val="20"/>
          <w:szCs w:val="20"/>
          <w:color w:val="auto"/>
        </w:rPr>
        <w:t>(Dollars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20"/>
        </w:trPr>
        <w:tc>
          <w:tcPr>
            <w:tcW w:w="5740" w:type="dxa"/>
            <w:vAlign w:val="bottom"/>
            <w:tcBorders>
              <w:bottom w:val="single" w:sz="8" w:color="D2EEF5"/>
            </w:tcBorders>
          </w:tcPr>
          <w:p>
            <w:pPr>
              <w:spacing w:after="0"/>
              <w:rPr>
                <w:sz w:val="19"/>
                <w:szCs w:val="19"/>
                <w:color w:val="auto"/>
              </w:rPr>
            </w:pPr>
          </w:p>
        </w:tc>
        <w:tc>
          <w:tcPr>
            <w:tcW w:w="16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Interest income: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Loans, including fees</w:t>
            </w: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115,236</w:t>
            </w:r>
          </w:p>
        </w:tc>
        <w:tc>
          <w:tcPr>
            <w:tcW w:w="26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87,884</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Investment securities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11,480</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10,012</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Interest-bearing deposits in financial institutions</w:t>
            </w:r>
          </w:p>
        </w:tc>
        <w:tc>
          <w:tcPr>
            <w:tcW w:w="16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Total interest income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131,233</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101,017</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Interest-bearing deposits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1,509</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Savings and money markets accounts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40,098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29,658</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Time deposits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13,354</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Federal Home Loan Bank advances</w:t>
            </w:r>
          </w:p>
        </w:tc>
        <w:tc>
          <w:tcPr>
            <w:tcW w:w="16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Total interest expense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61,297</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42,449</w:t>
            </w:r>
          </w:p>
        </w:tc>
        <w:tc>
          <w:tcPr>
            <w:tcW w:w="0" w:type="dxa"/>
            <w:vAlign w:val="bottom"/>
          </w:tcPr>
          <w:p>
            <w:pPr>
              <w:spacing w:after="0"/>
              <w:rPr>
                <w:sz w:val="1"/>
                <w:szCs w:val="1"/>
                <w:color w:val="auto"/>
              </w:rPr>
            </w:pPr>
          </w:p>
        </w:tc>
      </w:tr>
      <w:tr>
        <w:trPr>
          <w:trHeight w:val="240"/>
        </w:trPr>
        <w:tc>
          <w:tcPr>
            <w:tcW w:w="5740" w:type="dxa"/>
            <w:vAlign w:val="bottom"/>
          </w:tcPr>
          <w:p>
            <w:pPr>
              <w:ind w:left="400"/>
              <w:spacing w:after="0"/>
              <w:rPr>
                <w:sz w:val="20"/>
                <w:szCs w:val="20"/>
                <w:color w:val="auto"/>
              </w:rPr>
            </w:pPr>
            <w:r>
              <w:rPr>
                <w:rFonts w:ascii="Arial" w:cs="Arial" w:eastAsia="Arial" w:hAnsi="Arial"/>
                <w:sz w:val="16"/>
                <w:szCs w:val="16"/>
                <w:color w:val="auto"/>
              </w:rPr>
              <w:t>Net interest income before provision for credit losses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69,936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58,568</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Provision for credit losses</w:t>
            </w:r>
          </w:p>
        </w:tc>
        <w:tc>
          <w:tcPr>
            <w:tcW w:w="16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3,157</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20"/>
        </w:trPr>
        <w:tc>
          <w:tcPr>
            <w:tcW w:w="5740" w:type="dxa"/>
            <w:vAlign w:val="bottom"/>
            <w:tcBorders>
              <w:bottom w:val="single" w:sz="8" w:color="D2EEF5"/>
            </w:tcBorders>
          </w:tcPr>
          <w:p>
            <w:pPr>
              <w:ind w:left="400"/>
              <w:spacing w:after="0"/>
              <w:rPr>
                <w:sz w:val="20"/>
                <w:szCs w:val="20"/>
                <w:color w:val="auto"/>
              </w:rPr>
            </w:pPr>
            <w:r>
              <w:rPr>
                <w:rFonts w:ascii="Arial" w:cs="Arial" w:eastAsia="Arial" w:hAnsi="Arial"/>
                <w:sz w:val="16"/>
                <w:szCs w:val="16"/>
                <w:color w:val="auto"/>
              </w:rPr>
              <w:t>Net interest income after provision for credit losses</w:t>
            </w:r>
          </w:p>
        </w:tc>
        <w:tc>
          <w:tcPr>
            <w:tcW w:w="16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66,779</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56,201</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Non-interest income: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Service fees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5,055</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Bank owned life insurance income</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1,691</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Gain (loss) on sale of securities available for sale, net</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Gain on sale of loans held for sale, net</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747</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Other non-interest income</w:t>
            </w:r>
          </w:p>
        </w:tc>
        <w:tc>
          <w:tcPr>
            <w:tcW w:w="16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Total non-interest income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12,740</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6"/>
                <w:szCs w:val="16"/>
                <w:b w:val="1"/>
                <w:bCs w:val="1"/>
                <w:color w:val="auto"/>
              </w:rPr>
              <w:t>Non-interest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Salaries and employee benefits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28,793</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24,429</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5,230</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Regulatory assessment and fees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1,766</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Consulting and legal fees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Network and information technology services</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1,993</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Other operating</w:t>
            </w:r>
          </w:p>
        </w:tc>
        <w:tc>
          <w:tcPr>
            <w:tcW w:w="16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0" w:type="dxa"/>
            <w:vAlign w:val="bottom"/>
          </w:tcPr>
          <w:p>
            <w:pPr>
              <w:spacing w:after="0"/>
              <w:rPr>
                <w:sz w:val="1"/>
                <w:szCs w:val="1"/>
                <w:color w:val="auto"/>
              </w:rPr>
            </w:pPr>
          </w:p>
        </w:tc>
      </w:tr>
      <w:tr>
        <w:trPr>
          <w:trHeight w:val="220"/>
        </w:trPr>
        <w:tc>
          <w:tcPr>
            <w:tcW w:w="5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Total non-interest expense</w:t>
            </w:r>
          </w:p>
        </w:tc>
        <w:tc>
          <w:tcPr>
            <w:tcW w:w="16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47,042</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41,808</w:t>
            </w:r>
          </w:p>
        </w:tc>
        <w:tc>
          <w:tcPr>
            <w:tcW w:w="0" w:type="dxa"/>
            <w:vAlign w:val="bottom"/>
          </w:tcPr>
          <w:p>
            <w:pPr>
              <w:spacing w:after="0"/>
              <w:rPr>
                <w:sz w:val="1"/>
                <w:szCs w:val="1"/>
                <w:color w:val="auto"/>
              </w:rPr>
            </w:pPr>
          </w:p>
        </w:tc>
      </w:tr>
      <w:tr>
        <w:trPr>
          <w:trHeight w:val="240"/>
        </w:trPr>
        <w:tc>
          <w:tcPr>
            <w:tcW w:w="5740" w:type="dxa"/>
            <w:vAlign w:val="bottom"/>
          </w:tcPr>
          <w:p>
            <w:pPr>
              <w:ind w:left="400"/>
              <w:spacing w:after="0"/>
              <w:rPr>
                <w:sz w:val="20"/>
                <w:szCs w:val="20"/>
                <w:color w:val="auto"/>
              </w:rPr>
            </w:pPr>
            <w:r>
              <w:rPr>
                <w:rFonts w:ascii="Arial" w:cs="Arial" w:eastAsia="Arial" w:hAnsi="Arial"/>
                <w:sz w:val="16"/>
                <w:szCs w:val="16"/>
                <w:color w:val="auto"/>
              </w:rPr>
              <w:t>Net income before income tax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32,477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21,796</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Income tax expense</w:t>
            </w:r>
          </w:p>
        </w:tc>
        <w:tc>
          <w:tcPr>
            <w:tcW w:w="16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7,803</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220"/>
        </w:trPr>
        <w:tc>
          <w:tcPr>
            <w:tcW w:w="5740" w:type="dxa"/>
            <w:vAlign w:val="bottom"/>
            <w:tcBorders>
              <w:bottom w:val="single" w:sz="8" w:color="D2EEF5"/>
            </w:tcBorders>
          </w:tcPr>
          <w:p>
            <w:pPr>
              <w:ind w:left="400"/>
              <w:spacing w:after="0"/>
              <w:rPr>
                <w:sz w:val="20"/>
                <w:szCs w:val="20"/>
                <w:color w:val="auto"/>
              </w:rPr>
            </w:pPr>
            <w:r>
              <w:rPr>
                <w:rFonts w:ascii="Arial" w:cs="Arial" w:eastAsia="Arial" w:hAnsi="Arial"/>
                <w:sz w:val="16"/>
                <w:szCs w:val="16"/>
                <w:color w:val="auto"/>
              </w:rPr>
              <w:t>Net income</w:t>
            </w:r>
          </w:p>
        </w:tc>
        <w:tc>
          <w:tcPr>
            <w:tcW w:w="16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24,674</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34"/>
        </w:trPr>
        <w:tc>
          <w:tcPr>
            <w:tcW w:w="5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Net income available to common stockholders</w:t>
            </w:r>
          </w:p>
        </w:tc>
        <w:tc>
          <w:tcPr>
            <w:tcW w:w="1800" w:type="dxa"/>
            <w:vAlign w:val="bottom"/>
            <w:gridSpan w:val="2"/>
            <w:shd w:val="clear" w:color="auto" w:fill="D2EEF5"/>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24,674</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w:t>
            </w: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4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Class A common stock</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280"/>
              <w:spacing w:after="0"/>
              <w:rPr>
                <w:sz w:val="20"/>
                <w:szCs w:val="20"/>
                <w:color w:val="auto"/>
              </w:rPr>
            </w:pPr>
            <w:r>
              <w:rPr>
                <w:rFonts w:ascii="Arial" w:cs="Arial" w:eastAsia="Arial" w:hAnsi="Arial"/>
                <w:sz w:val="16"/>
                <w:szCs w:val="16"/>
                <w:color w:val="auto"/>
              </w:rPr>
              <w:t>Net income per share, basic</w:t>
            </w: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26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280"/>
              <w:spacing w:after="0"/>
              <w:rPr>
                <w:sz w:val="20"/>
                <w:szCs w:val="20"/>
                <w:color w:val="auto"/>
              </w:rPr>
            </w:pPr>
            <w:r>
              <w:rPr>
                <w:rFonts w:ascii="Arial" w:cs="Arial" w:eastAsia="Arial" w:hAnsi="Arial"/>
                <w:sz w:val="16"/>
                <w:szCs w:val="16"/>
                <w:color w:val="auto"/>
              </w:rPr>
              <w:t>Net income per share, diluted</w:t>
            </w:r>
          </w:p>
        </w:tc>
        <w:tc>
          <w:tcPr>
            <w:tcW w:w="1800" w:type="dxa"/>
            <w:vAlign w:val="bottom"/>
            <w:gridSpan w:val="2"/>
            <w:shd w:val="clear" w:color="auto" w:fill="D2EEF5"/>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140"/>
              <w:spacing w:after="0"/>
              <w:rPr>
                <w:sz w:val="20"/>
                <w:szCs w:val="20"/>
                <w:color w:val="auto"/>
              </w:rPr>
            </w:pPr>
            <w:r>
              <w:rPr>
                <w:rFonts w:ascii="Arial" w:cs="Arial" w:eastAsia="Arial" w:hAnsi="Arial"/>
                <w:sz w:val="16"/>
                <w:szCs w:val="16"/>
                <w:color w:val="auto"/>
              </w:rPr>
              <w:t>Class A common stock</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280"/>
              <w:spacing w:after="0"/>
              <w:rPr>
                <w:sz w:val="20"/>
                <w:szCs w:val="20"/>
                <w:color w:val="auto"/>
              </w:rPr>
            </w:pPr>
            <w:r>
              <w:rPr>
                <w:rFonts w:ascii="Arial" w:cs="Arial" w:eastAsia="Arial" w:hAnsi="Arial"/>
                <w:sz w:val="16"/>
                <w:szCs w:val="16"/>
                <w:color w:val="auto"/>
              </w:rPr>
              <w:t>Basic</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19,675,444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19,621,698</w:t>
            </w:r>
          </w:p>
        </w:tc>
        <w:tc>
          <w:tcPr>
            <w:tcW w:w="0" w:type="dxa"/>
            <w:vAlign w:val="bottom"/>
          </w:tcPr>
          <w:p>
            <w:pPr>
              <w:spacing w:after="0"/>
              <w:rPr>
                <w:sz w:val="1"/>
                <w:szCs w:val="1"/>
                <w:color w:val="auto"/>
              </w:rPr>
            </w:pPr>
          </w:p>
        </w:tc>
      </w:tr>
      <w:tr>
        <w:trPr>
          <w:trHeight w:val="240"/>
        </w:trPr>
        <w:tc>
          <w:tcPr>
            <w:tcW w:w="5740" w:type="dxa"/>
            <w:vAlign w:val="bottom"/>
            <w:shd w:val="clear" w:color="auto" w:fill="D2EEF5"/>
          </w:tcPr>
          <w:p>
            <w:pPr>
              <w:ind w:left="280"/>
              <w:spacing w:after="0"/>
              <w:rPr>
                <w:sz w:val="20"/>
                <w:szCs w:val="20"/>
                <w:color w:val="auto"/>
              </w:rPr>
            </w:pPr>
            <w:r>
              <w:rPr>
                <w:rFonts w:ascii="Arial" w:cs="Arial" w:eastAsia="Arial" w:hAnsi="Arial"/>
                <w:sz w:val="16"/>
                <w:szCs w:val="16"/>
                <w:color w:val="auto"/>
              </w:rPr>
              <w:t>Diluted</w:t>
            </w:r>
          </w:p>
        </w:tc>
        <w:tc>
          <w:tcPr>
            <w:tcW w:w="16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19,831,421</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19,687,634</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0" w:name="page81"/>
    <w:bookmarkEnd w:id="80"/>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Comprehensive Income (Loss)</w:t>
      </w:r>
    </w:p>
    <w:p>
      <w:pPr>
        <w:jc w:val="center"/>
        <w:spacing w:after="0"/>
        <w:rPr>
          <w:sz w:val="20"/>
          <w:szCs w:val="20"/>
          <w:color w:val="auto"/>
        </w:rPr>
      </w:pPr>
      <w:r>
        <w:rPr>
          <w:rFonts w:ascii="Arial" w:cs="Arial" w:eastAsia="Arial" w:hAnsi="Arial"/>
          <w:sz w:val="20"/>
          <w:szCs w:val="20"/>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Years Ended December 31,</w:t>
            </w:r>
          </w:p>
        </w:tc>
      </w:tr>
      <w:tr>
        <w:trPr>
          <w:trHeight w:val="206"/>
        </w:trPr>
        <w:tc>
          <w:tcPr>
            <w:tcW w:w="7960" w:type="dxa"/>
            <w:vAlign w:val="bottom"/>
            <w:tcBorders>
              <w:bottom w:val="single" w:sz="8" w:color="D2EE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2EEF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2023</w:t>
            </w:r>
          </w:p>
        </w:tc>
      </w:tr>
      <w:tr>
        <w:trPr>
          <w:trHeight w:val="206"/>
        </w:trPr>
        <w:tc>
          <w:tcPr>
            <w:tcW w:w="7960" w:type="dxa"/>
            <w:vAlign w:val="bottom"/>
            <w:shd w:val="clear" w:color="auto" w:fill="D2EEF5"/>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24,674</w:t>
            </w:r>
          </w:p>
        </w:tc>
        <w:tc>
          <w:tcPr>
            <w:tcW w:w="80" w:type="dxa"/>
            <w:vAlign w:val="bottom"/>
            <w:shd w:val="clear" w:color="auto" w:fill="D2EEF5"/>
          </w:tcPr>
          <w:p>
            <w:pPr>
              <w:spacing w:after="0"/>
              <w:rPr>
                <w:sz w:val="17"/>
                <w:szCs w:val="17"/>
                <w:color w:val="auto"/>
              </w:rPr>
            </w:pPr>
          </w:p>
        </w:tc>
        <w:tc>
          <w:tcPr>
            <w:tcW w:w="300" w:type="dxa"/>
            <w:vAlign w:val="bottom"/>
            <w:shd w:val="clear" w:color="auto" w:fill="D2EEF5"/>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16,545</w:t>
            </w:r>
          </w:p>
        </w:tc>
      </w:tr>
      <w:tr>
        <w:trPr>
          <w:trHeight w:val="226"/>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7960" w:type="dxa"/>
            <w:vAlign w:val="bottom"/>
            <w:shd w:val="clear" w:color="auto" w:fill="D2EEF5"/>
          </w:tcPr>
          <w:p>
            <w:pPr>
              <w:ind w:left="140"/>
              <w:spacing w:after="0"/>
              <w:rPr>
                <w:sz w:val="20"/>
                <w:szCs w:val="20"/>
                <w:color w:val="auto"/>
              </w:rPr>
            </w:pPr>
            <w:r>
              <w:rPr>
                <w:rFonts w:ascii="Arial" w:cs="Arial" w:eastAsia="Arial" w:hAnsi="Arial"/>
                <w:sz w:val="16"/>
                <w:szCs w:val="16"/>
                <w:color w:val="auto"/>
              </w:rPr>
              <w:t>Unrealized loss on investment securities</w:t>
            </w:r>
          </w:p>
        </w:tc>
        <w:tc>
          <w:tcPr>
            <w:tcW w:w="180" w:type="dxa"/>
            <w:vAlign w:val="bottom"/>
            <w:shd w:val="clear" w:color="auto" w:fill="D2EEF5"/>
          </w:tcPr>
          <w:p>
            <w:pPr>
              <w:spacing w:after="0"/>
              <w:rPr>
                <w:sz w:val="19"/>
                <w:szCs w:val="19"/>
                <w:color w:val="auto"/>
              </w:rPr>
            </w:pPr>
          </w:p>
        </w:tc>
        <w:tc>
          <w:tcPr>
            <w:tcW w:w="1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(592)</w:t>
            </w:r>
          </w:p>
        </w:tc>
        <w:tc>
          <w:tcPr>
            <w:tcW w:w="80" w:type="dxa"/>
            <w:vAlign w:val="bottom"/>
            <w:shd w:val="clear" w:color="auto" w:fill="D2EEF5"/>
          </w:tcPr>
          <w:p>
            <w:pPr>
              <w:spacing w:after="0"/>
              <w:rPr>
                <w:sz w:val="19"/>
                <w:szCs w:val="19"/>
                <w:color w:val="auto"/>
              </w:rPr>
            </w:pPr>
          </w:p>
        </w:tc>
        <w:tc>
          <w:tcPr>
            <w:tcW w:w="300" w:type="dxa"/>
            <w:vAlign w:val="bottom"/>
            <w:shd w:val="clear" w:color="auto" w:fill="D2EEF5"/>
          </w:tcPr>
          <w:p>
            <w:pPr>
              <w:spacing w:after="0"/>
              <w:rPr>
                <w:sz w:val="19"/>
                <w:szCs w:val="19"/>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(1,801)</w:t>
            </w:r>
          </w:p>
        </w:tc>
      </w:tr>
      <w:tr>
        <w:trPr>
          <w:trHeight w:val="226"/>
        </w:trPr>
        <w:tc>
          <w:tcPr>
            <w:tcW w:w="7960" w:type="dxa"/>
            <w:vAlign w:val="bottom"/>
          </w:tcPr>
          <w:p>
            <w:pPr>
              <w:ind w:left="140"/>
              <w:spacing w:after="0"/>
              <w:rPr>
                <w:sz w:val="20"/>
                <w:szCs w:val="20"/>
                <w:color w:val="auto"/>
              </w:rPr>
            </w:pPr>
            <w:r>
              <w:rPr>
                <w:rFonts w:ascii="Arial" w:cs="Arial" w:eastAsia="Arial" w:hAnsi="Arial"/>
                <w:sz w:val="16"/>
                <w:szCs w:val="16"/>
                <w:color w:val="auto"/>
              </w:rPr>
              <w:t>Amortization of net unrealized losses on securities transferred from available-for-sale to held-to-maturity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26"/>
        </w:trPr>
        <w:tc>
          <w:tcPr>
            <w:tcW w:w="7960" w:type="dxa"/>
            <w:vAlign w:val="bottom"/>
            <w:shd w:val="clear" w:color="auto" w:fill="D2EEF5"/>
          </w:tcPr>
          <w:p>
            <w:pPr>
              <w:ind w:left="140"/>
              <w:spacing w:after="0"/>
              <w:rPr>
                <w:sz w:val="20"/>
                <w:szCs w:val="20"/>
                <w:color w:val="auto"/>
              </w:rPr>
            </w:pPr>
            <w:r>
              <w:rPr>
                <w:rFonts w:ascii="Arial" w:cs="Arial" w:eastAsia="Arial" w:hAnsi="Arial"/>
                <w:sz w:val="16"/>
                <w:szCs w:val="16"/>
                <w:color w:val="auto"/>
              </w:rPr>
              <w:t>Reclassification adjustment on sale of available for sale securities for (income) loss included in net income</w:t>
            </w:r>
          </w:p>
        </w:tc>
        <w:tc>
          <w:tcPr>
            <w:tcW w:w="180" w:type="dxa"/>
            <w:vAlign w:val="bottom"/>
            <w:shd w:val="clear" w:color="auto" w:fill="D2EEF5"/>
          </w:tcPr>
          <w:p>
            <w:pPr>
              <w:spacing w:after="0"/>
              <w:rPr>
                <w:sz w:val="19"/>
                <w:szCs w:val="19"/>
                <w:color w:val="auto"/>
              </w:rPr>
            </w:pPr>
          </w:p>
        </w:tc>
        <w:tc>
          <w:tcPr>
            <w:tcW w:w="12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D2EEF5"/>
          </w:tcPr>
          <w:p>
            <w:pPr>
              <w:spacing w:after="0"/>
              <w:rPr>
                <w:sz w:val="19"/>
                <w:szCs w:val="19"/>
                <w:color w:val="auto"/>
              </w:rPr>
            </w:pPr>
          </w:p>
        </w:tc>
        <w:tc>
          <w:tcPr>
            <w:tcW w:w="300" w:type="dxa"/>
            <w:vAlign w:val="bottom"/>
            <w:shd w:val="clear" w:color="auto" w:fill="D2EEF5"/>
          </w:tcPr>
          <w:p>
            <w:pPr>
              <w:spacing w:after="0"/>
              <w:rPr>
                <w:sz w:val="19"/>
                <w:szCs w:val="19"/>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1,859</w:t>
            </w:r>
          </w:p>
        </w:tc>
      </w:tr>
      <w:tr>
        <w:trPr>
          <w:trHeight w:val="226"/>
        </w:trPr>
        <w:tc>
          <w:tcPr>
            <w:tcW w:w="7960" w:type="dxa"/>
            <w:vAlign w:val="bottom"/>
          </w:tcPr>
          <w:p>
            <w:pPr>
              <w:ind w:left="140"/>
              <w:spacing w:after="0"/>
              <w:rPr>
                <w:sz w:val="20"/>
                <w:szCs w:val="20"/>
                <w:color w:val="auto"/>
              </w:rPr>
            </w:pPr>
            <w:r>
              <w:rPr>
                <w:rFonts w:ascii="Arial" w:cs="Arial" w:eastAsia="Arial" w:hAnsi="Arial"/>
                <w:sz w:val="16"/>
                <w:szCs w:val="16"/>
                <w:color w:val="auto"/>
              </w:rPr>
              <w:t>Unrealized (loss) gain on cash flow hedge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23"/>
        </w:trPr>
        <w:tc>
          <w:tcPr>
            <w:tcW w:w="796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6"/>
                <w:szCs w:val="16"/>
                <w:color w:val="auto"/>
              </w:rPr>
              <w:t>Tax effect</w:t>
            </w:r>
          </w:p>
        </w:tc>
        <w:tc>
          <w:tcPr>
            <w:tcW w:w="180" w:type="dxa"/>
            <w:vAlign w:val="bottom"/>
            <w:tcBorders>
              <w:bottom w:val="single" w:sz="8" w:color="auto"/>
            </w:tcBorders>
            <w:shd w:val="clear" w:color="auto" w:fill="D2EEF5"/>
          </w:tcPr>
          <w:p>
            <w:pPr>
              <w:spacing w:after="0"/>
              <w:rPr>
                <w:sz w:val="19"/>
                <w:szCs w:val="19"/>
                <w:color w:val="auto"/>
              </w:rPr>
            </w:pP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D2EEF5"/>
            </w:tcBorders>
            <w:shd w:val="clear" w:color="auto" w:fill="D2EEF5"/>
          </w:tcPr>
          <w:p>
            <w:pPr>
              <w:spacing w:after="0"/>
              <w:rPr>
                <w:sz w:val="19"/>
                <w:szCs w:val="19"/>
                <w:color w:val="auto"/>
              </w:rPr>
            </w:pPr>
          </w:p>
        </w:tc>
        <w:tc>
          <w:tcPr>
            <w:tcW w:w="300" w:type="dxa"/>
            <w:vAlign w:val="bottom"/>
            <w:tcBorders>
              <w:bottom w:val="single" w:sz="8" w:color="auto"/>
            </w:tcBorders>
            <w:shd w:val="clear" w:color="auto" w:fill="D2EEF5"/>
          </w:tcPr>
          <w:p>
            <w:pPr>
              <w:spacing w:after="0"/>
              <w:rPr>
                <w:sz w:val="19"/>
                <w:szCs w:val="19"/>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(163)</w:t>
            </w:r>
          </w:p>
        </w:tc>
      </w:tr>
      <w:tr>
        <w:trPr>
          <w:trHeight w:val="206"/>
        </w:trPr>
        <w:tc>
          <w:tcPr>
            <w:tcW w:w="7960" w:type="dxa"/>
            <w:vAlign w:val="bottom"/>
            <w:tcBorders>
              <w:bottom w:val="single" w:sz="8" w:color="D2EEF5"/>
            </w:tcBorders>
          </w:tcPr>
          <w:p>
            <w:pPr>
              <w:spacing w:after="0"/>
              <w:rPr>
                <w:sz w:val="20"/>
                <w:szCs w:val="20"/>
                <w:color w:val="auto"/>
              </w:rPr>
            </w:pPr>
            <w:r>
              <w:rPr>
                <w:rFonts w:ascii="Arial" w:cs="Arial" w:eastAsia="Arial" w:hAnsi="Arial"/>
                <w:sz w:val="16"/>
                <w:szCs w:val="16"/>
                <w:color w:val="auto"/>
              </w:rPr>
              <w:t>Total other comprehensive income (loss), net of tax</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D2EEF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r>
      <w:tr>
        <w:trPr>
          <w:trHeight w:val="240"/>
        </w:trPr>
        <w:tc>
          <w:tcPr>
            <w:tcW w:w="79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24,411</w:t>
            </w:r>
          </w:p>
        </w:tc>
        <w:tc>
          <w:tcPr>
            <w:tcW w:w="80" w:type="dxa"/>
            <w:vAlign w:val="bottom"/>
            <w:tcBorders>
              <w:bottom w:val="single" w:sz="8" w:color="D2EEF5"/>
            </w:tcBorders>
            <w:shd w:val="clear" w:color="auto" w:fill="D2EEF5"/>
          </w:tcPr>
          <w:p>
            <w:pPr>
              <w:spacing w:after="0"/>
              <w:rPr>
                <w:sz w:val="20"/>
                <w:szCs w:val="20"/>
                <w:color w:val="auto"/>
              </w:rPr>
            </w:pPr>
          </w:p>
        </w:tc>
        <w:tc>
          <w:tcPr>
            <w:tcW w:w="300" w:type="dxa"/>
            <w:vAlign w:val="bottom"/>
            <w:tcBorders>
              <w:bottom w:val="single" w:sz="8" w:color="auto"/>
            </w:tcBorders>
            <w:shd w:val="clear" w:color="auto" w:fill="D2EEF5"/>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17,025</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1" w:name="page82"/>
    <w:bookmarkEnd w:id="81"/>
    <w:p>
      <w:pPr>
        <w:spacing w:after="0"/>
        <w:rPr>
          <w:sz w:val="20"/>
          <w:szCs w:val="20"/>
          <w:color w:val="auto"/>
        </w:rPr>
      </w:pPr>
      <w:r>
        <w:rPr>
          <w:rFonts w:ascii="Arial" w:cs="Arial" w:eastAsia="Arial" w:hAnsi="Arial"/>
          <w:sz w:val="20"/>
          <w:szCs w:val="20"/>
          <w:color w:val="1C2790"/>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100266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2665" cy="4763"/>
                        </a:xfrm>
                        <a:prstGeom prst="line">
                          <a:avLst/>
                        </a:prstGeom>
                        <a:solidFill>
                          <a:srgbClr val="FFFFFF"/>
                        </a:solidFill>
                        <a:ln w="9143">
                          <a:solidFill>
                            <a:srgbClr val="1C279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78.95pt,2.15pt" o:allowincell="f" strokecolor="#1C2790" strokeweight="0.7199pt"/>
            </w:pict>
          </mc:Fallback>
        </mc:AlternateConten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Changes in Stockholders’ Equity</w:t>
      </w:r>
    </w:p>
    <w:p>
      <w:pPr>
        <w:jc w:val="center"/>
        <w:spacing w:after="0"/>
        <w:rPr>
          <w:sz w:val="20"/>
          <w:szCs w:val="20"/>
          <w:color w:val="auto"/>
        </w:rPr>
      </w:pPr>
      <w:r>
        <w:rPr>
          <w:rFonts w:ascii="Arial" w:cs="Arial" w:eastAsia="Arial" w:hAnsi="Arial"/>
          <w:sz w:val="20"/>
          <w:szCs w:val="20"/>
          <w:color w:val="auto"/>
        </w:rPr>
        <w:t>(Dollars in thousands, except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8"/>
              </w:rPr>
              <w:t>Common Stock</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w w:val="99"/>
              </w:rPr>
              <w:t>Accumulated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 Paid-in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Par 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Arial" w:cs="Arial" w:eastAsia="Arial" w:hAnsi="Arial"/>
                <w:sz w:val="16"/>
                <w:szCs w:val="16"/>
                <w:b w:val="1"/>
                <w:bCs w:val="1"/>
                <w:color w:val="auto"/>
                <w:w w:val="98"/>
              </w:rPr>
              <w:t>Capital on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4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Comprehensive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0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Income (Loss)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6"/>
        </w:trPr>
        <w:tc>
          <w:tcPr>
            <w:tcW w:w="540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6"/>
                <w:szCs w:val="16"/>
                <w:color w:val="auto"/>
              </w:rPr>
              <w:t>Balance at January 1, 2024</w:t>
            </w:r>
          </w:p>
        </w:tc>
        <w:tc>
          <w:tcPr>
            <w:tcW w:w="80" w:type="dxa"/>
            <w:vAlign w:val="bottom"/>
            <w:tcBorders>
              <w:top w:val="single" w:sz="8" w:color="D2EEF5"/>
            </w:tcBorders>
            <w:shd w:val="clear" w:color="auto" w:fill="D2EEF5"/>
          </w:tcPr>
          <w:p>
            <w:pPr>
              <w:spacing w:after="0"/>
              <w:rPr>
                <w:sz w:val="17"/>
                <w:szCs w:val="17"/>
                <w:color w:val="auto"/>
              </w:rPr>
            </w:pPr>
          </w:p>
        </w:tc>
        <w:tc>
          <w:tcPr>
            <w:tcW w:w="12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6"/>
                <w:szCs w:val="16"/>
                <w:color w:val="auto"/>
              </w:rPr>
              <w:t>19,575,435</w:t>
            </w:r>
          </w:p>
        </w:tc>
        <w:tc>
          <w:tcPr>
            <w:tcW w:w="2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240" w:type="dxa"/>
            <w:vAlign w:val="bottom"/>
            <w:tcBorders>
              <w:top w:val="single" w:sz="8" w:color="auto"/>
            </w:tcBorders>
            <w:shd w:val="clear" w:color="auto" w:fill="D2EEF5"/>
          </w:tcPr>
          <w:p>
            <w:pPr>
              <w:jc w:val="center"/>
              <w:ind w:right="6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19,575</w:t>
            </w:r>
          </w:p>
        </w:tc>
        <w:tc>
          <w:tcPr>
            <w:tcW w:w="4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305,212</w:t>
            </w:r>
          </w:p>
        </w:tc>
        <w:tc>
          <w:tcPr>
            <w:tcW w:w="2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(88,548)</w:t>
            </w:r>
          </w:p>
        </w:tc>
        <w:tc>
          <w:tcPr>
            <w:tcW w:w="80" w:type="dxa"/>
            <w:vAlign w:val="bottom"/>
            <w:tcBorders>
              <w:top w:val="single" w:sz="8" w:color="D2EEF5"/>
            </w:tcBorders>
            <w:shd w:val="clear" w:color="auto" w:fill="D2EEF5"/>
          </w:tcPr>
          <w:p>
            <w:pPr>
              <w:spacing w:after="0"/>
              <w:rPr>
                <w:sz w:val="17"/>
                <w:szCs w:val="17"/>
                <w:color w:val="auto"/>
              </w:rPr>
            </w:pPr>
          </w:p>
        </w:tc>
        <w:tc>
          <w:tcPr>
            <w:tcW w:w="1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D2EEF5"/>
          </w:tcPr>
          <w:p>
            <w:pPr>
              <w:spacing w:after="0"/>
              <w:rPr>
                <w:sz w:val="17"/>
                <w:szCs w:val="17"/>
                <w:color w:val="auto"/>
              </w:rPr>
            </w:pPr>
          </w:p>
        </w:tc>
        <w:tc>
          <w:tcPr>
            <w:tcW w:w="12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(44,271)</w:t>
            </w:r>
          </w:p>
        </w:tc>
        <w:tc>
          <w:tcPr>
            <w:tcW w:w="2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191,968</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24,674</w:t>
            </w:r>
          </w:p>
        </w:tc>
        <w:tc>
          <w:tcPr>
            <w:tcW w:w="0" w:type="dxa"/>
            <w:vAlign w:val="bottom"/>
          </w:tcPr>
          <w:p>
            <w:pPr>
              <w:spacing w:after="0"/>
              <w:rPr>
                <w:sz w:val="1"/>
                <w:szCs w:val="1"/>
                <w:color w:val="auto"/>
              </w:rPr>
            </w:pPr>
          </w:p>
        </w:tc>
      </w:tr>
      <w:tr>
        <w:trPr>
          <w:trHeight w:val="230"/>
        </w:trPr>
        <w:tc>
          <w:tcPr>
            <w:tcW w:w="140" w:type="dxa"/>
            <w:vAlign w:val="bottom"/>
            <w:shd w:val="clear" w:color="auto" w:fill="D2EEF5"/>
          </w:tcPr>
          <w:p>
            <w:pPr>
              <w:spacing w:after="0"/>
              <w:rPr>
                <w:sz w:val="19"/>
                <w:szCs w:val="19"/>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Other comprehensive loss</w:t>
            </w:r>
          </w:p>
        </w:tc>
        <w:tc>
          <w:tcPr>
            <w:tcW w:w="80" w:type="dxa"/>
            <w:vAlign w:val="bottom"/>
            <w:shd w:val="clear" w:color="auto" w:fill="D2EEF5"/>
          </w:tcPr>
          <w:p>
            <w:pPr>
              <w:spacing w:after="0"/>
              <w:rPr>
                <w:sz w:val="19"/>
                <w:szCs w:val="19"/>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(263)</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Repurchase of Class A common stock</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(42,100)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28"/>
        </w:trPr>
        <w:tc>
          <w:tcPr>
            <w:tcW w:w="140" w:type="dxa"/>
            <w:vAlign w:val="bottom"/>
            <w:shd w:val="clear" w:color="auto" w:fill="D2EEF5"/>
          </w:tcPr>
          <w:p>
            <w:pPr>
              <w:spacing w:after="0"/>
              <w:rPr>
                <w:sz w:val="19"/>
                <w:szCs w:val="19"/>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Restricted stock issued</w:t>
            </w:r>
          </w:p>
        </w:tc>
        <w:tc>
          <w:tcPr>
            <w:tcW w:w="80" w:type="dxa"/>
            <w:vAlign w:val="bottom"/>
            <w:shd w:val="clear" w:color="auto" w:fill="D2EEF5"/>
          </w:tcPr>
          <w:p>
            <w:pPr>
              <w:spacing w:after="0"/>
              <w:rPr>
                <w:sz w:val="19"/>
                <w:szCs w:val="19"/>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277,922</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278</w:t>
            </w:r>
          </w:p>
        </w:tc>
        <w:tc>
          <w:tcPr>
            <w:tcW w:w="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(278)</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Restricted stock forfeiture</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(8,625)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40" w:type="dxa"/>
            <w:vAlign w:val="bottom"/>
            <w:shd w:val="clear" w:color="auto" w:fill="D2EEF5"/>
          </w:tcPr>
          <w:p>
            <w:pPr>
              <w:spacing w:after="0"/>
              <w:rPr>
                <w:sz w:val="19"/>
                <w:szCs w:val="19"/>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Exercise of stock options</w:t>
            </w:r>
          </w:p>
        </w:tc>
        <w:tc>
          <w:tcPr>
            <w:tcW w:w="80" w:type="dxa"/>
            <w:vAlign w:val="bottom"/>
            <w:shd w:val="clear" w:color="auto" w:fill="D2EEF5"/>
          </w:tcPr>
          <w:p>
            <w:pPr>
              <w:spacing w:after="0"/>
              <w:rPr>
                <w:sz w:val="19"/>
                <w:szCs w:val="19"/>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122,000</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1,197</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Dividend payment</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(3,939)</w:t>
            </w:r>
          </w:p>
        </w:tc>
        <w:tc>
          <w:tcPr>
            <w:tcW w:w="0" w:type="dxa"/>
            <w:vAlign w:val="bottom"/>
          </w:tcPr>
          <w:p>
            <w:pPr>
              <w:spacing w:after="0"/>
              <w:rPr>
                <w:sz w:val="1"/>
                <w:szCs w:val="1"/>
                <w:color w:val="auto"/>
              </w:rPr>
            </w:pPr>
          </w:p>
        </w:tc>
      </w:tr>
      <w:tr>
        <w:trPr>
          <w:trHeight w:val="244"/>
        </w:trPr>
        <w:tc>
          <w:tcPr>
            <w:tcW w:w="140" w:type="dxa"/>
            <w:vAlign w:val="bottom"/>
            <w:tcBorders>
              <w:bottom w:val="single" w:sz="8" w:color="D2EEF5"/>
            </w:tcBorders>
            <w:shd w:val="clear" w:color="auto" w:fill="D2EEF5"/>
          </w:tcPr>
          <w:p>
            <w:pPr>
              <w:spacing w:after="0"/>
              <w:rPr>
                <w:sz w:val="21"/>
                <w:szCs w:val="21"/>
                <w:color w:val="auto"/>
              </w:rPr>
            </w:pPr>
          </w:p>
        </w:tc>
        <w:tc>
          <w:tcPr>
            <w:tcW w:w="52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240" w:type="dxa"/>
            <w:vAlign w:val="bottom"/>
            <w:tcBorders>
              <w:bottom w:val="single" w:sz="8" w:color="auto"/>
            </w:tcBorders>
            <w:shd w:val="clear" w:color="auto" w:fill="D2EEF5"/>
          </w:tcPr>
          <w:p>
            <w:pPr>
              <w:spacing w:after="0"/>
              <w:rPr>
                <w:sz w:val="21"/>
                <w:szCs w:val="21"/>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2,130</w:t>
            </w:r>
          </w:p>
        </w:tc>
        <w:tc>
          <w:tcPr>
            <w:tcW w:w="2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auto"/>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38"/>
        </w:trPr>
        <w:tc>
          <w:tcPr>
            <w:tcW w:w="5480" w:type="dxa"/>
            <w:vAlign w:val="bottom"/>
            <w:tcBorders>
              <w:bottom w:val="single" w:sz="8" w:color="D2EEF5"/>
            </w:tcBorders>
            <w:gridSpan w:val="3"/>
          </w:tcPr>
          <w:p>
            <w:pPr>
              <w:spacing w:after="0"/>
              <w:rPr>
                <w:sz w:val="20"/>
                <w:szCs w:val="20"/>
                <w:color w:val="auto"/>
              </w:rPr>
            </w:pPr>
            <w:r>
              <w:rPr>
                <w:rFonts w:ascii="Arial" w:cs="Arial" w:eastAsia="Arial" w:hAnsi="Arial"/>
                <w:sz w:val="16"/>
                <w:szCs w:val="16"/>
                <w:color w:val="auto"/>
              </w:rPr>
              <w:t>Balance at December 31, 2024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19,924,632</w:t>
            </w:r>
          </w:p>
        </w:tc>
        <w:tc>
          <w:tcPr>
            <w:tcW w:w="20" w:type="dxa"/>
            <w:vAlign w:val="bottom"/>
            <w:tcBorders>
              <w:bottom w:val="single" w:sz="8" w:color="D2EEF5"/>
            </w:tcBorders>
          </w:tcPr>
          <w:p>
            <w:pPr>
              <w:spacing w:after="0"/>
              <w:rPr>
                <w:sz w:val="20"/>
                <w:szCs w:val="20"/>
                <w:color w:val="auto"/>
              </w:rPr>
            </w:pPr>
          </w:p>
        </w:tc>
        <w:tc>
          <w:tcPr>
            <w:tcW w:w="40" w:type="dxa"/>
            <w:vAlign w:val="bottom"/>
            <w:tcBorders>
              <w:bottom w:val="single" w:sz="8" w:color="D2EEF5"/>
            </w:tcBorders>
          </w:tcPr>
          <w:p>
            <w:pPr>
              <w:spacing w:after="0"/>
              <w:rPr>
                <w:sz w:val="20"/>
                <w:szCs w:val="20"/>
                <w:color w:val="auto"/>
              </w:rPr>
            </w:pPr>
          </w:p>
        </w:tc>
        <w:tc>
          <w:tcPr>
            <w:tcW w:w="2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19,925</w:t>
            </w:r>
          </w:p>
        </w:tc>
        <w:tc>
          <w:tcPr>
            <w:tcW w:w="40" w:type="dxa"/>
            <w:vAlign w:val="bottom"/>
            <w:tcBorders>
              <w:bottom w:val="single" w:sz="8" w:color="D2EEF5"/>
            </w:tcBorders>
          </w:tcPr>
          <w:p>
            <w:pPr>
              <w:spacing w:after="0"/>
              <w:rPr>
                <w:sz w:val="20"/>
                <w:szCs w:val="20"/>
                <w:color w:val="auto"/>
              </w:rPr>
            </w:pPr>
          </w:p>
        </w:tc>
        <w:tc>
          <w:tcPr>
            <w:tcW w:w="40" w:type="dxa"/>
            <w:vAlign w:val="bottom"/>
            <w:tcBorders>
              <w:bottom w:val="single" w:sz="8" w:color="D2EEF5"/>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307,810</w:t>
            </w:r>
          </w:p>
        </w:tc>
        <w:tc>
          <w:tcPr>
            <w:tcW w:w="60" w:type="dxa"/>
            <w:vAlign w:val="bottom"/>
            <w:tcBorders>
              <w:bottom w:val="single" w:sz="8" w:color="D2EEF5"/>
            </w:tcBorders>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(67,813)</w:t>
            </w:r>
          </w:p>
        </w:tc>
        <w:tc>
          <w:tcPr>
            <w:tcW w:w="80" w:type="dxa"/>
            <w:vAlign w:val="bottom"/>
            <w:tcBorders>
              <w:bottom w:val="single" w:sz="8" w:color="D2EEF5"/>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(44,534)</w:t>
            </w:r>
          </w:p>
        </w:tc>
        <w:tc>
          <w:tcPr>
            <w:tcW w:w="60" w:type="dxa"/>
            <w:vAlign w:val="bottom"/>
            <w:tcBorders>
              <w:bottom w:val="single" w:sz="8" w:color="D2EEF5"/>
            </w:tcBorders>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215,388</w:t>
            </w:r>
          </w:p>
        </w:tc>
        <w:tc>
          <w:tcPr>
            <w:tcW w:w="0" w:type="dxa"/>
            <w:vAlign w:val="bottom"/>
          </w:tcPr>
          <w:p>
            <w:pPr>
              <w:spacing w:after="0"/>
              <w:rPr>
                <w:sz w:val="1"/>
                <w:szCs w:val="1"/>
                <w:color w:val="auto"/>
              </w:rPr>
            </w:pPr>
          </w:p>
        </w:tc>
      </w:tr>
      <w:tr>
        <w:trPr>
          <w:trHeight w:val="186"/>
        </w:trPr>
        <w:tc>
          <w:tcPr>
            <w:tcW w:w="140" w:type="dxa"/>
            <w:vAlign w:val="bottom"/>
            <w:shd w:val="clear" w:color="auto" w:fill="D2EEF5"/>
          </w:tcPr>
          <w:p>
            <w:pPr>
              <w:spacing w:after="0"/>
              <w:rPr>
                <w:sz w:val="16"/>
                <w:szCs w:val="16"/>
                <w:color w:val="auto"/>
              </w:rPr>
            </w:pPr>
          </w:p>
        </w:tc>
        <w:tc>
          <w:tcPr>
            <w:tcW w:w="526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26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122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136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28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128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132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480" w:type="dxa"/>
            <w:vAlign w:val="bottom"/>
            <w:gridSpan w:val="3"/>
          </w:tcPr>
          <w:p>
            <w:pPr>
              <w:spacing w:after="0"/>
              <w:rPr>
                <w:sz w:val="20"/>
                <w:szCs w:val="20"/>
                <w:color w:val="auto"/>
              </w:rPr>
            </w:pPr>
            <w:r>
              <w:rPr>
                <w:rFonts w:ascii="Arial" w:cs="Arial" w:eastAsia="Arial" w:hAnsi="Arial"/>
                <w:sz w:val="16"/>
                <w:szCs w:val="16"/>
                <w:color w:val="auto"/>
              </w:rPr>
              <w:t>Balance at January 1, 2023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20,000,753</w:t>
            </w:r>
          </w:p>
        </w:tc>
        <w:tc>
          <w:tcPr>
            <w:tcW w:w="30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20,001</w:t>
            </w:r>
          </w:p>
        </w:tc>
        <w:tc>
          <w:tcPr>
            <w:tcW w:w="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311,282</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(104,104)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(44,751)</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182,428</w:t>
            </w:r>
          </w:p>
        </w:tc>
        <w:tc>
          <w:tcPr>
            <w:tcW w:w="0" w:type="dxa"/>
            <w:vAlign w:val="bottom"/>
          </w:tcPr>
          <w:p>
            <w:pPr>
              <w:spacing w:after="0"/>
              <w:rPr>
                <w:sz w:val="1"/>
                <w:szCs w:val="1"/>
                <w:color w:val="auto"/>
              </w:rPr>
            </w:pPr>
          </w:p>
        </w:tc>
      </w:tr>
      <w:tr>
        <w:trPr>
          <w:trHeight w:val="260"/>
        </w:trPr>
        <w:tc>
          <w:tcPr>
            <w:tcW w:w="140" w:type="dxa"/>
            <w:vAlign w:val="bottom"/>
            <w:shd w:val="clear" w:color="auto" w:fill="D2EEF5"/>
          </w:tcPr>
          <w:p>
            <w:pPr>
              <w:spacing w:after="0"/>
              <w:rPr>
                <w:sz w:val="22"/>
                <w:szCs w:val="22"/>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After tax cumulative effect of adoption of accounting principle related to</w:t>
            </w:r>
          </w:p>
        </w:tc>
        <w:tc>
          <w:tcPr>
            <w:tcW w:w="8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2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12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13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80" w:type="dxa"/>
            <w:vAlign w:val="bottom"/>
            <w:shd w:val="clear" w:color="auto" w:fill="D2EEF5"/>
          </w:tcPr>
          <w:p>
            <w:pPr>
              <w:spacing w:after="0"/>
              <w:rPr>
                <w:sz w:val="22"/>
                <w:szCs w:val="22"/>
                <w:color w:val="auto"/>
              </w:rPr>
            </w:pPr>
          </w:p>
        </w:tc>
        <w:tc>
          <w:tcPr>
            <w:tcW w:w="1280" w:type="dxa"/>
            <w:vAlign w:val="bottom"/>
            <w:shd w:val="clear" w:color="auto" w:fill="D2EEF5"/>
          </w:tcPr>
          <w:p>
            <w:pPr>
              <w:spacing w:after="0"/>
              <w:rPr>
                <w:sz w:val="22"/>
                <w:szCs w:val="22"/>
                <w:color w:val="auto"/>
              </w:rPr>
            </w:pPr>
          </w:p>
        </w:tc>
        <w:tc>
          <w:tcPr>
            <w:tcW w:w="8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80" w:type="dxa"/>
            <w:vAlign w:val="bottom"/>
            <w:shd w:val="clear" w:color="auto" w:fill="D2EEF5"/>
          </w:tcPr>
          <w:p>
            <w:pPr>
              <w:spacing w:after="0"/>
              <w:rPr>
                <w:sz w:val="22"/>
                <w:szCs w:val="22"/>
                <w:color w:val="auto"/>
              </w:rPr>
            </w:pPr>
          </w:p>
        </w:tc>
        <w:tc>
          <w:tcPr>
            <w:tcW w:w="128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32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0" w:type="dxa"/>
            <w:vAlign w:val="bottom"/>
            <w:shd w:val="clear" w:color="auto" w:fill="D2EEF5"/>
          </w:tcPr>
          <w:p>
            <w:pPr>
              <w:spacing w:after="0"/>
              <w:rPr>
                <w:sz w:val="17"/>
                <w:szCs w:val="17"/>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ASC 326</w:t>
            </w:r>
          </w:p>
        </w:tc>
        <w:tc>
          <w:tcPr>
            <w:tcW w:w="80" w:type="dxa"/>
            <w:vAlign w:val="bottom"/>
            <w:tcBorders>
              <w:bottom w:val="single" w:sz="8" w:color="auto"/>
            </w:tcBorders>
            <w:shd w:val="clear" w:color="auto" w:fill="D2EEF5"/>
          </w:tcPr>
          <w:p>
            <w:pPr>
              <w:spacing w:after="0"/>
              <w:rPr>
                <w:sz w:val="17"/>
                <w:szCs w:val="17"/>
                <w:color w:val="auto"/>
              </w:rPr>
            </w:pPr>
          </w:p>
        </w:tc>
        <w:tc>
          <w:tcPr>
            <w:tcW w:w="128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40" w:type="dxa"/>
            <w:vAlign w:val="bottom"/>
            <w:tcBorders>
              <w:bottom w:val="single" w:sz="8" w:color="auto"/>
            </w:tcBorders>
            <w:shd w:val="clear" w:color="auto" w:fill="D2EEF5"/>
          </w:tcPr>
          <w:p>
            <w:pPr>
              <w:spacing w:after="0"/>
              <w:rPr>
                <w:sz w:val="17"/>
                <w:szCs w:val="17"/>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80" w:type="dxa"/>
            <w:vAlign w:val="bottom"/>
            <w:tcBorders>
              <w:bottom w:val="single" w:sz="8" w:color="auto"/>
            </w:tcBorders>
            <w:shd w:val="clear" w:color="auto" w:fill="D2EEF5"/>
          </w:tcPr>
          <w:p>
            <w:pPr>
              <w:spacing w:after="0"/>
              <w:rPr>
                <w:sz w:val="17"/>
                <w:szCs w:val="17"/>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(989)</w:t>
            </w:r>
          </w:p>
        </w:tc>
        <w:tc>
          <w:tcPr>
            <w:tcW w:w="80" w:type="dxa"/>
            <w:vAlign w:val="bottom"/>
            <w:shd w:val="clear" w:color="auto" w:fill="D2EEF5"/>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80" w:type="dxa"/>
            <w:vAlign w:val="bottom"/>
            <w:tcBorders>
              <w:bottom w:val="single" w:sz="8" w:color="auto"/>
            </w:tcBorders>
            <w:shd w:val="clear" w:color="auto" w:fill="D2EEF5"/>
          </w:tcPr>
          <w:p>
            <w:pPr>
              <w:spacing w:after="0"/>
              <w:rPr>
                <w:sz w:val="17"/>
                <w:szCs w:val="17"/>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40" w:type="dxa"/>
            <w:vAlign w:val="bottom"/>
            <w:tcBorders>
              <w:bottom w:val="single" w:sz="8" w:color="auto"/>
            </w:tcBorders>
            <w:shd w:val="clear" w:color="auto" w:fill="D2EEF5"/>
          </w:tcPr>
          <w:p>
            <w:pPr>
              <w:spacing w:after="0"/>
              <w:rPr>
                <w:sz w:val="17"/>
                <w:szCs w:val="17"/>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Adjusted beginning balance after cumulative effect adjustment</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20,000,753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311,282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(44,751)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181,439</w:t>
            </w:r>
          </w:p>
        </w:tc>
        <w:tc>
          <w:tcPr>
            <w:tcW w:w="0" w:type="dxa"/>
            <w:vAlign w:val="bottom"/>
          </w:tcPr>
          <w:p>
            <w:pPr>
              <w:spacing w:after="0"/>
              <w:rPr>
                <w:sz w:val="1"/>
                <w:szCs w:val="1"/>
                <w:color w:val="auto"/>
              </w:rPr>
            </w:pPr>
          </w:p>
        </w:tc>
      </w:tr>
      <w:tr>
        <w:trPr>
          <w:trHeight w:val="246"/>
        </w:trPr>
        <w:tc>
          <w:tcPr>
            <w:tcW w:w="140" w:type="dxa"/>
            <w:vAlign w:val="bottom"/>
            <w:shd w:val="clear" w:color="auto" w:fill="D2EEF5"/>
          </w:tcPr>
          <w:p>
            <w:pPr>
              <w:spacing w:after="0"/>
              <w:rPr>
                <w:sz w:val="21"/>
                <w:szCs w:val="21"/>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D2EEF5"/>
          </w:tcPr>
          <w:p>
            <w:pPr>
              <w:spacing w:after="0"/>
              <w:rPr>
                <w:sz w:val="21"/>
                <w:szCs w:val="21"/>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16,545</w:t>
            </w:r>
          </w:p>
        </w:tc>
        <w:tc>
          <w:tcPr>
            <w:tcW w:w="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47"/>
        </w:trPr>
        <w:tc>
          <w:tcPr>
            <w:tcW w:w="140" w:type="dxa"/>
            <w:vAlign w:val="bottom"/>
            <w:shd w:val="clear" w:color="auto" w:fill="D2EEF5"/>
          </w:tcPr>
          <w:p>
            <w:pPr>
              <w:spacing w:after="0"/>
              <w:rPr>
                <w:sz w:val="21"/>
                <w:szCs w:val="21"/>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Repurchase of Class A common stock</w:t>
            </w:r>
          </w:p>
        </w:tc>
        <w:tc>
          <w:tcPr>
            <w:tcW w:w="80" w:type="dxa"/>
            <w:vAlign w:val="bottom"/>
            <w:shd w:val="clear" w:color="auto" w:fill="D2EEF5"/>
          </w:tcPr>
          <w:p>
            <w:pPr>
              <w:spacing w:after="0"/>
              <w:rPr>
                <w:sz w:val="21"/>
                <w:szCs w:val="21"/>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(669,920)</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(670)</w:t>
            </w:r>
          </w:p>
        </w:tc>
        <w:tc>
          <w:tcPr>
            <w:tcW w:w="4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(6,913)</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(7,583)</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Restricted stock issued</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242,713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40" w:type="dxa"/>
            <w:vAlign w:val="bottom"/>
            <w:shd w:val="clear" w:color="auto" w:fill="D2EEF5"/>
          </w:tcPr>
          <w:p>
            <w:pPr>
              <w:spacing w:after="0"/>
              <w:rPr>
                <w:sz w:val="19"/>
                <w:szCs w:val="19"/>
                <w:color w:val="auto"/>
              </w:rPr>
            </w:pPr>
          </w:p>
        </w:tc>
        <w:tc>
          <w:tcPr>
            <w:tcW w:w="5260" w:type="dxa"/>
            <w:vAlign w:val="bottom"/>
            <w:shd w:val="clear" w:color="auto" w:fill="D2EEF5"/>
          </w:tcPr>
          <w:p>
            <w:pPr>
              <w:spacing w:after="0"/>
              <w:rPr>
                <w:sz w:val="20"/>
                <w:szCs w:val="20"/>
                <w:color w:val="auto"/>
              </w:rPr>
            </w:pPr>
            <w:r>
              <w:rPr>
                <w:rFonts w:ascii="Arial" w:cs="Arial" w:eastAsia="Arial" w:hAnsi="Arial"/>
                <w:sz w:val="16"/>
                <w:szCs w:val="16"/>
                <w:color w:val="auto"/>
              </w:rPr>
              <w:t>Restricted stock forfeiture</w:t>
            </w:r>
          </w:p>
        </w:tc>
        <w:tc>
          <w:tcPr>
            <w:tcW w:w="80" w:type="dxa"/>
            <w:vAlign w:val="bottom"/>
            <w:shd w:val="clear" w:color="auto" w:fill="D2EEF5"/>
          </w:tcPr>
          <w:p>
            <w:pPr>
              <w:spacing w:after="0"/>
              <w:rPr>
                <w:sz w:val="19"/>
                <w:szCs w:val="19"/>
                <w:color w:val="auto"/>
              </w:rPr>
            </w:pPr>
          </w:p>
        </w:tc>
        <w:tc>
          <w:tcPr>
            <w:tcW w:w="128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(8,111)</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36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3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6"/>
        </w:trPr>
        <w:tc>
          <w:tcPr>
            <w:tcW w:w="140" w:type="dxa"/>
            <w:vAlign w:val="bottom"/>
            <w:tcBorders>
              <w:bottom w:val="single" w:sz="8" w:color="D2EEF5"/>
            </w:tcBorders>
            <w:shd w:val="clear" w:color="auto" w:fill="D2EEF5"/>
          </w:tcPr>
          <w:p>
            <w:pPr>
              <w:spacing w:after="0"/>
              <w:rPr>
                <w:sz w:val="21"/>
                <w:szCs w:val="21"/>
                <w:color w:val="auto"/>
              </w:rPr>
            </w:pPr>
          </w:p>
        </w:tc>
        <w:tc>
          <w:tcPr>
            <w:tcW w:w="52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tcBorders>
              <w:bottom w:val="single" w:sz="8" w:color="D2EEF5"/>
            </w:tcBorders>
            <w:shd w:val="clear" w:color="auto" w:fill="D2EEF5"/>
          </w:tcPr>
          <w:p>
            <w:pPr>
              <w:spacing w:after="0"/>
              <w:rPr>
                <w:sz w:val="21"/>
                <w:szCs w:val="21"/>
                <w:color w:val="auto"/>
              </w:rPr>
            </w:pPr>
          </w:p>
        </w:tc>
        <w:tc>
          <w:tcPr>
            <w:tcW w:w="128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240" w:type="dxa"/>
            <w:vAlign w:val="bottom"/>
            <w:tcBorders>
              <w:bottom w:val="single" w:sz="8" w:color="auto"/>
            </w:tcBorders>
            <w:shd w:val="clear" w:color="auto" w:fill="D2EEF5"/>
          </w:tcPr>
          <w:p>
            <w:pPr>
              <w:spacing w:after="0"/>
              <w:rPr>
                <w:sz w:val="21"/>
                <w:szCs w:val="21"/>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13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1,012</w:t>
            </w:r>
          </w:p>
        </w:tc>
        <w:tc>
          <w:tcPr>
            <w:tcW w:w="2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80" w:type="dxa"/>
            <w:vAlign w:val="bottom"/>
            <w:tcBorders>
              <w:bottom w:val="single" w:sz="8" w:color="auto"/>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98"/>
        </w:trPr>
        <w:tc>
          <w:tcPr>
            <w:tcW w:w="5480" w:type="dxa"/>
            <w:vAlign w:val="bottom"/>
            <w:gridSpan w:val="3"/>
          </w:tcPr>
          <w:p>
            <w:pPr>
              <w:spacing w:after="0"/>
              <w:rPr>
                <w:sz w:val="20"/>
                <w:szCs w:val="20"/>
                <w:color w:val="auto"/>
              </w:rPr>
            </w:pPr>
            <w:r>
              <w:rPr>
                <w:rFonts w:ascii="Arial" w:cs="Arial" w:eastAsia="Arial" w:hAnsi="Arial"/>
                <w:sz w:val="16"/>
                <w:szCs w:val="16"/>
                <w:color w:val="auto"/>
              </w:rPr>
              <w:t>Balance at December 31, 2023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19,575,435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19,575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305,212</w:t>
            </w:r>
          </w:p>
        </w:tc>
        <w:tc>
          <w:tcPr>
            <w:tcW w:w="60" w:type="dxa"/>
            <w:vAlign w:val="bottom"/>
            <w:gridSpan w:val="2"/>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(88,548)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(44,271)</w:t>
            </w:r>
          </w:p>
        </w:tc>
        <w:tc>
          <w:tcPr>
            <w:tcW w:w="6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191,968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5840" w:h="12240" w:orient="landscape"/>
          <w:cols w:equalWidth="0" w:num="1">
            <w:col w:w="14400"/>
          </w:cols>
          <w:pgMar w:left="720" w:top="317" w:right="720" w:bottom="0" w:gutter="0" w:footer="0" w:header="0"/>
        </w:sectPr>
      </w:pPr>
    </w:p>
    <w:bookmarkStart w:id="82" w:name="page83"/>
    <w:bookmarkEnd w:id="82"/>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w:t>
      </w:r>
    </w:p>
    <w:p>
      <w:pPr>
        <w:jc w:val="center"/>
        <w:spacing w:after="0"/>
        <w:rPr>
          <w:sz w:val="20"/>
          <w:szCs w:val="20"/>
          <w:color w:val="auto"/>
        </w:rPr>
      </w:pPr>
      <w:r>
        <w:rPr>
          <w:rFonts w:ascii="Arial" w:cs="Arial" w:eastAsia="Arial" w:hAnsi="Arial"/>
          <w:sz w:val="20"/>
          <w:szCs w:val="20"/>
          <w:color w:val="auto"/>
        </w:rPr>
        <w:t>(Dollars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r>
      <w:tr>
        <w:trPr>
          <w:trHeight w:val="203"/>
        </w:trPr>
        <w:tc>
          <w:tcPr>
            <w:tcW w:w="6680" w:type="dxa"/>
            <w:vAlign w:val="bottom"/>
            <w:tcBorders>
              <w:bottom w:val="single" w:sz="8" w:color="D2EEF5"/>
            </w:tcBorders>
          </w:tcPr>
          <w:p>
            <w:pPr>
              <w:spacing w:after="0"/>
              <w:rPr>
                <w:sz w:val="17"/>
                <w:szCs w:val="17"/>
                <w:color w:val="auto"/>
              </w:rPr>
            </w:pPr>
          </w:p>
        </w:tc>
        <w:tc>
          <w:tcPr>
            <w:tcW w:w="680" w:type="dxa"/>
            <w:vAlign w:val="bottom"/>
            <w:tcBorders>
              <w:bottom w:val="single" w:sz="8" w:color="D2EE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2EE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r>
      <w:tr>
        <w:trPr>
          <w:trHeight w:val="206"/>
        </w:trPr>
        <w:tc>
          <w:tcPr>
            <w:tcW w:w="668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24,674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16,545</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r>
      <w:tr>
        <w:trPr>
          <w:trHeight w:val="223"/>
        </w:trPr>
        <w:tc>
          <w:tcPr>
            <w:tcW w:w="668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2,367</w:t>
            </w:r>
          </w:p>
        </w:tc>
      </w:tr>
      <w:tr>
        <w:trPr>
          <w:trHeight w:val="226"/>
        </w:trPr>
        <w:tc>
          <w:tcPr>
            <w:tcW w:w="6680" w:type="dxa"/>
            <w:vAlign w:val="bottom"/>
            <w:shd w:val="clear" w:color="auto" w:fill="D2EEF5"/>
          </w:tcPr>
          <w:p>
            <w:pPr>
              <w:ind w:left="280"/>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587</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590</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Accretion of premiums on securities, net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26"/>
        </w:trPr>
        <w:tc>
          <w:tcPr>
            <w:tcW w:w="6680" w:type="dxa"/>
            <w:vAlign w:val="bottom"/>
            <w:shd w:val="clear" w:color="auto" w:fill="D2EEF5"/>
          </w:tcPr>
          <w:p>
            <w:pPr>
              <w:ind w:left="280"/>
              <w:spacing w:after="0"/>
              <w:rPr>
                <w:sz w:val="20"/>
                <w:szCs w:val="20"/>
                <w:color w:val="auto"/>
              </w:rPr>
            </w:pPr>
            <w:r>
              <w:rPr>
                <w:rFonts w:ascii="Arial" w:cs="Arial" w:eastAsia="Arial" w:hAnsi="Arial"/>
                <w:sz w:val="16"/>
                <w:szCs w:val="16"/>
                <w:color w:val="auto"/>
              </w:rPr>
              <w:t>Amortization (accretion) of deferred loan fees, net</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660</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(184)</w:t>
            </w:r>
          </w:p>
        </w:tc>
      </w:tr>
      <w:tr>
        <w:trPr>
          <w:trHeight w:val="223"/>
        </w:trPr>
        <w:tc>
          <w:tcPr>
            <w:tcW w:w="66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26"/>
        </w:trPr>
        <w:tc>
          <w:tcPr>
            <w:tcW w:w="6680" w:type="dxa"/>
            <w:vAlign w:val="bottom"/>
            <w:shd w:val="clear" w:color="auto" w:fill="D2EEF5"/>
          </w:tcPr>
          <w:p>
            <w:pPr>
              <w:ind w:left="280"/>
              <w:spacing w:after="0"/>
              <w:rPr>
                <w:sz w:val="20"/>
                <w:szCs w:val="20"/>
                <w:color w:val="auto"/>
              </w:rPr>
            </w:pPr>
            <w:r>
              <w:rPr>
                <w:rFonts w:ascii="Arial" w:cs="Arial" w:eastAsia="Arial" w:hAnsi="Arial"/>
                <w:sz w:val="16"/>
                <w:szCs w:val="16"/>
                <w:color w:val="auto"/>
              </w:rPr>
              <w:t>(Gain) loss on sale of available for sale securities</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1,859</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Gain on sale of loans held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26"/>
        </w:trPr>
        <w:tc>
          <w:tcPr>
            <w:tcW w:w="6680" w:type="dxa"/>
            <w:vAlign w:val="bottom"/>
            <w:shd w:val="clear" w:color="auto" w:fill="D2EEF5"/>
          </w:tcPr>
          <w:p>
            <w:pPr>
              <w:ind w:left="280"/>
              <w:spacing w:after="0"/>
              <w:rPr>
                <w:sz w:val="20"/>
                <w:szCs w:val="20"/>
                <w:color w:val="auto"/>
              </w:rPr>
            </w:pPr>
            <w:r>
              <w:rPr>
                <w:rFonts w:ascii="Arial" w:cs="Arial" w:eastAsia="Arial" w:hAnsi="Arial"/>
                <w:sz w:val="16"/>
                <w:szCs w:val="16"/>
                <w:color w:val="auto"/>
              </w:rPr>
              <w:t>Increase in cash surrender value of bank owned life insurance</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(1,691)</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(2,160)</w:t>
            </w:r>
          </w:p>
        </w:tc>
      </w:tr>
      <w:tr>
        <w:trPr>
          <w:trHeight w:val="223"/>
        </w:trPr>
        <w:tc>
          <w:tcPr>
            <w:tcW w:w="6680" w:type="dxa"/>
            <w:vAlign w:val="bottom"/>
          </w:tcPr>
          <w:p>
            <w:pPr>
              <w:ind w:left="280"/>
              <w:spacing w:after="0"/>
              <w:rPr>
                <w:sz w:val="20"/>
                <w:szCs w:val="20"/>
                <w:color w:val="auto"/>
              </w:rPr>
            </w:pPr>
            <w:r>
              <w:rPr>
                <w:rFonts w:ascii="Arial" w:cs="Arial" w:eastAsia="Arial" w:hAnsi="Arial"/>
                <w:sz w:val="16"/>
                <w:szCs w:val="16"/>
                <w:color w:val="auto"/>
              </w:rPr>
              <w:t>Decrease in deferred tax asset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5,251</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Net change in operating assets and liabilities:</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Accrued interest receivable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(3,142)</w:t>
            </w:r>
          </w:p>
        </w:tc>
      </w:tr>
      <w:tr>
        <w:trPr>
          <w:trHeight w:val="226"/>
        </w:trPr>
        <w:tc>
          <w:tcPr>
            <w:tcW w:w="6680" w:type="dxa"/>
            <w:vAlign w:val="bottom"/>
            <w:shd w:val="clear" w:color="auto" w:fill="D2EEF5"/>
          </w:tcPr>
          <w:p>
            <w:pPr>
              <w:ind w:left="280"/>
              <w:spacing w:after="0"/>
              <w:rPr>
                <w:sz w:val="20"/>
                <w:szCs w:val="20"/>
                <w:color w:val="auto"/>
              </w:rPr>
            </w:pPr>
            <w:r>
              <w:rPr>
                <w:rFonts w:ascii="Arial" w:cs="Arial" w:eastAsia="Arial" w:hAnsi="Arial"/>
                <w:sz w:val="16"/>
                <w:szCs w:val="16"/>
                <w:color w:val="auto"/>
              </w:rPr>
              <w:t>Other assets</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(6,223)</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261</w:t>
            </w:r>
          </w:p>
        </w:tc>
      </w:tr>
      <w:tr>
        <w:trPr>
          <w:trHeight w:val="223"/>
        </w:trPr>
        <w:tc>
          <w:tcPr>
            <w:tcW w:w="6680" w:type="dxa"/>
            <w:vAlign w:val="bottom"/>
            <w:tcBorders>
              <w:bottom w:val="single" w:sz="8" w:color="D2EEF5"/>
            </w:tcBorders>
          </w:tcPr>
          <w:p>
            <w:pPr>
              <w:ind w:left="280"/>
              <w:spacing w:after="0"/>
              <w:rPr>
                <w:sz w:val="20"/>
                <w:szCs w:val="20"/>
                <w:color w:val="auto"/>
              </w:rPr>
            </w:pPr>
            <w:r>
              <w:rPr>
                <w:rFonts w:ascii="Arial" w:cs="Arial" w:eastAsia="Arial" w:hAnsi="Arial"/>
                <w:sz w:val="16"/>
                <w:szCs w:val="16"/>
                <w:color w:val="auto"/>
              </w:rPr>
              <w:t>Accrued interest and other liabilities</w:t>
            </w:r>
          </w:p>
        </w:tc>
        <w:tc>
          <w:tcPr>
            <w:tcW w:w="6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06"/>
        </w:trPr>
        <w:tc>
          <w:tcPr>
            <w:tcW w:w="6680" w:type="dxa"/>
            <w:vAlign w:val="bottom"/>
            <w:shd w:val="clear" w:color="auto" w:fill="D2EEF5"/>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34,090</w:t>
            </w: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22,546</w:t>
            </w:r>
          </w:p>
        </w:tc>
      </w:tr>
      <w:tr>
        <w:trPr>
          <w:trHeight w:val="226"/>
        </w:trPr>
        <w:tc>
          <w:tcPr>
            <w:tcW w:w="6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668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Purchase of investment securities held to maturity</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(86,788)</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Proceeds from maturities and pay-downs of investment securities held to maturity</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10,461</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101,541</w:t>
            </w: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Purchase of investment securities available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(85,673)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(40,379)</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Proceeds from maturities and pay-downs of investment securities available for sale</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20,045</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15,189</w:t>
            </w: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sales of investment securities available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34,753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24,185</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Net increase in loans held for investment</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(134,439)</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(239,361)</w:t>
            </w: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Purchase of loans held for investment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(45,645)</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Additions to premises and equipment</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(314)</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(163)</w:t>
            </w: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the sale of loans held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12,530</w:t>
            </w:r>
          </w:p>
        </w:tc>
      </w:tr>
      <w:tr>
        <w:trPr>
          <w:trHeight w:val="226"/>
        </w:trPr>
        <w:tc>
          <w:tcPr>
            <w:tcW w:w="6680" w:type="dxa"/>
            <w:vAlign w:val="bottom"/>
            <w:shd w:val="clear" w:color="auto" w:fill="D2EEF5"/>
          </w:tcPr>
          <w:p>
            <w:pPr>
              <w:ind w:left="140"/>
              <w:spacing w:after="0"/>
              <w:rPr>
                <w:sz w:val="20"/>
                <w:szCs w:val="20"/>
                <w:color w:val="auto"/>
              </w:rPr>
            </w:pPr>
            <w:r>
              <w:rPr>
                <w:rFonts w:ascii="Arial" w:cs="Arial" w:eastAsia="Arial" w:hAnsi="Arial"/>
                <w:sz w:val="16"/>
                <w:szCs w:val="16"/>
                <w:color w:val="auto"/>
              </w:rPr>
              <w:t>Purchase of Bank owned life insurance, net</w:t>
            </w: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(6,840)</w:t>
            </w: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the redemption of Federal Home Loan Bank stock</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15,495</w:t>
            </w:r>
          </w:p>
        </w:tc>
      </w:tr>
      <w:tr>
        <w:trPr>
          <w:trHeight w:val="226"/>
        </w:trPr>
        <w:tc>
          <w:tcPr>
            <w:tcW w:w="66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6"/>
                <w:szCs w:val="16"/>
                <w:color w:val="auto"/>
              </w:rPr>
              <w:t>Purchase of Federal Home Loan Bank stock</w:t>
            </w:r>
          </w:p>
        </w:tc>
        <w:tc>
          <w:tcPr>
            <w:tcW w:w="6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(10,959)</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(22,766)</w:t>
            </w:r>
          </w:p>
        </w:tc>
      </w:tr>
      <w:tr>
        <w:trPr>
          <w:trHeight w:val="222"/>
        </w:trPr>
        <w:tc>
          <w:tcPr>
            <w:tcW w:w="6680" w:type="dxa"/>
            <w:vAlign w:val="bottom"/>
          </w:tcPr>
          <w:p>
            <w:pPr>
              <w:ind w:left="400"/>
              <w:spacing w:after="0"/>
              <w:rPr>
                <w:sz w:val="20"/>
                <w:szCs w:val="20"/>
                <w:color w:val="auto"/>
              </w:rPr>
            </w:pPr>
            <w:r>
              <w:rPr>
                <w:rFonts w:ascii="Arial" w:cs="Arial" w:eastAsia="Arial" w:hAnsi="Arial"/>
                <w:sz w:val="16"/>
                <w:szCs w:val="16"/>
                <w:color w:val="auto"/>
              </w:rPr>
              <w:t>Net cash used in investment activities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(211,861)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(273,002)</w:t>
            </w:r>
          </w:p>
        </w:tc>
      </w:tr>
      <w:tr>
        <w:trPr>
          <w:trHeight w:val="226"/>
        </w:trPr>
        <w:tc>
          <w:tcPr>
            <w:tcW w:w="6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(Continued)</w:t>
            </w: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3" w:name="page84"/>
    <w:bookmarkEnd w:id="83"/>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 (Continued)</w:t>
      </w:r>
    </w:p>
    <w:p>
      <w:pPr>
        <w:jc w:val="center"/>
        <w:spacing w:after="0"/>
        <w:rPr>
          <w:sz w:val="20"/>
          <w:szCs w:val="20"/>
          <w:color w:val="auto"/>
        </w:rPr>
      </w:pPr>
      <w:r>
        <w:rPr>
          <w:rFonts w:ascii="Arial" w:cs="Arial" w:eastAsia="Arial" w:hAnsi="Arial"/>
          <w:sz w:val="20"/>
          <w:szCs w:val="20"/>
          <w:color w:val="auto"/>
        </w:rPr>
        <w:t>(Dollars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r>
      <w:tr>
        <w:trPr>
          <w:trHeight w:val="203"/>
        </w:trPr>
        <w:tc>
          <w:tcPr>
            <w:tcW w:w="40" w:type="dxa"/>
            <w:vAlign w:val="bottom"/>
            <w:tcBorders>
              <w:bottom w:val="single" w:sz="8" w:color="D2EEF5"/>
            </w:tcBorders>
          </w:tcPr>
          <w:p>
            <w:pPr>
              <w:spacing w:after="0"/>
              <w:rPr>
                <w:sz w:val="17"/>
                <w:szCs w:val="17"/>
                <w:color w:val="auto"/>
              </w:rPr>
            </w:pPr>
          </w:p>
        </w:tc>
        <w:tc>
          <w:tcPr>
            <w:tcW w:w="7320" w:type="dxa"/>
            <w:vAlign w:val="bottom"/>
            <w:tcBorders>
              <w:bottom w:val="single" w:sz="8" w:color="D2EE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2EE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r>
      <w:tr>
        <w:trPr>
          <w:trHeight w:val="206"/>
        </w:trPr>
        <w:tc>
          <w:tcPr>
            <w:tcW w:w="40" w:type="dxa"/>
            <w:vAlign w:val="bottom"/>
            <w:shd w:val="clear" w:color="auto" w:fill="D2EEF5"/>
          </w:tcPr>
          <w:p>
            <w:pPr>
              <w:spacing w:after="0"/>
              <w:rPr>
                <w:sz w:val="17"/>
                <w:szCs w:val="17"/>
                <w:color w:val="auto"/>
              </w:rPr>
            </w:pPr>
          </w:p>
        </w:tc>
        <w:tc>
          <w:tcPr>
            <w:tcW w:w="732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2EEF5"/>
          </w:tcPr>
          <w:p>
            <w:pPr>
              <w:spacing w:after="0"/>
              <w:rPr>
                <w:sz w:val="17"/>
                <w:szCs w:val="17"/>
                <w:color w:val="auto"/>
              </w:rPr>
            </w:pPr>
          </w:p>
        </w:tc>
        <w:tc>
          <w:tcPr>
            <w:tcW w:w="152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520" w:type="dxa"/>
            <w:vAlign w:val="bottom"/>
            <w:shd w:val="clear" w:color="auto" w:fill="D2EEF5"/>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Proceeds from exercise of Class A common stock options, net</w:t>
            </w: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1,319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75</w:t>
            </w:r>
          </w:p>
        </w:tc>
      </w:tr>
      <w:tr>
        <w:trPr>
          <w:trHeight w:val="226"/>
        </w:trPr>
        <w:tc>
          <w:tcPr>
            <w:tcW w:w="40" w:type="dxa"/>
            <w:vAlign w:val="bottom"/>
            <w:shd w:val="clear" w:color="auto" w:fill="D2EEF5"/>
          </w:tcPr>
          <w:p>
            <w:pPr>
              <w:spacing w:after="0"/>
              <w:rPr>
                <w:sz w:val="19"/>
                <w:szCs w:val="19"/>
                <w:color w:val="auto"/>
              </w:rPr>
            </w:pPr>
          </w:p>
        </w:tc>
        <w:tc>
          <w:tcPr>
            <w:tcW w:w="7320" w:type="dxa"/>
            <w:vAlign w:val="bottom"/>
            <w:shd w:val="clear" w:color="auto" w:fill="D2EEF5"/>
          </w:tcPr>
          <w:p>
            <w:pPr>
              <w:ind w:left="140"/>
              <w:spacing w:after="0"/>
              <w:rPr>
                <w:sz w:val="20"/>
                <w:szCs w:val="20"/>
                <w:color w:val="auto"/>
              </w:rPr>
            </w:pPr>
            <w:r>
              <w:rPr>
                <w:rFonts w:ascii="Arial" w:cs="Arial" w:eastAsia="Arial" w:hAnsi="Arial"/>
                <w:sz w:val="16"/>
                <w:szCs w:val="16"/>
                <w:color w:val="auto"/>
              </w:rPr>
              <w:t>Cash dividends paid</w:t>
            </w: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(3,939)</w:t>
            </w: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16"/>
                <w:szCs w:val="16"/>
                <w:color w:val="auto"/>
              </w:rPr>
              <w:t>-</w:t>
            </w:r>
          </w:p>
        </w:tc>
      </w:tr>
      <w:tr>
        <w:trPr>
          <w:trHeight w:val="223"/>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(7,583)</w:t>
            </w:r>
          </w:p>
        </w:tc>
      </w:tr>
      <w:tr>
        <w:trPr>
          <w:trHeight w:val="226"/>
        </w:trPr>
        <w:tc>
          <w:tcPr>
            <w:tcW w:w="40" w:type="dxa"/>
            <w:vAlign w:val="bottom"/>
            <w:shd w:val="clear" w:color="auto" w:fill="D2EEF5"/>
          </w:tcPr>
          <w:p>
            <w:pPr>
              <w:spacing w:after="0"/>
              <w:rPr>
                <w:sz w:val="19"/>
                <w:szCs w:val="19"/>
                <w:color w:val="auto"/>
              </w:rPr>
            </w:pPr>
          </w:p>
        </w:tc>
        <w:tc>
          <w:tcPr>
            <w:tcW w:w="7320" w:type="dxa"/>
            <w:vAlign w:val="bottom"/>
            <w:shd w:val="clear" w:color="auto" w:fill="D2EEF5"/>
          </w:tcPr>
          <w:p>
            <w:pPr>
              <w:ind w:left="140"/>
              <w:spacing w:after="0"/>
              <w:rPr>
                <w:sz w:val="20"/>
                <w:szCs w:val="20"/>
                <w:color w:val="auto"/>
              </w:rPr>
            </w:pPr>
            <w:r>
              <w:rPr>
                <w:rFonts w:ascii="Arial" w:cs="Arial" w:eastAsia="Arial" w:hAnsi="Arial"/>
                <w:sz w:val="16"/>
                <w:szCs w:val="16"/>
                <w:color w:val="auto"/>
              </w:rPr>
              <w:t>Net increase in deposits</w:t>
            </w: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16"/>
                <w:szCs w:val="16"/>
                <w:color w:val="auto"/>
              </w:rPr>
              <w:t>236,865</w:t>
            </w: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16"/>
                <w:szCs w:val="16"/>
                <w:color w:val="auto"/>
              </w:rPr>
              <w:t>107,858</w:t>
            </w:r>
          </w:p>
        </w:tc>
      </w:tr>
      <w:tr>
        <w:trPr>
          <w:trHeight w:val="226"/>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Proceeds from Federal Home Loan Bank advances and other borrowings</w:t>
            </w: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227,000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529,350</w:t>
            </w:r>
          </w:p>
        </w:tc>
      </w:tr>
      <w:tr>
        <w:trPr>
          <w:trHeight w:val="226"/>
        </w:trPr>
        <w:tc>
          <w:tcPr>
            <w:tcW w:w="40" w:type="dxa"/>
            <w:vAlign w:val="bottom"/>
            <w:shd w:val="clear" w:color="auto" w:fill="D2EEF5"/>
          </w:tcPr>
          <w:p>
            <w:pPr>
              <w:spacing w:after="0"/>
              <w:rPr>
                <w:sz w:val="19"/>
                <w:szCs w:val="19"/>
                <w:color w:val="auto"/>
              </w:rPr>
            </w:pPr>
          </w:p>
        </w:tc>
        <w:tc>
          <w:tcPr>
            <w:tcW w:w="7320" w:type="dxa"/>
            <w:vAlign w:val="bottom"/>
            <w:shd w:val="clear" w:color="auto" w:fill="D2EEF5"/>
          </w:tcPr>
          <w:p>
            <w:pPr>
              <w:ind w:left="140"/>
              <w:spacing w:after="0"/>
              <w:rPr>
                <w:sz w:val="20"/>
                <w:szCs w:val="20"/>
                <w:color w:val="auto"/>
              </w:rPr>
            </w:pPr>
            <w:r>
              <w:rPr>
                <w:rFonts w:ascii="Arial" w:cs="Arial" w:eastAsia="Arial" w:hAnsi="Arial"/>
                <w:sz w:val="16"/>
                <w:szCs w:val="16"/>
                <w:color w:val="auto"/>
              </w:rPr>
              <w:t>Repayments on Federal Home Loan Bank advances and other borrowings</w:t>
            </w:r>
          </w:p>
        </w:tc>
        <w:tc>
          <w:tcPr>
            <w:tcW w:w="160" w:type="dxa"/>
            <w:vAlign w:val="bottom"/>
            <w:tcBorders>
              <w:bottom w:val="single" w:sz="8" w:color="auto"/>
            </w:tcBorders>
            <w:shd w:val="clear" w:color="auto" w:fill="D2EEF5"/>
          </w:tcPr>
          <w:p>
            <w:pPr>
              <w:spacing w:after="0"/>
              <w:rPr>
                <w:sz w:val="19"/>
                <w:szCs w:val="19"/>
                <w:color w:val="auto"/>
              </w:rPr>
            </w:pPr>
          </w:p>
        </w:tc>
        <w:tc>
          <w:tcPr>
            <w:tcW w:w="15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(247,000)</w:t>
            </w:r>
          </w:p>
        </w:tc>
        <w:tc>
          <w:tcPr>
            <w:tcW w:w="80" w:type="dxa"/>
            <w:vAlign w:val="bottom"/>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spacing w:after="0"/>
              <w:rPr>
                <w:sz w:val="19"/>
                <w:szCs w:val="19"/>
                <w:color w:val="auto"/>
              </w:rPr>
            </w:pPr>
          </w:p>
        </w:tc>
        <w:tc>
          <w:tcPr>
            <w:tcW w:w="15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(392,350)</w:t>
            </w:r>
          </w:p>
        </w:tc>
      </w:tr>
      <w:tr>
        <w:trPr>
          <w:trHeight w:val="203"/>
        </w:trPr>
        <w:tc>
          <w:tcPr>
            <w:tcW w:w="40" w:type="dxa"/>
            <w:vAlign w:val="bottom"/>
          </w:tcPr>
          <w:p>
            <w:pPr>
              <w:spacing w:after="0"/>
              <w:rPr>
                <w:sz w:val="17"/>
                <w:szCs w:val="17"/>
                <w:color w:val="auto"/>
              </w:rPr>
            </w:pPr>
          </w:p>
        </w:tc>
        <w:tc>
          <w:tcPr>
            <w:tcW w:w="7320" w:type="dxa"/>
            <w:vAlign w:val="bottom"/>
          </w:tcPr>
          <w:p>
            <w:pPr>
              <w:ind w:left="40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Pr>
          <w:p>
            <w:pPr>
              <w:spacing w:after="0"/>
              <w:rPr>
                <w:sz w:val="17"/>
                <w:szCs w:val="17"/>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213,744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237,350</w:t>
            </w:r>
          </w:p>
        </w:tc>
      </w:tr>
      <w:tr>
        <w:trPr>
          <w:trHeight w:val="226"/>
        </w:trPr>
        <w:tc>
          <w:tcPr>
            <w:tcW w:w="40" w:type="dxa"/>
            <w:vAlign w:val="bottom"/>
            <w:shd w:val="clear" w:color="auto" w:fill="D2EEF5"/>
          </w:tcPr>
          <w:p>
            <w:pPr>
              <w:spacing w:after="0"/>
              <w:rPr>
                <w:sz w:val="19"/>
                <w:szCs w:val="19"/>
                <w:color w:val="auto"/>
              </w:rPr>
            </w:pPr>
          </w:p>
        </w:tc>
        <w:tc>
          <w:tcPr>
            <w:tcW w:w="73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35,973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(13,106)</w:t>
            </w:r>
          </w:p>
        </w:tc>
      </w:tr>
      <w:tr>
        <w:trPr>
          <w:trHeight w:val="226"/>
        </w:trPr>
        <w:tc>
          <w:tcPr>
            <w:tcW w:w="40" w:type="dxa"/>
            <w:vAlign w:val="bottom"/>
            <w:tcBorders>
              <w:bottom w:val="single" w:sz="8" w:color="D2EEF5"/>
            </w:tcBorders>
            <w:shd w:val="clear" w:color="auto" w:fill="D2EEF5"/>
          </w:tcPr>
          <w:p>
            <w:pPr>
              <w:spacing w:after="0"/>
              <w:rPr>
                <w:sz w:val="19"/>
                <w:szCs w:val="19"/>
                <w:color w:val="auto"/>
              </w:rPr>
            </w:pPr>
          </w:p>
        </w:tc>
        <w:tc>
          <w:tcPr>
            <w:tcW w:w="73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D2EEF5"/>
          </w:tcPr>
          <w:p>
            <w:pPr>
              <w:spacing w:after="0"/>
              <w:rPr>
                <w:sz w:val="19"/>
                <w:szCs w:val="19"/>
                <w:color w:val="auto"/>
              </w:rPr>
            </w:pP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41,062</w:t>
            </w:r>
          </w:p>
        </w:tc>
        <w:tc>
          <w:tcPr>
            <w:tcW w:w="80" w:type="dxa"/>
            <w:vAlign w:val="bottom"/>
            <w:tcBorders>
              <w:bottom w:val="single" w:sz="8" w:color="D2EEF5"/>
            </w:tcBorders>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spacing w:after="0"/>
              <w:rPr>
                <w:sz w:val="19"/>
                <w:szCs w:val="19"/>
                <w:color w:val="auto"/>
              </w:rPr>
            </w:pP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54,168</w:t>
            </w:r>
          </w:p>
        </w:tc>
      </w:tr>
      <w:tr>
        <w:trPr>
          <w:trHeight w:val="260"/>
        </w:trPr>
        <w:tc>
          <w:tcPr>
            <w:tcW w:w="40" w:type="dxa"/>
            <w:vAlign w:val="bottom"/>
            <w:tcBorders>
              <w:bottom w:val="single" w:sz="8" w:color="D2EEF5"/>
            </w:tcBorders>
          </w:tcPr>
          <w:p>
            <w:pPr>
              <w:spacing w:after="0"/>
              <w:rPr>
                <w:sz w:val="22"/>
                <w:szCs w:val="22"/>
                <w:color w:val="auto"/>
              </w:rPr>
            </w:pPr>
          </w:p>
        </w:tc>
        <w:tc>
          <w:tcPr>
            <w:tcW w:w="7320" w:type="dxa"/>
            <w:vAlign w:val="bottom"/>
            <w:tcBorders>
              <w:bottom w:val="single" w:sz="8" w:color="D2EEF5"/>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77,035</w:t>
            </w:r>
          </w:p>
        </w:tc>
        <w:tc>
          <w:tcPr>
            <w:tcW w:w="80" w:type="dxa"/>
            <w:vAlign w:val="bottom"/>
            <w:tcBorders>
              <w:bottom w:val="single" w:sz="8" w:color="D2EEF5"/>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41,062</w:t>
            </w:r>
          </w:p>
        </w:tc>
      </w:tr>
      <w:tr>
        <w:trPr>
          <w:trHeight w:val="180"/>
        </w:trPr>
        <w:tc>
          <w:tcPr>
            <w:tcW w:w="40" w:type="dxa"/>
            <w:vAlign w:val="bottom"/>
            <w:shd w:val="clear" w:color="auto" w:fill="D2EEF5"/>
          </w:tcPr>
          <w:p>
            <w:pPr>
              <w:spacing w:after="0"/>
              <w:rPr>
                <w:sz w:val="15"/>
                <w:szCs w:val="15"/>
                <w:color w:val="auto"/>
              </w:rPr>
            </w:pPr>
          </w:p>
        </w:tc>
        <w:tc>
          <w:tcPr>
            <w:tcW w:w="73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5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520" w:type="dxa"/>
            <w:vAlign w:val="bottom"/>
            <w:shd w:val="clear" w:color="auto" w:fill="D2EEF5"/>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0"/>
        </w:trPr>
        <w:tc>
          <w:tcPr>
            <w:tcW w:w="40" w:type="dxa"/>
            <w:vAlign w:val="bottom"/>
            <w:tcBorders>
              <w:bottom w:val="single" w:sz="8" w:color="D2EEF5"/>
            </w:tcBorders>
            <w:shd w:val="clear" w:color="auto" w:fill="D2EEF5"/>
          </w:tcPr>
          <w:p>
            <w:pPr>
              <w:spacing w:after="0"/>
              <w:rPr>
                <w:sz w:val="22"/>
                <w:szCs w:val="22"/>
                <w:color w:val="auto"/>
              </w:rPr>
            </w:pPr>
          </w:p>
        </w:tc>
        <w:tc>
          <w:tcPr>
            <w:tcW w:w="732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w:t>
            </w: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60,544</w:t>
            </w:r>
          </w:p>
        </w:tc>
        <w:tc>
          <w:tcPr>
            <w:tcW w:w="8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w:t>
            </w: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41,306</w:t>
            </w:r>
          </w:p>
        </w:tc>
      </w:tr>
      <w:tr>
        <w:trPr>
          <w:trHeight w:val="20"/>
        </w:trPr>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6"/>
        </w:trPr>
        <w:tc>
          <w:tcPr>
            <w:tcW w:w="40" w:type="dxa"/>
            <w:vAlign w:val="bottom"/>
            <w:shd w:val="clear" w:color="auto" w:fill="D2EEF5"/>
          </w:tcPr>
          <w:p>
            <w:pPr>
              <w:spacing w:after="0"/>
              <w:rPr>
                <w:sz w:val="19"/>
                <w:szCs w:val="19"/>
                <w:color w:val="auto"/>
              </w:rPr>
            </w:pPr>
          </w:p>
        </w:tc>
        <w:tc>
          <w:tcPr>
            <w:tcW w:w="7320" w:type="dxa"/>
            <w:vAlign w:val="bottom"/>
            <w:shd w:val="clear" w:color="auto" w:fill="D2EEF5"/>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520" w:type="dxa"/>
            <w:vAlign w:val="bottom"/>
            <w:shd w:val="clear" w:color="auto" w:fill="D2EEF5"/>
          </w:tcPr>
          <w:p>
            <w:pPr>
              <w:spacing w:after="0"/>
              <w:rPr>
                <w:sz w:val="19"/>
                <w:szCs w:val="19"/>
                <w:color w:val="auto"/>
              </w:rPr>
            </w:pPr>
          </w:p>
        </w:tc>
      </w:tr>
      <w:tr>
        <w:trPr>
          <w:trHeight w:val="280"/>
        </w:trPr>
        <w:tc>
          <w:tcPr>
            <w:tcW w:w="40" w:type="dxa"/>
            <w:vAlign w:val="bottom"/>
            <w:tcBorders>
              <w:bottom w:val="single" w:sz="8" w:color="D2EEF5"/>
            </w:tcBorders>
          </w:tcPr>
          <w:p>
            <w:pPr>
              <w:spacing w:after="0"/>
              <w:rPr>
                <w:sz w:val="24"/>
                <w:szCs w:val="24"/>
                <w:color w:val="auto"/>
              </w:rPr>
            </w:pPr>
          </w:p>
        </w:tc>
        <w:tc>
          <w:tcPr>
            <w:tcW w:w="7320" w:type="dxa"/>
            <w:vAlign w:val="bottom"/>
            <w:tcBorders>
              <w:bottom w:val="single" w:sz="8" w:color="D2EEF5"/>
            </w:tcBorders>
          </w:tcPr>
          <w:p>
            <w:pPr>
              <w:ind w:left="140"/>
              <w:spacing w:after="0"/>
              <w:rPr>
                <w:sz w:val="20"/>
                <w:szCs w:val="20"/>
                <w:color w:val="auto"/>
              </w:rPr>
            </w:pPr>
            <w:r>
              <w:rPr>
                <w:rFonts w:ascii="Arial" w:cs="Arial" w:eastAsia="Arial" w:hAnsi="Arial"/>
                <w:sz w:val="16"/>
                <w:szCs w:val="16"/>
                <w:color w:val="auto"/>
              </w:rPr>
              <w:t>Transfer of loans held for investment to loans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8,390</w:t>
            </w:r>
          </w:p>
        </w:tc>
        <w:tc>
          <w:tcPr>
            <w:tcW w:w="80" w:type="dxa"/>
            <w:vAlign w:val="bottom"/>
            <w:tcBorders>
              <w:bottom w:val="single" w:sz="8" w:color="D2EEF5"/>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11,729</w:t>
            </w:r>
          </w:p>
        </w:tc>
      </w:tr>
      <w:tr>
        <w:trPr>
          <w:trHeight w:val="194"/>
        </w:trPr>
        <w:tc>
          <w:tcPr>
            <w:tcW w:w="40" w:type="dxa"/>
            <w:vAlign w:val="bottom"/>
            <w:shd w:val="clear" w:color="auto" w:fill="D2EEF5"/>
          </w:tcPr>
          <w:p>
            <w:pPr>
              <w:spacing w:after="0"/>
              <w:rPr>
                <w:sz w:val="16"/>
                <w:szCs w:val="16"/>
                <w:color w:val="auto"/>
              </w:rPr>
            </w:pPr>
          </w:p>
        </w:tc>
        <w:tc>
          <w:tcPr>
            <w:tcW w:w="7320" w:type="dxa"/>
            <w:vAlign w:val="bottom"/>
            <w:shd w:val="clear" w:color="auto" w:fill="D2EEF5"/>
          </w:tcPr>
          <w:p>
            <w:pPr>
              <w:ind w:left="140"/>
              <w:spacing w:after="0"/>
              <w:rPr>
                <w:sz w:val="20"/>
                <w:szCs w:val="20"/>
                <w:color w:val="auto"/>
              </w:rPr>
            </w:pPr>
            <w:r>
              <w:rPr>
                <w:rFonts w:ascii="Arial" w:cs="Arial" w:eastAsia="Arial" w:hAnsi="Arial"/>
                <w:sz w:val="16"/>
                <w:szCs w:val="16"/>
                <w:color w:val="auto"/>
              </w:rPr>
              <w:t>Transfer of investment securities from available-for-sale to held-to-maturity</w:t>
            </w: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w:t>
            </w: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shd w:val="clear" w:color="auto" w:fill="D2EEF5"/>
              </w:rPr>
              <w:t>$</w:t>
            </w: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Lease liability arising from obtaining right-of-use asset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4" w:name="page85"/>
    <w:bookmarkEnd w:id="84"/>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7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In December 2021, USCB Financial Holdings, Inc. acquired all issued and outstanding shares of the Class A common stock of the Bank in connection with the reorganization of the Bank into a holding company structure. Each of the outstanding shares of the Bank’s common stock, par value $1.00 per share, formerly held by its stockholders were converted into and exchanged for one newly issued share of the Company’s Class A common stock, par value $1.00 per share.</w:t>
      </w:r>
    </w:p>
    <w:p>
      <w:pPr>
        <w:spacing w:after="0" w:line="16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Intercompany transactions and balances are eliminated in consolidation. The consolidated financial statements have been prepared in accordance with GAAP.</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has established policies and control procedures that are intended to ensure valuation methods are controlled and applied consistently from period to period. These estimates and assumptions, which may materially affect the reported amounts of certain assets, liabilities, revenues and expenses, are based on information available as of the date of the financial statements, and changes in this information over time and the use of revised estimates and assumptions could materially affect amounts reported in subsequent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may be required to maintain funds at other banks to satisfy the terms of a loan participation agreement. The Company reports restricted cash within cash and cash equivalents. At both December 31, 2024 and 2023, the Company had $0 in restricted cash.</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Interest-Bearing Deposits in Other Financial Institutions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Interest-bearing deposits in other financial institutions consist of Federal Reserve Bank of Atlanta, Federal Home Loan Bank of Atlanta and other accounts.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Securities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Debt securities are recorded at fair value except for those securities which the Company has the positive intent and ability to hold to maturity. Management generally determines the appropriate classification of its securities at the time of purchase and accounts for them on a trade date basis.</w:t>
      </w:r>
    </w:p>
    <w:p>
      <w:pPr>
        <w:spacing w:after="0" w:line="17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recorded at fair value with changes in fair value included in earnings.</w:t>
      </w:r>
    </w:p>
    <w:p>
      <w:pPr>
        <w:spacing w:after="0" w:line="200" w:lineRule="exact"/>
        <w:rPr>
          <w:sz w:val="20"/>
          <w:szCs w:val="20"/>
          <w:color w:val="auto"/>
        </w:rPr>
      </w:pPr>
    </w:p>
    <w:p>
      <w:pPr>
        <w:spacing w:after="0" w:line="26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5" w:name="page86"/>
    <w:bookmarkEnd w:id="85"/>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 to-maturity debt securities. In addition, ASC 326 amended the accounting for available-for-sale debt securities. One such change is to require credit losses to be presented as an allowance rather than as a write-down on available- for-sale debt securities management does not intend to sell or believes that it is more likely than not they will be required to sell.</w:t>
      </w:r>
    </w:p>
    <w:p>
      <w:pPr>
        <w:spacing w:after="0" w:line="18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and/or implicit guarantee of the U.S. Government is sufficient to conclude that a credit loss reserve is not required. The reserve requirement is for three primary assets groups: municipal bonds, corporate bonds, and non- 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Home Loan Bank (FHLB) Stock</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2024 and 2023, FHLB stock amounted to $9.4 million and $10.2 million, respectively, with no impairment deemed necessary. Both cash and stock dividends are reported as interest income.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Held for Investment and Allowance for Credit Losses (“ACL”)</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Loans held for investment (“loans”) are reported at their outstanding principal balance net of charge- offs, deferred loan cost,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80"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9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has determined that the entire balance of a loan is contractually delinquent for all loan categories if the minimum payment is not received by the specified due date on the borrower's statement. Interest and fees continue to accrue on past due loans until the date the loan goes into nonaccrual status.</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6" w:name="page87"/>
    <w:bookmarkEnd w:id="86"/>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ACL reflects management's judgment of expected loan losses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76"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Residential real estate</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Commercial real estate</w:t>
      </w: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Commercial and industrial</w:t>
      </w: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Correspondent banks</w:t>
      </w: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Other loans (secured and unsecured consumer loans)</w:t>
      </w:r>
    </w:p>
    <w:p>
      <w:pPr>
        <w:spacing w:after="0" w:line="20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Residential real estate loans are underwritten following the policies of the Company which include a review of the borrower’s credit, capacity and the collateral securing the loan. The borrower’s ability to repay involves an analysis of factors including: current income, employment status, monthly payment of the loan, current debt obligations, monthly debt to income ratio and credit history. The Company relies on appraisals in determining the value of the property. Risk is mitigated by this analysis and the diversity of the residential portfolio.</w:t>
      </w:r>
    </w:p>
    <w:p>
      <w:pPr>
        <w:spacing w:after="0" w:line="183"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Commercial real estate loans are secured by liens on commercial properties, land, construction and multifamily housing. Underwriting of commercial real estate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loan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Commercial and industrial loans are secured by the business assets of the borrower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Correspondent bank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where the borrower is located and a review by the authorized signer within the Company. The risk is mitigated as these loans are short term, have limited exposure, and are geographically dispersed.</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Other loans are secured and unsecured consumer loans including yacht loans, personal loans, home equity lines of credit,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Under CECL, the Company estimates the ACL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8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7" w:name="page88"/>
    <w:bookmarkEnd w:id="87"/>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Management elected the Remaining Life (WARM) methodology for five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83"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the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HPI projections published by Fannie Mae’s Economic and Strategic Research Group are utilized for the forecast. Forecasts are applied to the first four quarters of the credit loss estimate and revert on a straight-line basis to the lookback period's historical mean for the economic indicator over the expected life of loans.</w:t>
      </w:r>
    </w:p>
    <w:p>
      <w:pPr>
        <w:spacing w:after="0" w:line="18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Qualitative factors (“Q-Factors”) used in the ACL methodology include:</w:t>
      </w:r>
    </w:p>
    <w:p>
      <w:pPr>
        <w:spacing w:after="0" w:line="231" w:lineRule="exact"/>
        <w:rPr>
          <w:sz w:val="20"/>
          <w:szCs w:val="20"/>
          <w:color w:val="auto"/>
        </w:rPr>
      </w:pP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lending policies, procedures, and strategies</w:t>
      </w:r>
    </w:p>
    <w:p>
      <w:pPr>
        <w:spacing w:after="0" w:line="26" w:lineRule="exact"/>
        <w:rPr>
          <w:rFonts w:ascii="Arial" w:cs="Arial" w:eastAsia="Arial" w:hAnsi="Arial"/>
          <w:sz w:val="20"/>
          <w:szCs w:val="20"/>
          <w:color w:val="auto"/>
        </w:rPr>
      </w:pP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international, national, regional, and local conditions</w:t>
      </w:r>
    </w:p>
    <w:p>
      <w:pPr>
        <w:ind w:left="480" w:hanging="120"/>
        <w:spacing w:after="0" w:line="238" w:lineRule="auto"/>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nature and volume of portfolio</w:t>
      </w: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the volume and severity of past due loans and other similar conditions</w:t>
      </w: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Concentration risk</w:t>
      </w: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the value of underlying collateral</w:t>
      </w: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other external factors: e.g., competition, legal, and regulatory requirements</w:t>
      </w:r>
    </w:p>
    <w:p>
      <w:pPr>
        <w:ind w:left="480" w:hanging="120"/>
        <w:spacing w:after="0"/>
        <w:tabs>
          <w:tab w:leader="none" w:pos="4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lending management, among others</w:t>
      </w:r>
    </w:p>
    <w:p>
      <w:pPr>
        <w:spacing w:after="0" w:line="20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7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estimates a reserve for unfunded commitments, which is reported separately from the ACL within other liabilities. The reserve is based upon the same quantitative and qualitative factors applied to the collectively evaluated loan portfolio.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Credit Risks</w:t>
      </w:r>
    </w:p>
    <w:p>
      <w:pPr>
        <w:spacing w:after="0" w:line="23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88" w:name="page89"/>
    <w:bookmarkEnd w:id="8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20"/>
          <w:szCs w:val="20"/>
          <w:color w:val="auto"/>
        </w:rPr>
        <w:t>At December 31, 2024 and 2023, the Company had a concentration of risk with loans outstanding to the Company’s top ten lending relationships totaling $236.2 million and $163.1 million, respectively. At December 31, 2024 and 2023, this concentration represented 12.0% and 9.2% of net loans outstanding, respectively. At December 31, 2024 and December 31, 2023, the largest commercial real estate loan note outside Florida was one commercial real estate loan with an outstanding balance of $19.8 million and $20.0 million, respectively, collateralized by a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lien commercial property located in New York State.</w:t>
      </w:r>
    </w:p>
    <w:p>
      <w:pPr>
        <w:spacing w:after="0" w:line="19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At December 31, 2024, the Company had a concentration of risk with loans outstanding totaling $ 82.4 million to correspondent banks located in Ecuador, Dominican Republic, Honduras, and Panama. At December 31, 2023, the Company also had a concentration of risk with loans outstanding totaling $105.4 million to correspondent banks located in Ecuador, Dominican Republic, Honduras, and El Salvador. These banks maintained deposits with right of offset totaling $62.6 million and $43.9 million at December 31, 2024 and 2023, respectively.</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At various times during the year, the Company has maintained deposits with other financial institutions. The exposure to the Company from these transactions is solely dependent upon daily balances and the financial strength of the respective institutions.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Premises and Equipment, net</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Land is carried at cost. Premises and equipment are stated at cost less accumulated depreciation and amortization. Depreciation is computed on the straight- line method over the estimated useful life of the asset. Leasehold improvements are amortized over the remaining term of the applicable leases or their useful lives, whichever is shorter. Estimated useful lives of these assets were as follows:</w:t>
      </w:r>
    </w:p>
    <w:p>
      <w:pPr>
        <w:sectPr>
          <w:pgSz w:w="12240" w:h="15877" w:orient="portrait"/>
          <w:cols w:equalWidth="0" w:num="1">
            <w:col w:w="10800"/>
          </w:cols>
          <w:pgMar w:left="720" w:top="355" w:right="720" w:bottom="0" w:gutter="0" w:footer="0" w:header="0"/>
        </w:sectPr>
      </w:pPr>
    </w:p>
    <w:p>
      <w:pPr>
        <w:spacing w:after="0" w:line="18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Building 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Furniture, fixtures and equipment</w:t>
      </w:r>
    </w:p>
    <w:p>
      <w:pPr>
        <w:ind w:left="1440"/>
        <w:spacing w:after="0"/>
        <w:rPr>
          <w:sz w:val="20"/>
          <w:szCs w:val="20"/>
          <w:color w:val="auto"/>
        </w:rPr>
      </w:pPr>
      <w:r>
        <w:rPr>
          <w:rFonts w:ascii="Arial" w:cs="Arial" w:eastAsia="Arial" w:hAnsi="Arial"/>
          <w:sz w:val="19"/>
          <w:szCs w:val="19"/>
          <w:color w:val="auto"/>
        </w:rPr>
        <w:t>Computer hardware and software</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Leasehold improvements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40 years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3 to 25 years</w:t>
      </w:r>
    </w:p>
    <w:p>
      <w:pPr>
        <w:spacing w:after="0" w:line="238" w:lineRule="auto"/>
        <w:rPr>
          <w:sz w:val="20"/>
          <w:szCs w:val="20"/>
          <w:color w:val="auto"/>
        </w:rPr>
      </w:pPr>
      <w:r>
        <w:rPr>
          <w:rFonts w:ascii="Arial" w:cs="Arial" w:eastAsia="Arial" w:hAnsi="Arial"/>
          <w:sz w:val="20"/>
          <w:szCs w:val="20"/>
          <w:color w:val="auto"/>
        </w:rPr>
        <w:t>3 to 5 years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Shorter of life or term of lease</w:t>
      </w:r>
    </w:p>
    <w:p>
      <w:pPr>
        <w:spacing w:after="0" w:line="200" w:lineRule="exact"/>
        <w:rPr>
          <w:sz w:val="20"/>
          <w:szCs w:val="20"/>
          <w:color w:val="auto"/>
        </w:rPr>
      </w:pPr>
    </w:p>
    <w:p>
      <w:pPr>
        <w:sectPr>
          <w:pgSz w:w="12240" w:h="15877" w:orient="portrait"/>
          <w:cols w:equalWidth="0" w:num="2">
            <w:col w:w="5040" w:space="720"/>
            <w:col w:w="5040"/>
          </w:cols>
          <w:pgMar w:left="720" w:top="355" w:right="720" w:bottom="0" w:gutter="0" w:footer="0" w:header="0"/>
          <w:type w:val="continuous"/>
        </w:sectPr>
      </w:pPr>
    </w:p>
    <w:p>
      <w:pPr>
        <w:spacing w:after="0" w:line="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Real Estate Owned</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OREO consists of real estate properties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Owned Life Insurance</w:t>
      </w:r>
    </w:p>
    <w:p>
      <w:pPr>
        <w:spacing w:after="0" w:line="23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BOLI is carried at the amount that could be realized under the contract at the balance sheet date, which is typically cash surrender value. Changes in cash surrender value are recorded in non-interest income. At December 31, 2024, the Company maintained BOLI policies with five insurance carriers with a combined cash surrender value of $53.5 million. These policies cover certain present and former executives and officers; the Company is the beneficiary of these policies.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401(k) Plan</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 has an 401(k) plan covering substantially all eligible employees. Employee 401(k) plan expense is the amount of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type w:val="continuous"/>
        </w:sectPr>
      </w:pPr>
    </w:p>
    <w:bookmarkStart w:id="89" w:name="page90"/>
    <w:bookmarkEnd w:id="8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8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of Financial Assets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 (Loss)</w:t>
      </w:r>
    </w:p>
    <w:p>
      <w:pPr>
        <w:spacing w:after="0" w:line="2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are components of comprehensive income (loss). Additionally, any unrealized gains or losses on transfers of investment securities from available-for-sale to held-to-maturity are recorded to accumulated other comprehensive income (loss)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Costs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Advertising costs are expensed as incurred.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Common Share</w:t>
      </w:r>
    </w:p>
    <w:p>
      <w:pPr>
        <w:spacing w:after="0" w:line="23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and unvested shares of restricted stock. Basic and diluted earnings per share are updated to reflect the effect of stock splits as occurred. See Note 14 “Earnings Per Share”</w:t>
      </w:r>
    </w:p>
    <w:p>
      <w:pPr>
        <w:spacing w:after="0" w:line="200" w:lineRule="exact"/>
        <w:rPr>
          <w:sz w:val="20"/>
          <w:szCs w:val="20"/>
          <w:color w:val="auto"/>
        </w:rPr>
      </w:pPr>
    </w:p>
    <w:p>
      <w:pPr>
        <w:spacing w:after="0" w:line="29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90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0" w:name="page91"/>
    <w:bookmarkEnd w:id="90"/>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for additional information on earnings per common share. See Note 13 “Stockholders’ Equity” for further discussion on stock splits.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income is recognized as earned, based upon the principal amount outstanding, on an accrual basis.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Stock-based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awards, performance-based awards, share appreciation rights, and employee share purchase plans.</w:t>
      </w:r>
    </w:p>
    <w:p>
      <w:pPr>
        <w:spacing w:after="0" w:line="17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stock-based compensation accounting guidance requires that compensation cost for all stock awards be calculated and recognized over the employees' service period, generally defined as the vesting period. For awards with graded vesting, compensation cost is recognized on a straight-line basis over the requisite service period for the entire award. A Black-Scholes model is used to estimate the fair value of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Contingencies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19 “Loss Contingencies”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Banking regulations require maintaining certain capital levels and may limit the dividends paid by the Bank to the Company or by the Company to the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Rate Swaps Designated as Cash Flow Hedges</w:t>
      </w:r>
    </w:p>
    <w:p>
      <w:pPr>
        <w:spacing w:after="0" w:line="23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changes in fair value on these interest rate swaps are recorded in other assets or other liabilities with a corresponding recognition in other comprehensive income (loss) and subsequently reclassified to earnings when gains or losses are realized. As of December 31, 2024, the cash flow hedge was effective.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 Designated as Fair Value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1" w:name="page92"/>
    <w:bookmarkEnd w:id="91"/>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changes in fair value on these interest rate swaps are recorded in other assets or other liabilities with a corresponding recognition in the assets being hedged.</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w:t>
      </w:r>
    </w:p>
    <w:p>
      <w:pPr>
        <w:spacing w:after="0" w:line="22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enters into interest rate swaps agreements to provide commercial loan clients the ability to swap from a variable interest rate to a fixed rate. The Company enters into a floating- rate loan with a customer with a separately issued swap agreement allowing the customer to convert floating payments on the loan into a fixed interest rate. To mitigate risk, the Company enters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Interest rate swap agreements are used by the Company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from Contracts with Customers</w:t>
      </w:r>
    </w:p>
    <w:p>
      <w:pPr>
        <w:spacing w:after="0" w:line="23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 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Statement</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reports the net activity rather than gross activity in the Consolidated Statements of Cash Flows. The net cash flows are reported for loans held for investment, accrued interest receivable, deferred tax assets, other assets, customer deposits, accrued interest payable, other liabilities, and proceeds from the issuance of Class A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Certain amounts in the Consolidated Financial Statements have been reclassified to conform to the current presentation. Reclassifications had no impact on the net income or stockholders’ equity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Issued and Adopted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Guidance on Accounting for Credit Losses on Financial Instruments</w:t>
      </w:r>
    </w:p>
    <w:p>
      <w:pPr>
        <w:spacing w:after="0" w:line="221"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On January 1, 2023, the Company implemented Accounting Standard Update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held-to-maturity debt securities. It also applies to off- balance sheet credit exposures not accounted for as insurance (e.g., loan commitments, standby letters of credit, financial guarantees, and similar instruments), as well as net investments in leases recognized by lessors in accordance with Topic 842 on leases. Furthermore, ASC 326 amended the accounting treatment for available-for-sale debt securities. One notable change is the requirement for credit losses to be reported as an allowance rather than as a write-down on available-for-sale debt securities that management does not intend to sell or believes it is more likely than not they will not need to sell. CECL requires a loss reserve for securities classified as held-to-maturity (HTM). The reserve should reflect historical credit performance as well as the impact of projected economic forecast.</w:t>
      </w:r>
    </w:p>
    <w:p>
      <w:pPr>
        <w:spacing w:after="0" w:line="18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At adoption of CECL, 84% or $1.3 billion of loan receivables were collectively evaluated under the Discounted Cash Flow (“DCF)” method and 16% or $251.0 million of loan receivables were collectively evaluated under the Remaining Life method. The remaining $7.9 million of loan receivables of the total loan portfolio were individually evaluated.</w:t>
      </w: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2" w:name="page93"/>
    <w:bookmarkEnd w:id="92"/>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impact of adoption of the ASU 2016-13 in January 1, 2023, was an increase to ACL on loans receivables of $1.1 million and an increase to the reserve for unfunded commitments of $259 thousand. This one-time, net of tax, cumulative adjustment resulted in an increase of $1.0 million in accumulated deficit. The following table reflects the impact of adopting CECL on the Company’s Consolidated Balance Sheet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January 1, 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As Reported Under ASC</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Pre - ASC 326 Adoption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Impact of ASC 326</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Adoption</w:t>
            </w:r>
          </w:p>
        </w:tc>
        <w:tc>
          <w:tcPr>
            <w:tcW w:w="0" w:type="dxa"/>
            <w:vAlign w:val="bottom"/>
          </w:tcPr>
          <w:p>
            <w:pPr>
              <w:spacing w:after="0"/>
              <w:rPr>
                <w:sz w:val="1"/>
                <w:szCs w:val="1"/>
                <w:color w:val="auto"/>
              </w:rPr>
            </w:pPr>
          </w:p>
        </w:tc>
      </w:tr>
      <w:tr>
        <w:trPr>
          <w:trHeight w:val="107"/>
        </w:trPr>
        <w:tc>
          <w:tcPr>
            <w:tcW w:w="40" w:type="dxa"/>
            <w:vAlign w:val="bottom"/>
            <w:tcBorders>
              <w:bottom w:val="single" w:sz="8" w:color="D2EEF5"/>
            </w:tcBorders>
          </w:tcPr>
          <w:p>
            <w:pPr>
              <w:spacing w:after="0"/>
              <w:rPr>
                <w:sz w:val="9"/>
                <w:szCs w:val="9"/>
                <w:color w:val="auto"/>
              </w:rPr>
            </w:pPr>
          </w:p>
        </w:tc>
        <w:tc>
          <w:tcPr>
            <w:tcW w:w="3740" w:type="dxa"/>
            <w:vAlign w:val="bottom"/>
            <w:tcBorders>
              <w:bottom w:val="single" w:sz="8" w:color="D2EEF5"/>
            </w:tcBorders>
          </w:tcPr>
          <w:p>
            <w:pPr>
              <w:spacing w:after="0"/>
              <w:rPr>
                <w:sz w:val="9"/>
                <w:szCs w:val="9"/>
                <w:color w:val="auto"/>
              </w:rPr>
            </w:pPr>
          </w:p>
        </w:tc>
        <w:tc>
          <w:tcPr>
            <w:tcW w:w="40" w:type="dxa"/>
            <w:vAlign w:val="bottom"/>
            <w:tcBorders>
              <w:bottom w:val="single" w:sz="8" w:color="D2EEF5"/>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D2EEF5"/>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80" w:type="dxa"/>
            <w:vAlign w:val="bottom"/>
            <w:tcBorders>
              <w:bottom w:val="single" w:sz="8" w:color="D2EEF5"/>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D2EEF5"/>
          </w:tcPr>
          <w:p>
            <w:pPr>
              <w:spacing w:after="0"/>
              <w:rPr>
                <w:sz w:val="19"/>
                <w:szCs w:val="19"/>
                <w:color w:val="auto"/>
              </w:rPr>
            </w:pPr>
          </w:p>
        </w:tc>
        <w:tc>
          <w:tcPr>
            <w:tcW w:w="374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200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2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8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18,553</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17,487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3740" w:type="dxa"/>
            <w:vAlign w:val="bottom"/>
            <w:shd w:val="clear" w:color="auto" w:fill="D2EEF5"/>
          </w:tcPr>
          <w:p>
            <w:pPr>
              <w:ind w:left="140"/>
              <w:spacing w:after="0"/>
              <w:rPr>
                <w:sz w:val="20"/>
                <w:szCs w:val="20"/>
                <w:color w:val="auto"/>
              </w:rPr>
            </w:pPr>
            <w:r>
              <w:rPr>
                <w:rFonts w:ascii="Arial" w:cs="Arial" w:eastAsia="Arial" w:hAnsi="Arial"/>
                <w:sz w:val="18"/>
                <w:szCs w:val="18"/>
                <w:color w:val="auto"/>
              </w:rPr>
              <w:t>Deferred tax asset, net</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20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42,696</w:t>
            </w: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212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42,360</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3740" w:type="dxa"/>
            <w:vAlign w:val="bottom"/>
            <w:shd w:val="clear" w:color="auto" w:fill="D2EEF5"/>
          </w:tcPr>
          <w:p>
            <w:pPr>
              <w:ind w:left="140"/>
              <w:spacing w:after="0"/>
              <w:rPr>
                <w:sz w:val="20"/>
                <w:szCs w:val="20"/>
                <w:color w:val="auto"/>
              </w:rPr>
            </w:pPr>
            <w:r>
              <w:rPr>
                <w:rFonts w:ascii="Arial" w:cs="Arial" w:eastAsia="Arial" w:hAnsi="Arial"/>
                <w:sz w:val="18"/>
                <w:szCs w:val="18"/>
                <w:color w:val="auto"/>
              </w:rPr>
              <w:t>Reserve for unfunded credit commitments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20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212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2EEF5"/>
          </w:tcPr>
          <w:p>
            <w:pPr>
              <w:spacing w:after="0"/>
              <w:rPr>
                <w:sz w:val="20"/>
                <w:szCs w:val="20"/>
                <w:color w:val="auto"/>
              </w:rPr>
            </w:pPr>
          </w:p>
        </w:tc>
        <w:tc>
          <w:tcPr>
            <w:tcW w:w="3740" w:type="dxa"/>
            <w:vAlign w:val="bottom"/>
            <w:shd w:val="clear" w:color="auto" w:fill="D2EEF5"/>
          </w:tcPr>
          <w:p>
            <w:pPr>
              <w:ind w:left="14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2100" w:type="dxa"/>
            <w:vAlign w:val="bottom"/>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(105,093)</w:t>
            </w:r>
          </w:p>
        </w:tc>
        <w:tc>
          <w:tcPr>
            <w:tcW w:w="100" w:type="dxa"/>
            <w:vAlign w:val="bottom"/>
            <w:gridSpan w:val="2"/>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2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(104,104)</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40" w:type="dxa"/>
            <w:vAlign w:val="bottom"/>
            <w:shd w:val="clear" w:color="auto" w:fill="D2EEF5"/>
          </w:tcPr>
          <w:p>
            <w:pPr>
              <w:spacing w:after="0"/>
              <w:rPr>
                <w:sz w:val="20"/>
                <w:szCs w:val="20"/>
                <w:color w:val="auto"/>
              </w:rPr>
            </w:pPr>
          </w:p>
        </w:tc>
        <w:tc>
          <w:tcPr>
            <w:tcW w:w="2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“Allowance for Credit Losses” section in Note 3 for more information on the ACL.</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Guidance on Accounting for Trouble Debt Restructuring and Vintage Disclosures</w:t>
      </w:r>
    </w:p>
    <w:p>
      <w:pPr>
        <w:spacing w:after="0" w:line="221" w:lineRule="exact"/>
        <w:rPr>
          <w:sz w:val="20"/>
          <w:szCs w:val="20"/>
          <w:color w:val="auto"/>
        </w:rPr>
      </w:pPr>
    </w:p>
    <w:p>
      <w:pPr>
        <w:jc w:val="both"/>
        <w:ind w:firstLine="361"/>
        <w:spacing w:after="0" w:line="246" w:lineRule="auto"/>
        <w:rPr>
          <w:sz w:val="20"/>
          <w:szCs w:val="20"/>
          <w:color w:val="auto"/>
        </w:rPr>
      </w:pPr>
      <w:r>
        <w:rPr>
          <w:rFonts w:ascii="Arial" w:cs="Arial" w:eastAsia="Arial" w:hAnsi="Arial"/>
          <w:sz w:val="20"/>
          <w:szCs w:val="20"/>
          <w:color w:val="auto"/>
        </w:rPr>
        <w:t>In March 2022, the FASB issued ASU 2022-02, which eliminates creditor accounting guidance for troubled debt restructurings (“TDR”) for entities that have adopted ASU 2016-13, Financial Instruments-Credit Losses (Topic 326) and enhances Vintage Disclosures of Gross Write-offs. This ASU eliminates Subtopic 310-40 guidance for TDRs and requires creditors to apply the loan refinancing and restructuring guidance in Subtopic 310-20 when evaluating modifications granted to borrowers experiencing financial difficulty to determine whether the modification is considered a continuation of an existing loan or a new loan. The vintage disclosure component of the ASU requires entities to disclose current -period gross write-offs by origination year for financing receivables and investment leases within the scope of Subtopic 326-20. The Company adopted ASU 2022-02 concurrently with the adoption of ASU 2016-13.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Reference Rate Reform</w:t>
      </w:r>
    </w:p>
    <w:p>
      <w:pPr>
        <w:spacing w:after="0" w:line="221" w:lineRule="exact"/>
        <w:rPr>
          <w:sz w:val="20"/>
          <w:szCs w:val="20"/>
          <w:color w:val="auto"/>
        </w:rPr>
      </w:pPr>
    </w:p>
    <w:p>
      <w:pPr>
        <w:jc w:val="both"/>
        <w:ind w:firstLine="361"/>
        <w:spacing w:after="0" w:line="242" w:lineRule="auto"/>
        <w:rPr>
          <w:sz w:val="20"/>
          <w:szCs w:val="20"/>
          <w:color w:val="auto"/>
        </w:rPr>
      </w:pPr>
      <w:r>
        <w:rPr>
          <w:rFonts w:ascii="Arial" w:cs="Arial" w:eastAsia="Arial" w:hAnsi="Arial"/>
          <w:sz w:val="20"/>
          <w:szCs w:val="20"/>
          <w:color w:val="auto"/>
        </w:rPr>
        <w:t>In March 2020, the Financial Accounting Standards Board (“FASB”) issued ASU 2020-04, Reference Rate Reform (Topic 848), aiming to facilitate the impacts of reference rate reform on financial reporting. This initiative was subsequently clarified in January 2021 through ASU 2021-01, providing optional directives for a designated timeframe to alleviate challenges associated with accounting for, or acknowledging the effects of, reference rate reform on financial reporting. These amendments offer discretionary guidance for a defined period to alleviate potential accounting complexities associated with reference rate reform in financial reporting. The expedients and exceptions provided by these amendments are not applicable to contract modifications executed and hedging relationships initiated or reviewed after December 31, 2022, except for pre-existing hedging relationships as of December 31, 2022, for which an entity has opted for specific optional expedients, and which are retained until the conclusion of the hedging relationship. Additionally, the amendments permit entities to make a one- time choice to divest, transfer, or both divest and transfer debt securities categorized as held to maturity, referencing a rate impacted by reference rate reform, and classified as held to maturity prior to January 1, 2020. In December 2022, the FASB issued new guidance extending the expiration date of this guidance from December 31, 2022, to December 31, 2024, after which entities will no longer be authorized to apply the relief provided under this guidance. Before this recent guidance, these amendments were effective for all entities from March 12, 2020 to December 31, 2022. The Company executed its transition strategy in preparation for the cessation of the London Intrabank Offered Rate (“LIBOR”) and the adjustment of its existing financial instruments affected by LIBOR, whether directly or indirectly. LIBOR-based originations were ceased as of June 30, 2023, and for existing LIBOR -based transactions, the Company substituted Secured Overnight Financing Rate (“SOFR”) for LIBOR. The Company has completed its transition away from LIBOR for its loan and other 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Improvements to Reportable Segment Disclosures</w:t>
      </w:r>
    </w:p>
    <w:p>
      <w:pPr>
        <w:spacing w:after="0" w:line="223"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In November 2023, FASB issued ASU No. 2023-07, Segment Reporting (Topic 280), aiming to augments reportable segment disclosure requirements, it enhances significant segment expenses disclosures. Additionally, this amendment</w:t>
      </w:r>
    </w:p>
    <w:p>
      <w:pPr>
        <w:spacing w:after="0" w:line="34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3" w:name="page94"/>
    <w:bookmarkEnd w:id="93"/>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enhances interim disclosure requirements, clarifies multiple segment measures of profit or loss, provides new segment disclosure requirements for entities with a single reportable segment and requires other disclosure requirements. The Company adopted this ASU in December 2024. The adoption of this guidance did not have a material impact on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Issued and Not Yet Adopted</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Improvements to Income Tax Disclosures</w:t>
      </w:r>
    </w:p>
    <w:p>
      <w:pPr>
        <w:spacing w:after="0" w:line="22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December 2023, the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December 15, 2024. The Company is currently assessing the potential impact of this ASU on its financial reporting and has not yet concluded whether the changes will materially affect its business operations or consolidated financial statements.</w:t>
      </w:r>
    </w:p>
    <w:p>
      <w:pPr>
        <w:spacing w:after="0" w:line="178" w:lineRule="exact"/>
        <w:rPr>
          <w:sz w:val="20"/>
          <w:szCs w:val="20"/>
          <w:color w:val="auto"/>
        </w:rPr>
      </w:pPr>
    </w:p>
    <w:p>
      <w:pPr>
        <w:ind w:left="540" w:hanging="540"/>
        <w:spacing w:after="0"/>
        <w:tabs>
          <w:tab w:leader="none" w:pos="5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tables present a summary of the amortized cost, unrealized or unrecognized gains and losses, and fair value of investment securities at the dates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Unrealized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Unrealized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0"/>
        </w:trPr>
        <w:tc>
          <w:tcPr>
            <w:tcW w:w="5360" w:type="dxa"/>
            <w:vAlign w:val="bottom"/>
            <w:tcBorders>
              <w:top w:val="single" w:sz="8" w:color="D2EEF5"/>
              <w:bottom w:val="single" w:sz="8" w:color="D2EEF5"/>
              <w:right w:val="single" w:sz="8" w:color="D2EEF5"/>
            </w:tcBorders>
            <w:shd w:val="clear" w:color="auto" w:fill="D2EEF5"/>
          </w:tcPr>
          <w:p>
            <w:pPr>
              <w:spacing w:after="0" w:line="196" w:lineRule="exact"/>
              <w:rPr>
                <w:sz w:val="20"/>
                <w:szCs w:val="20"/>
                <w:color w:val="auto"/>
              </w:rPr>
            </w:pPr>
            <w:r>
              <w:rPr>
                <w:rFonts w:ascii="Arial" w:cs="Arial" w:eastAsia="Arial" w:hAnsi="Arial"/>
                <w:sz w:val="18"/>
                <w:szCs w:val="18"/>
                <w:color w:val="auto"/>
              </w:rPr>
              <w:t>U.S. Government Agency</w:t>
            </w:r>
          </w:p>
        </w:tc>
        <w:tc>
          <w:tcPr>
            <w:tcW w:w="18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14,279</w:t>
            </w: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14</w:t>
            </w:r>
          </w:p>
        </w:tc>
        <w:tc>
          <w:tcPr>
            <w:tcW w:w="80" w:type="dxa"/>
            <w:vAlign w:val="bottom"/>
            <w:tcBorders>
              <w:top w:val="single" w:sz="8" w:color="D2EEF5"/>
              <w:left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center"/>
              <w:spacing w:after="0" w:line="196" w:lineRule="exact"/>
              <w:rPr>
                <w:sz w:val="20"/>
                <w:szCs w:val="20"/>
                <w:color w:val="auto"/>
              </w:rPr>
            </w:pPr>
            <w:r>
              <w:rPr>
                <w:rFonts w:ascii="Arial" w:cs="Arial" w:eastAsia="Arial" w:hAnsi="Arial"/>
                <w:sz w:val="18"/>
                <w:szCs w:val="18"/>
                <w:color w:val="auto"/>
                <w:w w:val="99"/>
                <w:shd w:val="clear" w:color="auto" w:fill="D2EEF5"/>
              </w:rPr>
              <w:t>$</w:t>
            </w:r>
          </w:p>
        </w:tc>
        <w:tc>
          <w:tcPr>
            <w:tcW w:w="112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(1,668)</w:t>
            </w:r>
          </w:p>
        </w:tc>
        <w:tc>
          <w:tcPr>
            <w:tcW w:w="80" w:type="dxa"/>
            <w:vAlign w:val="bottom"/>
            <w:tcBorders>
              <w:top w:val="single" w:sz="8" w:color="D2EEF5"/>
              <w:left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w w:val="79"/>
                <w:shd w:val="clear" w:color="auto" w:fill="D2EEF5"/>
              </w:rPr>
              <w:t>$</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12,625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58,995</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(12,063)</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46,933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24,925</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(5,614)</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Bank subordinated debt securities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right w:val="single" w:sz="8" w:color="D2EEF5"/>
            </w:tcBorders>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Borders>
              <w:left w:val="single" w:sz="8" w:color="D2EEF5"/>
            </w:tcBorders>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Borders>
              <w:left w:val="single" w:sz="8" w:color="D2EEF5"/>
            </w:tcBorders>
            <w:shd w:val="clear" w:color="auto" w:fill="D2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60" w:type="dxa"/>
            <w:vAlign w:val="bottom"/>
            <w:tcBorders>
              <w:right w:val="single" w:sz="8" w:color="D2EEF5"/>
            </w:tcBorders>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310,925</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508</w:t>
            </w:r>
          </w:p>
        </w:tc>
        <w:tc>
          <w:tcPr>
            <w:tcW w:w="80" w:type="dxa"/>
            <w:vAlign w:val="bottom"/>
            <w:tcBorders>
              <w:left w:val="single" w:sz="8" w:color="D2EEF5"/>
            </w:tcBorders>
            <w:shd w:val="clear" w:color="auto" w:fill="D2EEF5"/>
          </w:tcPr>
          <w:p>
            <w:pPr>
              <w:spacing w:after="0"/>
              <w:rPr>
                <w:sz w:val="20"/>
                <w:szCs w:val="20"/>
                <w:color w:val="auto"/>
              </w:rPr>
            </w:pPr>
          </w:p>
        </w:tc>
        <w:tc>
          <w:tcPr>
            <w:tcW w:w="180" w:type="dxa"/>
            <w:vAlign w:val="bottom"/>
            <w:shd w:val="clear" w:color="auto" w:fill="D2EEF5"/>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(51,212)</w:t>
            </w:r>
          </w:p>
        </w:tc>
        <w:tc>
          <w:tcPr>
            <w:tcW w:w="80" w:type="dxa"/>
            <w:vAlign w:val="bottom"/>
            <w:tcBorders>
              <w:left w:val="single" w:sz="8" w:color="D2EEF5"/>
            </w:tcBorders>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20" w:type="dxa"/>
            <w:vAlign w:val="bottom"/>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260,221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42,538</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center"/>
              <w:spacing w:after="0"/>
              <w:rPr>
                <w:sz w:val="20"/>
                <w:szCs w:val="20"/>
                <w:color w:val="auto"/>
              </w:rPr>
            </w:pPr>
            <w:r>
              <w:rPr>
                <w:rFonts w:ascii="Arial" w:cs="Arial" w:eastAsia="Arial" w:hAnsi="Arial"/>
                <w:sz w:val="18"/>
                <w:szCs w:val="18"/>
                <w:color w:val="auto"/>
                <w:w w:val="9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(5,094)</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37,444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40,681</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36,121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Borders>
              <w:bottom w:val="single" w:sz="8" w:color="D2EEF5"/>
              <w:right w:val="single" w:sz="8" w:color="D2EEF5"/>
            </w:tcBorders>
            <w:shd w:val="clear" w:color="auto" w:fill="D2EEF5"/>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left w:val="single" w:sz="8" w:color="D2EEF5"/>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8,829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145,540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60" w:type="dxa"/>
            <w:vAlign w:val="bottom"/>
            <w:tcBorders>
              <w:top w:val="single" w:sz="8" w:color="D2EEF5"/>
              <w:bottom w:val="single" w:sz="8" w:color="D2EEF5"/>
              <w:right w:val="single" w:sz="8" w:color="D2EEF5"/>
            </w:tcBorders>
            <w:shd w:val="clear" w:color="auto" w:fill="D2EEF5"/>
          </w:tcPr>
          <w:p>
            <w:pPr>
              <w:spacing w:after="0" w:line="172" w:lineRule="exact"/>
              <w:rPr>
                <w:sz w:val="20"/>
                <w:szCs w:val="20"/>
                <w:color w:val="auto"/>
              </w:rPr>
            </w:pPr>
            <w:r>
              <w:rPr>
                <w:rFonts w:ascii="Arial" w:cs="Arial" w:eastAsia="Arial" w:hAnsi="Arial"/>
                <w:sz w:val="18"/>
                <w:szCs w:val="18"/>
                <w:color w:val="auto"/>
              </w:rPr>
              <w:t>Allowance for credit losses - securities held-to-maturity</w:t>
            </w:r>
          </w:p>
        </w:tc>
        <w:tc>
          <w:tcPr>
            <w:tcW w:w="180" w:type="dxa"/>
            <w:vAlign w:val="bottom"/>
            <w:tcBorders>
              <w:top w:val="single" w:sz="8" w:color="auto"/>
              <w:bottom w:val="single" w:sz="8" w:color="auto"/>
            </w:tcBorders>
            <w:shd w:val="clear" w:color="auto" w:fill="D2EEF5"/>
          </w:tcPr>
          <w:p>
            <w:pPr>
              <w:spacing w:after="0"/>
              <w:rPr>
                <w:sz w:val="17"/>
                <w:szCs w:val="17"/>
                <w:color w:val="auto"/>
              </w:rPr>
            </w:pPr>
          </w:p>
        </w:tc>
        <w:tc>
          <w:tcPr>
            <w:tcW w:w="1120" w:type="dxa"/>
            <w:vAlign w:val="bottom"/>
            <w:tcBorders>
              <w:top w:val="single" w:sz="8" w:color="auto"/>
              <w:bottom w:val="single" w:sz="8" w:color="auto"/>
            </w:tcBorders>
            <w:shd w:val="clear" w:color="auto" w:fill="D2EEF5"/>
          </w:tcPr>
          <w:p>
            <w:pPr>
              <w:jc w:val="right"/>
              <w:spacing w:after="0" w:line="182" w:lineRule="exact"/>
              <w:rPr>
                <w:sz w:val="20"/>
                <w:szCs w:val="20"/>
                <w:color w:val="auto"/>
              </w:rPr>
            </w:pPr>
            <w:r>
              <w:rPr>
                <w:rFonts w:ascii="Arial" w:cs="Arial" w:eastAsia="Arial" w:hAnsi="Arial"/>
                <w:sz w:val="18"/>
                <w:szCs w:val="18"/>
                <w:color w:val="auto"/>
              </w:rPr>
              <w:t>(6)</w:t>
            </w: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spacing w:after="0"/>
              <w:rPr>
                <w:sz w:val="17"/>
                <w:szCs w:val="17"/>
                <w:color w:val="auto"/>
              </w:rPr>
            </w:pPr>
          </w:p>
        </w:tc>
        <w:tc>
          <w:tcPr>
            <w:tcW w:w="1120" w:type="dxa"/>
            <w:vAlign w:val="bottom"/>
            <w:tcBorders>
              <w:top w:val="single" w:sz="8" w:color="auto"/>
              <w:bottom w:val="single" w:sz="8" w:color="D2EEF5"/>
            </w:tcBorders>
            <w:shd w:val="clear" w:color="auto" w:fill="D2EEF5"/>
          </w:tcPr>
          <w:p>
            <w:pPr>
              <w:spacing w:after="0"/>
              <w:rPr>
                <w:sz w:val="17"/>
                <w:szCs w:val="17"/>
                <w:color w:val="auto"/>
              </w:rPr>
            </w:pPr>
          </w:p>
        </w:tc>
        <w:tc>
          <w:tcPr>
            <w:tcW w:w="80" w:type="dxa"/>
            <w:vAlign w:val="bottom"/>
            <w:tcBorders>
              <w:top w:val="single" w:sz="8" w:color="D2EEF5"/>
              <w:left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spacing w:after="0"/>
              <w:rPr>
                <w:sz w:val="17"/>
                <w:szCs w:val="17"/>
                <w:color w:val="auto"/>
              </w:rPr>
            </w:pPr>
          </w:p>
        </w:tc>
        <w:tc>
          <w:tcPr>
            <w:tcW w:w="1120" w:type="dxa"/>
            <w:vAlign w:val="bottom"/>
            <w:tcBorders>
              <w:top w:val="single" w:sz="8" w:color="auto"/>
              <w:bottom w:val="single" w:sz="8" w:color="D2EEF5"/>
            </w:tcBorders>
            <w:shd w:val="clear" w:color="auto" w:fill="D2EEF5"/>
          </w:tcPr>
          <w:p>
            <w:pPr>
              <w:spacing w:after="0"/>
              <w:rPr>
                <w:sz w:val="17"/>
                <w:szCs w:val="17"/>
                <w:color w:val="auto"/>
              </w:rPr>
            </w:pPr>
          </w:p>
        </w:tc>
        <w:tc>
          <w:tcPr>
            <w:tcW w:w="80" w:type="dxa"/>
            <w:vAlign w:val="bottom"/>
            <w:tcBorders>
              <w:top w:val="single" w:sz="8" w:color="D2EEF5"/>
              <w:left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D2EEF5"/>
            </w:tcBorders>
            <w:shd w:val="clear" w:color="auto" w:fill="D2EEF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164,694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4" w:name="page95"/>
    <w:bookmarkEnd w:id="94"/>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0"/>
        </w:trPr>
        <w:tc>
          <w:tcPr>
            <w:tcW w:w="40" w:type="dxa"/>
            <w:vAlign w:val="bottom"/>
            <w:tcBorders>
              <w:top w:val="single" w:sz="8" w:color="D2EEF5"/>
              <w:bottom w:val="single" w:sz="8" w:color="D2EEF5"/>
            </w:tcBorders>
            <w:shd w:val="clear" w:color="auto" w:fill="D2EEF5"/>
          </w:tcPr>
          <w:p>
            <w:pPr>
              <w:spacing w:after="0"/>
              <w:rPr>
                <w:sz w:val="17"/>
                <w:szCs w:val="17"/>
                <w:color w:val="auto"/>
              </w:rPr>
            </w:pPr>
          </w:p>
        </w:tc>
        <w:tc>
          <w:tcPr>
            <w:tcW w:w="5280" w:type="dxa"/>
            <w:vAlign w:val="bottom"/>
            <w:tcBorders>
              <w:top w:val="single" w:sz="8" w:color="D2EEF5"/>
              <w:bottom w:val="single" w:sz="8" w:color="D2EEF5"/>
            </w:tcBorders>
            <w:shd w:val="clear" w:color="auto" w:fill="D2EEF5"/>
          </w:tcPr>
          <w:p>
            <w:pPr>
              <w:spacing w:after="0" w:line="196" w:lineRule="exact"/>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80" w:type="dxa"/>
            <w:vAlign w:val="bottom"/>
            <w:tcBorders>
              <w:top w:val="single" w:sz="8" w:color="auto"/>
              <w:bottom w:val="single" w:sz="8" w:color="D2EEF5"/>
            </w:tcBorders>
            <w:shd w:val="clear" w:color="auto" w:fill="D2EEF5"/>
          </w:tcPr>
          <w:p>
            <w:pPr>
              <w:spacing w:after="0"/>
              <w:rPr>
                <w:sz w:val="17"/>
                <w:szCs w:val="17"/>
                <w:color w:val="auto"/>
              </w:rPr>
            </w:pPr>
          </w:p>
        </w:tc>
        <w:tc>
          <w:tcPr>
            <w:tcW w:w="10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9,664</w:t>
            </w:r>
          </w:p>
        </w:tc>
        <w:tc>
          <w:tcPr>
            <w:tcW w:w="40" w:type="dxa"/>
            <w:vAlign w:val="bottom"/>
            <w:tcBorders>
              <w:top w:val="single" w:sz="8" w:color="auto"/>
              <w:bottom w:val="single" w:sz="8" w:color="D2EEF5"/>
            </w:tcBorders>
            <w:shd w:val="clear" w:color="auto" w:fill="D2EEF5"/>
          </w:tcPr>
          <w:p>
            <w:pPr>
              <w:spacing w:after="0"/>
              <w:rPr>
                <w:sz w:val="17"/>
                <w:szCs w:val="17"/>
                <w:color w:val="auto"/>
              </w:rPr>
            </w:pP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top w:val="single" w:sz="8" w:color="auto"/>
              <w:bottom w:val="single" w:sz="8" w:color="D2EEF5"/>
            </w:tcBorders>
            <w:shd w:val="clear" w:color="auto" w:fill="D2EEF5"/>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D2EEF5"/>
              <w:bottom w:val="single" w:sz="8" w:color="D2EEF5"/>
            </w:tcBorders>
            <w:shd w:val="clear" w:color="auto" w:fill="D2EEF5"/>
          </w:tcPr>
          <w:p>
            <w:pPr>
              <w:spacing w:after="0"/>
              <w:rPr>
                <w:sz w:val="17"/>
                <w:szCs w:val="17"/>
                <w:color w:val="auto"/>
              </w:rPr>
            </w:pPr>
          </w:p>
        </w:tc>
        <w:tc>
          <w:tcPr>
            <w:tcW w:w="60" w:type="dxa"/>
            <w:vAlign w:val="bottom"/>
            <w:tcBorders>
              <w:top w:val="single" w:sz="8" w:color="D2EEF5"/>
              <w:bottom w:val="single" w:sz="8" w:color="D2EEF5"/>
            </w:tcBorders>
            <w:shd w:val="clear" w:color="auto" w:fill="D2EEF5"/>
          </w:tcPr>
          <w:p>
            <w:pPr>
              <w:spacing w:after="0"/>
              <w:rPr>
                <w:sz w:val="17"/>
                <w:szCs w:val="17"/>
                <w:color w:val="auto"/>
              </w:rPr>
            </w:pPr>
          </w:p>
        </w:tc>
        <w:tc>
          <w:tcPr>
            <w:tcW w:w="14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rPr>
              <w:t>(1,491)</w:t>
            </w:r>
          </w:p>
        </w:tc>
        <w:tc>
          <w:tcPr>
            <w:tcW w:w="8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D2EEF5"/>
            </w:tcBorders>
            <w:shd w:val="clear" w:color="auto" w:fill="D2EEF5"/>
          </w:tcPr>
          <w:p>
            <w:pPr>
              <w:jc w:val="right"/>
              <w:spacing w:after="0" w:line="196" w:lineRule="exact"/>
              <w:rPr>
                <w:sz w:val="20"/>
                <w:szCs w:val="20"/>
                <w:color w:val="auto"/>
              </w:rPr>
            </w:pPr>
            <w:r>
              <w:rPr>
                <w:rFonts w:ascii="Arial" w:cs="Arial" w:eastAsia="Arial" w:hAnsi="Arial"/>
                <w:sz w:val="18"/>
                <w:szCs w:val="18"/>
                <w:color w:val="auto"/>
                <w:shd w:val="clear" w:color="auto" w:fill="D2EEF5"/>
              </w:rPr>
              <w:t>$</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D2EEF5"/>
            </w:tcBorders>
            <w:shd w:val="clear" w:color="auto" w:fill="D2EEF5"/>
          </w:tcPr>
          <w:p>
            <w:pPr>
              <w:jc w:val="right"/>
              <w:ind w:right="10"/>
              <w:spacing w:after="0" w:line="196" w:lineRule="exact"/>
              <w:rPr>
                <w:sz w:val="20"/>
                <w:szCs w:val="20"/>
                <w:color w:val="auto"/>
              </w:rPr>
            </w:pPr>
            <w:r>
              <w:rPr>
                <w:rFonts w:ascii="Arial" w:cs="Arial" w:eastAsia="Arial" w:hAnsi="Arial"/>
                <w:sz w:val="18"/>
                <w:szCs w:val="18"/>
                <w:color w:val="auto"/>
              </w:rPr>
              <w:t>8,173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103,645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80,606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63,795</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(11,608)</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52,187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49,212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25,005</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(5,667)</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19,338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2EEF5"/>
            </w:tcBorders>
          </w:tcPr>
          <w:p>
            <w:pPr>
              <w:spacing w:after="0"/>
              <w:rPr>
                <w:sz w:val="20"/>
                <w:szCs w:val="20"/>
                <w:color w:val="auto"/>
              </w:rPr>
            </w:pPr>
          </w:p>
        </w:tc>
        <w:tc>
          <w:tcPr>
            <w:tcW w:w="532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Bank subordinated debt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28,106</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D2EEF5"/>
          </w:tcPr>
          <w:p>
            <w:pPr>
              <w:spacing w:after="0"/>
              <w:rPr>
                <w:sz w:val="20"/>
                <w:szCs w:val="20"/>
                <w:color w:val="auto"/>
              </w:rPr>
            </w:pPr>
          </w:p>
        </w:tc>
        <w:tc>
          <w:tcPr>
            <w:tcW w:w="528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279,427</w:t>
            </w:r>
          </w:p>
        </w:tc>
        <w:tc>
          <w:tcPr>
            <w:tcW w:w="4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(50,342)</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229,329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Held-to-maturity:</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43,626</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D2EEF5"/>
            </w:tcBorders>
            <w:gridSpan w:val="2"/>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(5,322)</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38,306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62,735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D2EEF5"/>
            </w:tcBorders>
            <w:shd w:val="clear" w:color="auto" w:fill="D2EEF5"/>
          </w:tcPr>
          <w:p>
            <w:pPr>
              <w:spacing w:after="0"/>
              <w:rPr>
                <w:sz w:val="19"/>
                <w:szCs w:val="19"/>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43,784</w:t>
            </w:r>
          </w:p>
        </w:tc>
        <w:tc>
          <w:tcPr>
            <w:tcW w:w="4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D2EEF5"/>
            </w:tcBorders>
            <w:shd w:val="clear" w:color="auto" w:fill="D2EEF5"/>
          </w:tcPr>
          <w:p>
            <w:pPr>
              <w:spacing w:after="0"/>
              <w:rPr>
                <w:sz w:val="19"/>
                <w:szCs w:val="19"/>
                <w:color w:val="auto"/>
              </w:rPr>
            </w:pPr>
          </w:p>
        </w:tc>
        <w:tc>
          <w:tcPr>
            <w:tcW w:w="60" w:type="dxa"/>
            <w:vAlign w:val="bottom"/>
            <w:tcBorders>
              <w:bottom w:val="single" w:sz="8" w:color="D2EEF5"/>
            </w:tcBorders>
            <w:shd w:val="clear" w:color="auto" w:fill="D2EEF5"/>
          </w:tcPr>
          <w:p>
            <w:pPr>
              <w:spacing w:after="0"/>
              <w:rPr>
                <w:sz w:val="19"/>
                <w:szCs w:val="19"/>
                <w:color w:val="auto"/>
              </w:rPr>
            </w:pPr>
          </w:p>
        </w:tc>
        <w:tc>
          <w:tcPr>
            <w:tcW w:w="140" w:type="dxa"/>
            <w:vAlign w:val="bottom"/>
            <w:tcBorders>
              <w:bottom w:val="single" w:sz="8" w:color="D2EEF5"/>
            </w:tcBorders>
            <w:shd w:val="clear" w:color="auto" w:fill="D2EEF5"/>
          </w:tcPr>
          <w:p>
            <w:pPr>
              <w:spacing w:after="0"/>
              <w:rPr>
                <w:sz w:val="19"/>
                <w:szCs w:val="19"/>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39,599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2EEF5"/>
            </w:tcBorders>
            <w:shd w:val="clear" w:color="auto" w:fill="D2EEF5"/>
          </w:tcPr>
          <w:p>
            <w:pPr>
              <w:spacing w:after="0"/>
              <w:rPr>
                <w:sz w:val="20"/>
                <w:szCs w:val="20"/>
                <w:color w:val="auto"/>
              </w:rPr>
            </w:pPr>
          </w:p>
        </w:tc>
        <w:tc>
          <w:tcPr>
            <w:tcW w:w="52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Corporate bonds</w:t>
            </w:r>
          </w:p>
        </w:tc>
        <w:tc>
          <w:tcPr>
            <w:tcW w:w="4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0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9,398</w:t>
            </w:r>
          </w:p>
        </w:tc>
        <w:tc>
          <w:tcPr>
            <w:tcW w:w="40" w:type="dxa"/>
            <w:vAlign w:val="bottom"/>
            <w:tcBorders>
              <w:bottom w:val="single" w:sz="8" w:color="D2EEF5"/>
            </w:tcBorders>
            <w:shd w:val="clear" w:color="auto" w:fill="D2EEF5"/>
          </w:tcPr>
          <w:p>
            <w:pPr>
              <w:spacing w:after="0"/>
              <w:rPr>
                <w:sz w:val="20"/>
                <w:szCs w:val="20"/>
                <w:color w:val="auto"/>
              </w:rPr>
            </w:pPr>
          </w:p>
        </w:tc>
        <w:tc>
          <w:tcPr>
            <w:tcW w:w="8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116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D2EEF5"/>
            </w:tcBorders>
            <w:shd w:val="clear" w:color="auto" w:fill="D2EEF5"/>
          </w:tcPr>
          <w:p>
            <w:pPr>
              <w:spacing w:after="0"/>
              <w:rPr>
                <w:sz w:val="20"/>
                <w:szCs w:val="20"/>
                <w:color w:val="auto"/>
              </w:rPr>
            </w:pPr>
          </w:p>
        </w:tc>
        <w:tc>
          <w:tcPr>
            <w:tcW w:w="11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rPr>
              <w:t>8,671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40" w:type="dxa"/>
            <w:vAlign w:val="bottom"/>
            <w:tcBorders>
              <w:top w:val="single" w:sz="8" w:color="D2EEF5"/>
            </w:tcBorders>
          </w:tcPr>
          <w:p>
            <w:pPr>
              <w:spacing w:after="0"/>
              <w:rPr>
                <w:sz w:val="24"/>
                <w:szCs w:val="24"/>
                <w:color w:val="auto"/>
              </w:rPr>
            </w:pPr>
          </w:p>
        </w:tc>
        <w:tc>
          <w:tcPr>
            <w:tcW w:w="5280" w:type="dxa"/>
            <w:vAlign w:val="bottom"/>
            <w:tcBorders>
              <w:top w:val="single" w:sz="8" w:color="D2EEF5"/>
            </w:tcBorders>
          </w:tcPr>
          <w:p>
            <w:pPr>
              <w:spacing w:after="0"/>
              <w:rPr>
                <w:sz w:val="24"/>
                <w:szCs w:val="24"/>
                <w:color w:val="auto"/>
              </w:rPr>
            </w:pPr>
          </w:p>
        </w:tc>
        <w:tc>
          <w:tcPr>
            <w:tcW w:w="40" w:type="dxa"/>
            <w:vAlign w:val="bottom"/>
            <w:tcBorders>
              <w:top w:val="single" w:sz="8" w:color="D2EEF5"/>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174,982</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D2EEF5"/>
            </w:tcBorders>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D2EEF5"/>
            </w:tcBorders>
            <w:gridSpan w:val="2"/>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(19,822)</w:t>
            </w:r>
          </w:p>
        </w:tc>
        <w:tc>
          <w:tcPr>
            <w:tcW w:w="80" w:type="dxa"/>
            <w:vAlign w:val="bottom"/>
            <w:tcBorders>
              <w:top w:val="single" w:sz="8" w:color="D2EEF5"/>
            </w:tcBorders>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155,510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Borders>
              <w:top w:val="single" w:sz="8" w:color="D2EEF5"/>
            </w:tcBorders>
            <w:shd w:val="clear" w:color="auto" w:fill="D2EEF5"/>
          </w:tcPr>
          <w:p>
            <w:pPr>
              <w:spacing w:after="0"/>
              <w:rPr>
                <w:sz w:val="16"/>
                <w:szCs w:val="16"/>
                <w:color w:val="auto"/>
              </w:rPr>
            </w:pPr>
          </w:p>
        </w:tc>
        <w:tc>
          <w:tcPr>
            <w:tcW w:w="5280" w:type="dxa"/>
            <w:vAlign w:val="bottom"/>
            <w:tcBorders>
              <w:top w:val="single" w:sz="8" w:color="D2EEF5"/>
            </w:tcBorders>
            <w:shd w:val="clear" w:color="auto" w:fill="D2EEF5"/>
          </w:tcPr>
          <w:p>
            <w:pPr>
              <w:spacing w:after="0" w:line="189" w:lineRule="exact"/>
              <w:rPr>
                <w:sz w:val="20"/>
                <w:szCs w:val="20"/>
                <w:color w:val="auto"/>
              </w:rPr>
            </w:pPr>
            <w:r>
              <w:rPr>
                <w:rFonts w:ascii="Arial" w:cs="Arial" w:eastAsia="Arial" w:hAnsi="Arial"/>
                <w:sz w:val="18"/>
                <w:szCs w:val="18"/>
                <w:color w:val="auto"/>
              </w:rPr>
              <w:t>Allowance for credit losses - securities held-to-maturity</w:t>
            </w:r>
          </w:p>
        </w:tc>
        <w:tc>
          <w:tcPr>
            <w:tcW w:w="4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1040" w:type="dxa"/>
            <w:vAlign w:val="bottom"/>
            <w:tcBorders>
              <w:top w:val="single" w:sz="8" w:color="auto"/>
              <w:bottom w:val="single" w:sz="8" w:color="auto"/>
            </w:tcBorders>
            <w:shd w:val="clear" w:color="auto" w:fill="D2EEF5"/>
          </w:tcPr>
          <w:p>
            <w:pPr>
              <w:jc w:val="right"/>
              <w:spacing w:after="0" w:line="189" w:lineRule="exact"/>
              <w:rPr>
                <w:sz w:val="20"/>
                <w:szCs w:val="20"/>
                <w:color w:val="auto"/>
              </w:rPr>
            </w:pPr>
            <w:r>
              <w:rPr>
                <w:rFonts w:ascii="Arial" w:cs="Arial" w:eastAsia="Arial" w:hAnsi="Arial"/>
                <w:sz w:val="18"/>
                <w:szCs w:val="18"/>
                <w:color w:val="auto"/>
              </w:rPr>
              <w:t>(8)</w:t>
            </w:r>
          </w:p>
        </w:tc>
        <w:tc>
          <w:tcPr>
            <w:tcW w:w="4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auto"/>
            </w:tcBorders>
            <w:shd w:val="clear" w:color="auto" w:fill="D2EEF5"/>
          </w:tcPr>
          <w:p>
            <w:pPr>
              <w:spacing w:after="0"/>
              <w:rPr>
                <w:sz w:val="16"/>
                <w:szCs w:val="16"/>
                <w:color w:val="auto"/>
              </w:rPr>
            </w:pPr>
          </w:p>
        </w:tc>
        <w:tc>
          <w:tcPr>
            <w:tcW w:w="1160" w:type="dxa"/>
            <w:vAlign w:val="bottom"/>
            <w:tcBorders>
              <w:top w:val="single" w:sz="8" w:color="auto"/>
            </w:tcBorders>
            <w:shd w:val="clear" w:color="auto" w:fill="D2EEF5"/>
          </w:tcPr>
          <w:p>
            <w:pPr>
              <w:spacing w:after="0"/>
              <w:rPr>
                <w:sz w:val="16"/>
                <w:szCs w:val="16"/>
                <w:color w:val="auto"/>
              </w:rPr>
            </w:pPr>
          </w:p>
        </w:tc>
        <w:tc>
          <w:tcPr>
            <w:tcW w:w="2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auto"/>
            </w:tcBorders>
            <w:shd w:val="clear" w:color="auto" w:fill="D2EEF5"/>
          </w:tcPr>
          <w:p>
            <w:pPr>
              <w:spacing w:after="0"/>
              <w:rPr>
                <w:sz w:val="16"/>
                <w:szCs w:val="16"/>
                <w:color w:val="auto"/>
              </w:rPr>
            </w:pPr>
          </w:p>
        </w:tc>
        <w:tc>
          <w:tcPr>
            <w:tcW w:w="1160" w:type="dxa"/>
            <w:vAlign w:val="bottom"/>
            <w:tcBorders>
              <w:top w:val="single" w:sz="8" w:color="auto"/>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shd w:val="clear" w:color="auto" w:fill="D2EEF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3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174,974</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There were no investment securities that were transferred from AFS to HTM for the years ended December 31, 2024, and 2023.</w:t>
      </w:r>
    </w:p>
    <w:p>
      <w:pPr>
        <w:spacing w:after="0" w:line="151"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Transfers of debt securities into the HTM category from the AFS category are made at fair value as of the date of transfer. The unrealized gain or loss at the date of transfer is retained in AOCI and in the carrying value of the held-to-maturity securities. There was no impact to net income. Such amounts are amortized over the remaining life of the security. For the years ended December 31, 2024 and 2023, total amortization out of AOCI for the net unrealized losses on securities transferred from AFS to HTM in 2022 was $267 thousand and $251 thousand, respectively. In addition for these securities, the balance of the net unrealized losses retained in AOCI was $9.3 million at December 31, 2024 and $9.5 million at December 31, 2023.</w:t>
      </w:r>
    </w:p>
    <w:p>
      <w:pPr>
        <w:spacing w:after="0" w:line="18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proceeds, realized gross gains and realized gross losses on sales and calls of AFS debt securities for the years ended December 31, 2024 and 2023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0"/>
        </w:trPr>
        <w:tc>
          <w:tcPr>
            <w:tcW w:w="73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Proceeds from sales and call of securities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34,753</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24,185</w:t>
            </w:r>
          </w:p>
        </w:tc>
      </w:tr>
      <w:tr>
        <w:trPr>
          <w:trHeight w:val="240"/>
        </w:trPr>
        <w:tc>
          <w:tcPr>
            <w:tcW w:w="1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r>
      <w:tr>
        <w:trPr>
          <w:trHeight w:val="240"/>
        </w:trPr>
        <w:tc>
          <w:tcPr>
            <w:tcW w:w="73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Gross Gains</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w:t>
            </w:r>
          </w:p>
        </w:tc>
      </w:tr>
      <w:tr>
        <w:trPr>
          <w:trHeight w:val="240"/>
        </w:trPr>
        <w:tc>
          <w:tcPr>
            <w:tcW w:w="736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18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(1,862)</w:t>
            </w:r>
          </w:p>
        </w:tc>
      </w:tr>
      <w:tr>
        <w:trPr>
          <w:trHeight w:val="231"/>
        </w:trPr>
        <w:tc>
          <w:tcPr>
            <w:tcW w:w="140" w:type="dxa"/>
            <w:vAlign w:val="bottom"/>
            <w:tcBorders>
              <w:top w:val="single" w:sz="8" w:color="D2EEF5"/>
            </w:tcBorders>
            <w:shd w:val="clear" w:color="auto" w:fill="D2EEF5"/>
          </w:tcPr>
          <w:p>
            <w:pPr>
              <w:spacing w:after="0"/>
              <w:rPr>
                <w:sz w:val="20"/>
                <w:szCs w:val="20"/>
                <w:color w:val="auto"/>
              </w:rPr>
            </w:pPr>
          </w:p>
        </w:tc>
        <w:tc>
          <w:tcPr>
            <w:tcW w:w="722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Net realized gains (losses)</w:t>
            </w: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bottom w:val="single" w:sz="8" w:color="auto"/>
            </w:tcBorders>
            <w:shd w:val="clear" w:color="auto" w:fill="D2EEF5"/>
          </w:tcPr>
          <w:p>
            <w:pPr>
              <w:spacing w:after="0"/>
              <w:rPr>
                <w:sz w:val="20"/>
                <w:szCs w:val="20"/>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(1,859)</w:t>
            </w:r>
          </w:p>
        </w:tc>
      </w:tr>
      <w:tr>
        <w:trPr>
          <w:trHeight w:val="20"/>
        </w:trPr>
        <w:tc>
          <w:tcPr>
            <w:tcW w:w="1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5" w:name="page96"/>
    <w:bookmarkEnd w:id="95"/>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Available-for-sale</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Held-to-maturity</w:t>
            </w:r>
          </w:p>
        </w:tc>
      </w:tr>
      <w:tr>
        <w:trPr>
          <w:trHeight w:val="207"/>
        </w:trPr>
        <w:tc>
          <w:tcPr>
            <w:tcW w:w="5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5580" w:type="dxa"/>
            <w:vAlign w:val="bottom"/>
            <w:tcBorders>
              <w:bottom w:val="single" w:sz="8" w:color="D2EEF5"/>
            </w:tcBorders>
          </w:tcPr>
          <w:p>
            <w:pPr>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6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r>
      <w:tr>
        <w:trPr>
          <w:trHeight w:val="220"/>
        </w:trPr>
        <w:tc>
          <w:tcPr>
            <w:tcW w:w="5580" w:type="dxa"/>
            <w:vAlign w:val="bottom"/>
            <w:shd w:val="clear" w:color="auto" w:fill="D2EEF5"/>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gridSpan w:val="3"/>
            <w:shd w:val="clear" w:color="auto" w:fill="D2EEF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8,829</w:t>
            </w:r>
          </w:p>
        </w:tc>
      </w:tr>
      <w:tr>
        <w:trPr>
          <w:trHeight w:val="240"/>
        </w:trPr>
        <w:tc>
          <w:tcPr>
            <w:tcW w:w="5580" w:type="dxa"/>
            <w:vAlign w:val="bottom"/>
            <w:shd w:val="clear" w:color="auto" w:fill="D2EEF5"/>
          </w:tcPr>
          <w:p>
            <w:pPr>
              <w:spacing w:after="0"/>
              <w:rPr>
                <w:sz w:val="20"/>
                <w:szCs w:val="20"/>
                <w:color w:val="auto"/>
              </w:rPr>
            </w:pPr>
            <w:r>
              <w:rPr>
                <w:rFonts w:ascii="Arial" w:cs="Arial" w:eastAsia="Arial" w:hAnsi="Arial"/>
                <w:sz w:val="18"/>
                <w:szCs w:val="18"/>
                <w:color w:val="auto"/>
              </w:rPr>
              <w:t>Due after five years through ten years</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42,068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36,788</w:t>
            </w: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Due after ten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14,279</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12,625</w:t>
            </w: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42,538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37,444</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56,987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49,259</w:t>
            </w:r>
          </w:p>
        </w:tc>
      </w:tr>
      <w:tr>
        <w:trPr>
          <w:trHeight w:val="240"/>
        </w:trPr>
        <w:tc>
          <w:tcPr>
            <w:tcW w:w="5580" w:type="dxa"/>
            <w:vAlign w:val="bottom"/>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58,995</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46,933</w:t>
            </w: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40,681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36,121</w:t>
            </w:r>
          </w:p>
        </w:tc>
      </w:tr>
      <w:tr>
        <w:trPr>
          <w:trHeight w:val="240"/>
        </w:trPr>
        <w:tc>
          <w:tcPr>
            <w:tcW w:w="558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Mortgage-backed securities - commercial</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86,604</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78,739</w:t>
            </w: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r>
      <w:tr>
        <w:trPr>
          <w:trHeight w:val="236"/>
        </w:trPr>
        <w:tc>
          <w:tcPr>
            <w:tcW w:w="5580" w:type="dxa"/>
            <w:vAlign w:val="bottom"/>
            <w:shd w:val="clear" w:color="auto" w:fill="D2EEF5"/>
          </w:tcPr>
          <w:p>
            <w:pPr>
              <w:spacing w:after="0"/>
              <w:rPr>
                <w:sz w:val="20"/>
                <w:szCs w:val="20"/>
                <w:color w:val="auto"/>
              </w:rPr>
            </w:pPr>
          </w:p>
        </w:tc>
        <w:tc>
          <w:tcPr>
            <w:tcW w:w="220" w:type="dxa"/>
            <w:vAlign w:val="bottom"/>
            <w:gridSpan w:val="3"/>
            <w:shd w:val="clear" w:color="auto" w:fill="D2EEF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310,925</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260,221</w:t>
            </w: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164,700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145,540</w:t>
            </w: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At December 31, 2024 and 2023, there were no securities to any one issuer, in an amount greater than 10% of total stockholders’ equity other than the U.S. Government and U.S. Government Agencies. All the collateralized mortgage obligations and mortgage-backed securities are issued by U.S. sponsored entities at December 31, 2024 and 2023.</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Information pertaining to investment securities both AFS and HTM with gross unrealized losses, aggregated by investment category and length of time that those individual securities have been in a continuous loss position, are presented as of the following dates (in thousands):</w:t>
      </w:r>
    </w:p>
    <w:p>
      <w:pPr>
        <w:sectPr>
          <w:pgSz w:w="12240" w:h="15877"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line="279" w:lineRule="auto"/>
        <w:rPr>
          <w:sz w:val="20"/>
          <w:szCs w:val="20"/>
          <w:color w:val="auto"/>
        </w:rPr>
      </w:pPr>
      <w:r>
        <w:rPr>
          <w:rFonts w:ascii="Arial" w:cs="Arial" w:eastAsia="Arial" w:hAnsi="Arial"/>
          <w:sz w:val="18"/>
          <w:szCs w:val="18"/>
          <w:color w:val="auto"/>
        </w:rPr>
        <w:t xml:space="preserve">U.S. Government Agency Collateralized mortgage obligations </w:t>
      </w:r>
      <w:r>
        <w:rPr>
          <w:rFonts w:ascii="Arial" w:cs="Arial" w:eastAsia="Arial" w:hAnsi="Arial"/>
          <w:sz w:val="18"/>
          <w:szCs w:val="18"/>
          <w:color w:val="auto"/>
          <w:shd w:val="clear" w:color="auto" w:fill="D2EEF5"/>
        </w:rPr>
        <w:t xml:space="preserve">Mortgage-backed securities - residential </w:t>
      </w:r>
      <w:r>
        <w:rPr>
          <w:rFonts w:ascii="Arial" w:cs="Arial" w:eastAsia="Arial" w:hAnsi="Arial"/>
          <w:sz w:val="18"/>
          <w:szCs w:val="18"/>
          <w:color w:val="auto"/>
        </w:rPr>
        <w:t>Mortgage-backed securities - commercial Municipal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-763270</wp:posOffset>
                </wp:positionV>
                <wp:extent cx="3081655" cy="15494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1655" cy="154940"/>
                        </a:xfrm>
                        <a:prstGeom prst="rect">
                          <a:avLst/>
                        </a:prstGeom>
                        <a:solidFill>
                          <a:srgbClr val="D2EEF5"/>
                        </a:solidFill>
                      </wps:spPr>
                      <wps:bodyPr/>
                    </wps:wsp>
                  </a:graphicData>
                </a:graphic>
              </wp:anchor>
            </w:drawing>
          </mc:Choice>
          <mc:Fallback>
            <w:pict>
              <v:rect id="Shape 57" o:spid="_x0000_s1082" style="position:absolute;margin-left:0pt;margin-top:-60.0999pt;width:242.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-751840</wp:posOffset>
                </wp:positionV>
                <wp:extent cx="2106295" cy="13144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6295" cy="131445"/>
                        </a:xfrm>
                        <a:prstGeom prst="rect">
                          <a:avLst/>
                        </a:prstGeom>
                        <a:solidFill>
                          <a:srgbClr val="D2EEF5"/>
                        </a:solidFill>
                      </wps:spPr>
                      <wps:bodyPr/>
                    </wps:wsp>
                  </a:graphicData>
                </a:graphic>
              </wp:anchor>
            </w:drawing>
          </mc:Choice>
          <mc:Fallback>
            <w:pict>
              <v:rect id="Shape 58" o:spid="_x0000_s1083" style="position:absolute;margin-left:2pt;margin-top:-59.1999pt;width:165.8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-767080</wp:posOffset>
                </wp:positionV>
                <wp:extent cx="215773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57730" cy="4763"/>
                        </a:xfrm>
                        <a:prstGeom prst="line">
                          <a:avLst/>
                        </a:prstGeom>
                        <a:solidFill>
                          <a:srgbClr val="FFFFFF"/>
                        </a:solidFill>
                        <a:ln w="6108">
                          <a:solidFill>
                            <a:srgbClr val="D2EEF5"/>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3999pt" to="169.9pt,-60.3999pt" o:allowincell="f" strokecolor="#D2EEF5" strokeweight="0.48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-455930</wp:posOffset>
                </wp:positionV>
                <wp:extent cx="3081655" cy="1524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1655" cy="152400"/>
                        </a:xfrm>
                        <a:prstGeom prst="rect">
                          <a:avLst/>
                        </a:prstGeom>
                        <a:solidFill>
                          <a:srgbClr val="D2EEF5"/>
                        </a:solidFill>
                      </wps:spPr>
                      <wps:bodyPr/>
                    </wps:wsp>
                  </a:graphicData>
                </a:graphic>
              </wp:anchor>
            </w:drawing>
          </mc:Choice>
          <mc:Fallback>
            <w:pict>
              <v:rect id="Shape 60" o:spid="_x0000_s1085" style="position:absolute;margin-left:0pt;margin-top:-35.8999pt;width:242.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3081655" cy="15176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1655" cy="151765"/>
                        </a:xfrm>
                        <a:prstGeom prst="rect">
                          <a:avLst/>
                        </a:prstGeom>
                        <a:solidFill>
                          <a:srgbClr val="D2EEF5"/>
                        </a:solidFill>
                      </wps:spPr>
                      <wps:bodyPr/>
                    </wps:wsp>
                  </a:graphicData>
                </a:graphic>
              </wp:anchor>
            </w:drawing>
          </mc:Choice>
          <mc:Fallback>
            <w:pict>
              <v:rect id="Shape 61" o:spid="_x0000_s1086" style="position:absolute;margin-left:0pt;margin-top:-11.8999pt;width:242.6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-140335</wp:posOffset>
                </wp:positionV>
                <wp:extent cx="2106295" cy="13081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6295" cy="130810"/>
                        </a:xfrm>
                        <a:prstGeom prst="rect">
                          <a:avLst/>
                        </a:prstGeom>
                        <a:solidFill>
                          <a:srgbClr val="D2EEF5"/>
                        </a:solidFill>
                      </wps:spPr>
                      <wps:bodyPr/>
                    </wps:wsp>
                  </a:graphicData>
                </a:graphic>
              </wp:anchor>
            </w:drawing>
          </mc:Choice>
          <mc:Fallback>
            <w:pict>
              <v:rect id="Shape 62" o:spid="_x0000_s1087" style="position:absolute;margin-left:2pt;margin-top:-11.0499pt;width:165.8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40" w:right="580"/>
        <w:spacing w:after="0" w:line="316" w:lineRule="auto"/>
        <w:rPr>
          <w:sz w:val="20"/>
          <w:szCs w:val="20"/>
          <w:color w:val="auto"/>
        </w:rPr>
      </w:pPr>
      <w:r>
        <w:rPr>
          <w:rFonts w:ascii="Arial" w:cs="Arial" w:eastAsia="Arial" w:hAnsi="Arial"/>
          <w:sz w:val="18"/>
          <w:szCs w:val="18"/>
          <w:color w:val="auto"/>
        </w:rPr>
        <w:t>Bank subordinated debt securities Corporate bonds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-194945</wp:posOffset>
                </wp:positionV>
                <wp:extent cx="3081655" cy="15240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1655" cy="152400"/>
                        </a:xfrm>
                        <a:prstGeom prst="rect">
                          <a:avLst/>
                        </a:prstGeom>
                        <a:solidFill>
                          <a:srgbClr val="D2EEF5"/>
                        </a:solidFill>
                      </wps:spPr>
                      <wps:bodyPr/>
                    </wps:wsp>
                  </a:graphicData>
                </a:graphic>
              </wp:anchor>
            </w:drawing>
          </mc:Choice>
          <mc:Fallback>
            <w:pict>
              <v:rect id="Shape 63" o:spid="_x0000_s1088" style="position:absolute;margin-left:0pt;margin-top:-15.3499pt;width:242.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-184785</wp:posOffset>
                </wp:positionV>
                <wp:extent cx="2106295" cy="13144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6295" cy="131445"/>
                        </a:xfrm>
                        <a:prstGeom prst="rect">
                          <a:avLst/>
                        </a:prstGeom>
                        <a:solidFill>
                          <a:srgbClr val="D2EEF5"/>
                        </a:solidFill>
                      </wps:spPr>
                      <wps:bodyPr/>
                    </wps:wsp>
                  </a:graphicData>
                </a:graphic>
              </wp:anchor>
            </w:drawing>
          </mc:Choice>
          <mc:Fallback>
            <w:pict>
              <v:rect id="Shape 64" o:spid="_x0000_s1089" style="position:absolute;margin-left:2pt;margin-top:-14.5499pt;width:165.8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15875</wp:posOffset>
                </wp:positionV>
                <wp:extent cx="469963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63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25pt" to="370pt,1.25pt" o:allowincell="f" strokecolor="#000000" strokeweight="0.480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12 months or more</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Unrealize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Unrealize</w:t>
            </w:r>
          </w:p>
        </w:tc>
      </w:tr>
      <w:tr>
        <w:trPr>
          <w:trHeight w:val="255"/>
        </w:trPr>
        <w:tc>
          <w:tcPr>
            <w:tcW w:w="40" w:type="dxa"/>
            <w:vAlign w:val="bottom"/>
          </w:tcPr>
          <w:p>
            <w:pPr>
              <w:spacing w:after="0"/>
              <w:rPr>
                <w:sz w:val="22"/>
                <w:szCs w:val="22"/>
                <w:color w:val="auto"/>
              </w:rPr>
            </w:pPr>
          </w:p>
        </w:tc>
        <w:tc>
          <w:tcPr>
            <w:tcW w:w="128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Losses</w:t>
            </w:r>
          </w:p>
        </w:tc>
        <w:tc>
          <w:tcPr>
            <w:tcW w:w="280" w:type="dxa"/>
            <w:vAlign w:val="bottom"/>
          </w:tcPr>
          <w:p>
            <w:pPr>
              <w:spacing w:after="0"/>
              <w:rPr>
                <w:sz w:val="22"/>
                <w:szCs w:val="22"/>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2"/>
                <w:szCs w:val="22"/>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 Losses</w:t>
            </w:r>
          </w:p>
        </w:tc>
        <w:tc>
          <w:tcPr>
            <w:tcW w:w="280" w:type="dxa"/>
            <w:vAlign w:val="bottom"/>
          </w:tcPr>
          <w:p>
            <w:pPr>
              <w:spacing w:after="0"/>
              <w:rPr>
                <w:sz w:val="22"/>
                <w:szCs w:val="22"/>
                <w:color w:val="auto"/>
              </w:rPr>
            </w:pP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2"/>
                <w:szCs w:val="22"/>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 Losses</w:t>
            </w:r>
          </w:p>
        </w:tc>
      </w:tr>
      <w:tr>
        <w:trPr>
          <w:trHeight w:val="206"/>
        </w:trPr>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5"/>
                <w:szCs w:val="15"/>
                <w:color w:val="auto"/>
                <w:w w:val="71"/>
                <w:shd w:val="clear" w:color="auto" w:fill="D2EEF5"/>
              </w:rPr>
              <w:t>$</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D2EEF5"/>
              <w:right w:val="single" w:sz="8" w:color="D2EEF5"/>
            </w:tcBorders>
          </w:tcPr>
          <w:p>
            <w:pPr>
              <w:spacing w:after="0"/>
              <w:rPr>
                <w:sz w:val="17"/>
                <w:szCs w:val="17"/>
                <w:color w:val="auto"/>
              </w:rPr>
            </w:pPr>
          </w:p>
        </w:tc>
        <w:tc>
          <w:tcPr>
            <w:tcW w:w="100" w:type="dxa"/>
            <w:vAlign w:val="bottom"/>
            <w:tcBorders>
              <w:top w:val="single" w:sz="8" w:color="auto"/>
            </w:tcBorders>
            <w:shd w:val="clear" w:color="auto" w:fill="D2EEF5"/>
          </w:tcPr>
          <w:p>
            <w:pPr>
              <w:spacing w:after="0"/>
              <w:rPr>
                <w:sz w:val="20"/>
                <w:szCs w:val="20"/>
                <w:color w:val="auto"/>
              </w:rPr>
            </w:pPr>
            <w:r>
              <w:rPr>
                <w:rFonts w:ascii="Arial" w:cs="Arial" w:eastAsia="Arial" w:hAnsi="Arial"/>
                <w:sz w:val="18"/>
                <w:szCs w:val="18"/>
                <w:color w:val="auto"/>
                <w:w w:val="79"/>
                <w:shd w:val="clear" w:color="auto" w:fill="D2EEF5"/>
              </w:rPr>
              <w:t>$</w:t>
            </w:r>
          </w:p>
        </w:tc>
        <w:tc>
          <w:tcPr>
            <w:tcW w:w="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8"/>
                <w:szCs w:val="18"/>
                <w:color w:val="auto"/>
              </w:rPr>
              <w:t>(76)</w:t>
            </w:r>
          </w:p>
        </w:tc>
        <w:tc>
          <w:tcPr>
            <w:tcW w:w="40" w:type="dxa"/>
            <w:vAlign w:val="bottom"/>
            <w:tcBorders>
              <w:top w:val="single" w:sz="8" w:color="auto"/>
            </w:tcBorders>
            <w:shd w:val="clear" w:color="auto" w:fill="D2EEF5"/>
          </w:tcPr>
          <w:p>
            <w:pPr>
              <w:spacing w:after="0"/>
              <w:rPr>
                <w:sz w:val="17"/>
                <w:szCs w:val="17"/>
                <w:color w:val="auto"/>
              </w:rPr>
            </w:pPr>
          </w:p>
        </w:tc>
        <w:tc>
          <w:tcPr>
            <w:tcW w:w="280" w:type="dxa"/>
            <w:vAlign w:val="bottom"/>
            <w:tcBorders>
              <w:top w:val="single" w:sz="8" w:color="D2EEF5"/>
            </w:tcBorders>
            <w:shd w:val="clear" w:color="auto" w:fill="D2EEF5"/>
          </w:tcPr>
          <w:p>
            <w:pPr>
              <w:spacing w:after="0"/>
              <w:rPr>
                <w:sz w:val="17"/>
                <w:szCs w:val="17"/>
                <w:color w:val="auto"/>
              </w:rPr>
            </w:pPr>
          </w:p>
        </w:tc>
        <w:tc>
          <w:tcPr>
            <w:tcW w:w="220" w:type="dxa"/>
            <w:vAlign w:val="bottom"/>
            <w:tcBorders>
              <w:top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780" w:type="dxa"/>
            <w:vAlign w:val="bottom"/>
            <w:tcBorders>
              <w:top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44,895</w:t>
            </w:r>
          </w:p>
        </w:tc>
        <w:tc>
          <w:tcPr>
            <w:tcW w:w="28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160" w:type="dxa"/>
            <w:vAlign w:val="bottom"/>
            <w:tcBorders>
              <w:top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w w:val="99"/>
                <w:shd w:val="clear" w:color="auto" w:fill="D2EEF5"/>
              </w:rPr>
              <w:t>$</w:t>
            </w:r>
          </w:p>
        </w:tc>
        <w:tc>
          <w:tcPr>
            <w:tcW w:w="8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(7,817)</w:t>
            </w:r>
          </w:p>
        </w:tc>
        <w:tc>
          <w:tcPr>
            <w:tcW w:w="280" w:type="dxa"/>
            <w:vAlign w:val="bottom"/>
            <w:tcBorders>
              <w:top w:val="single" w:sz="8" w:color="D2EEF5"/>
            </w:tcBorders>
            <w:shd w:val="clear" w:color="auto" w:fill="D2EEF5"/>
          </w:tcPr>
          <w:p>
            <w:pPr>
              <w:spacing w:after="0"/>
              <w:rPr>
                <w:sz w:val="17"/>
                <w:szCs w:val="17"/>
                <w:color w:val="auto"/>
              </w:rPr>
            </w:pPr>
          </w:p>
        </w:tc>
        <w:tc>
          <w:tcPr>
            <w:tcW w:w="220" w:type="dxa"/>
            <w:vAlign w:val="bottom"/>
            <w:tcBorders>
              <w:top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6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49,363</w:t>
            </w:r>
          </w:p>
        </w:tc>
        <w:tc>
          <w:tcPr>
            <w:tcW w:w="100" w:type="dxa"/>
            <w:vAlign w:val="bottom"/>
            <w:tcBorders>
              <w:top w:val="single" w:sz="8" w:color="auto"/>
            </w:tcBorders>
            <w:shd w:val="clear" w:color="auto" w:fill="D2EEF5"/>
          </w:tcPr>
          <w:p>
            <w:pPr>
              <w:spacing w:after="0"/>
              <w:rPr>
                <w:sz w:val="17"/>
                <w:szCs w:val="17"/>
                <w:color w:val="auto"/>
              </w:rPr>
            </w:pPr>
          </w:p>
        </w:tc>
        <w:tc>
          <w:tcPr>
            <w:tcW w:w="28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tcBorders>
            <w:shd w:val="clear" w:color="auto" w:fill="D2EEF5"/>
          </w:tcPr>
          <w:p>
            <w:pPr>
              <w:spacing w:after="0"/>
              <w:rPr>
                <w:sz w:val="17"/>
                <w:szCs w:val="17"/>
                <w:color w:val="auto"/>
              </w:rPr>
            </w:pPr>
          </w:p>
        </w:tc>
        <w:tc>
          <w:tcPr>
            <w:tcW w:w="200" w:type="dxa"/>
            <w:vAlign w:val="bottom"/>
            <w:tcBorders>
              <w:top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7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(7,893)</w:t>
            </w:r>
          </w:p>
        </w:tc>
      </w:tr>
      <w:tr>
        <w:trPr>
          <w:trHeight w:val="254"/>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Borders>
              <w:bottom w:val="single" w:sz="8" w:color="D2EEF5"/>
            </w:tcBorders>
            <w:gridSpan w:val="3"/>
          </w:tcPr>
          <w:p>
            <w:pPr>
              <w:jc w:val="right"/>
              <w:ind w:right="4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122,210</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60" w:type="dxa"/>
            <w:vAlign w:val="bottom"/>
            <w:tcBorders>
              <w:bottom w:val="single" w:sz="8" w:color="D2EEF5"/>
            </w:tcBorders>
          </w:tcPr>
          <w:p>
            <w:pPr>
              <w:spacing w:after="0"/>
              <w:rPr>
                <w:sz w:val="22"/>
                <w:szCs w:val="22"/>
                <w:color w:val="auto"/>
              </w:rPr>
            </w:pPr>
          </w:p>
        </w:tc>
        <w:tc>
          <w:tcPr>
            <w:tcW w:w="8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(34,998)</w:t>
            </w: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gridSpan w:val="2"/>
          </w:tcPr>
          <w:p>
            <w:pPr>
              <w:jc w:val="right"/>
              <w:ind w:right="10"/>
              <w:spacing w:after="0"/>
              <w:rPr>
                <w:sz w:val="20"/>
                <w:szCs w:val="20"/>
                <w:color w:val="auto"/>
              </w:rPr>
            </w:pPr>
            <w:r>
              <w:rPr>
                <w:rFonts w:ascii="Arial" w:cs="Arial" w:eastAsia="Arial" w:hAnsi="Arial"/>
                <w:sz w:val="18"/>
                <w:szCs w:val="18"/>
                <w:color w:val="auto"/>
              </w:rPr>
              <w:t>125,311</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(35,021)</w:t>
            </w:r>
          </w:p>
        </w:tc>
      </w:tr>
      <w:tr>
        <w:trPr>
          <w:trHeight w:val="20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7"/>
                <w:szCs w:val="17"/>
                <w:color w:val="auto"/>
              </w:rPr>
            </w:pPr>
          </w:p>
        </w:tc>
        <w:tc>
          <w:tcPr>
            <w:tcW w:w="320" w:type="dxa"/>
            <w:vAlign w:val="bottom"/>
            <w:tcBorders>
              <w:right w:val="single" w:sz="8" w:color="D2EEF5"/>
            </w:tcBorders>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78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78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76,935</w:t>
            </w: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(19,031)</w:t>
            </w:r>
          </w:p>
        </w:tc>
        <w:tc>
          <w:tcPr>
            <w:tcW w:w="2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81,693</w:t>
            </w:r>
          </w:p>
        </w:tc>
        <w:tc>
          <w:tcPr>
            <w:tcW w:w="10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(19,123)</w:t>
            </w:r>
          </w:p>
        </w:tc>
      </w:tr>
      <w:tr>
        <w:trPr>
          <w:trHeight w:val="254"/>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48,433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Borders>
              <w:bottom w:val="single" w:sz="8" w:color="D2EEF5"/>
            </w:tcBorders>
            <w:gridSpan w:val="3"/>
          </w:tcPr>
          <w:p>
            <w:pPr>
              <w:jc w:val="right"/>
              <w:ind w:right="40"/>
              <w:spacing w:after="0"/>
              <w:rPr>
                <w:sz w:val="20"/>
                <w:szCs w:val="20"/>
                <w:color w:val="auto"/>
              </w:rPr>
            </w:pPr>
            <w:r>
              <w:rPr>
                <w:rFonts w:ascii="Arial" w:cs="Arial" w:eastAsia="Arial" w:hAnsi="Arial"/>
                <w:sz w:val="18"/>
                <w:szCs w:val="18"/>
                <w:color w:val="auto"/>
              </w:rPr>
              <w:t>(1,422)</w:t>
            </w: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37,739</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60" w:type="dxa"/>
            <w:vAlign w:val="bottom"/>
            <w:tcBorders>
              <w:bottom w:val="single" w:sz="8" w:color="D2EEF5"/>
            </w:tcBorders>
          </w:tcPr>
          <w:p>
            <w:pPr>
              <w:spacing w:after="0"/>
              <w:rPr>
                <w:sz w:val="22"/>
                <w:szCs w:val="22"/>
                <w:color w:val="auto"/>
              </w:rPr>
            </w:pPr>
          </w:p>
        </w:tc>
        <w:tc>
          <w:tcPr>
            <w:tcW w:w="8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(9,312)</w:t>
            </w: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gridSpan w:val="2"/>
          </w:tcPr>
          <w:p>
            <w:pPr>
              <w:jc w:val="right"/>
              <w:ind w:right="10"/>
              <w:spacing w:after="0"/>
              <w:rPr>
                <w:sz w:val="20"/>
                <w:szCs w:val="20"/>
                <w:color w:val="auto"/>
              </w:rPr>
            </w:pPr>
            <w:r>
              <w:rPr>
                <w:rFonts w:ascii="Arial" w:cs="Arial" w:eastAsia="Arial" w:hAnsi="Arial"/>
                <w:sz w:val="18"/>
                <w:szCs w:val="18"/>
                <w:color w:val="auto"/>
              </w:rPr>
              <w:t>86,172</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(10,734)</w:t>
            </w:r>
          </w:p>
        </w:tc>
      </w:tr>
      <w:tr>
        <w:trPr>
          <w:trHeight w:val="20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right w:val="single" w:sz="8" w:color="D2EEF5"/>
            </w:tcBorders>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7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78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19,311</w:t>
            </w: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(5,613)</w:t>
            </w:r>
          </w:p>
        </w:tc>
        <w:tc>
          <w:tcPr>
            <w:tcW w:w="2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19,311</w:t>
            </w:r>
          </w:p>
        </w:tc>
        <w:tc>
          <w:tcPr>
            <w:tcW w:w="10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(5,613)</w:t>
            </w:r>
          </w:p>
        </w:tc>
      </w:tr>
      <w:tr>
        <w:trPr>
          <w:trHeight w:val="254"/>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14,352</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60" w:type="dxa"/>
            <w:vAlign w:val="bottom"/>
            <w:tcBorders>
              <w:bottom w:val="single" w:sz="8" w:color="D2EEF5"/>
            </w:tcBorders>
          </w:tcPr>
          <w:p>
            <w:pPr>
              <w:spacing w:after="0"/>
              <w:rPr>
                <w:sz w:val="22"/>
                <w:szCs w:val="22"/>
                <w:color w:val="auto"/>
              </w:rPr>
            </w:pPr>
          </w:p>
        </w:tc>
        <w:tc>
          <w:tcPr>
            <w:tcW w:w="8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(1,044)</w:t>
            </w:r>
          </w:p>
        </w:tc>
        <w:tc>
          <w:tcPr>
            <w:tcW w:w="280" w:type="dxa"/>
            <w:vAlign w:val="bottom"/>
            <w:tcBorders>
              <w:bottom w:val="single" w:sz="8" w:color="D2EEF5"/>
            </w:tcBorders>
          </w:tcPr>
          <w:p>
            <w:pPr>
              <w:spacing w:after="0"/>
              <w:rPr>
                <w:sz w:val="22"/>
                <w:szCs w:val="22"/>
                <w:color w:val="auto"/>
              </w:rPr>
            </w:pPr>
          </w:p>
        </w:tc>
        <w:tc>
          <w:tcPr>
            <w:tcW w:w="22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gridSpan w:val="2"/>
          </w:tcPr>
          <w:p>
            <w:pPr>
              <w:jc w:val="right"/>
              <w:ind w:right="10"/>
              <w:spacing w:after="0"/>
              <w:rPr>
                <w:sz w:val="20"/>
                <w:szCs w:val="20"/>
                <w:color w:val="auto"/>
              </w:rPr>
            </w:pPr>
            <w:r>
              <w:rPr>
                <w:rFonts w:ascii="Arial" w:cs="Arial" w:eastAsia="Arial" w:hAnsi="Arial"/>
                <w:sz w:val="18"/>
                <w:szCs w:val="18"/>
                <w:color w:val="auto"/>
              </w:rPr>
              <w:t>14,352</w:t>
            </w:r>
          </w:p>
        </w:tc>
        <w:tc>
          <w:tcPr>
            <w:tcW w:w="28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tcPr>
          <w:p>
            <w:pPr>
              <w:spacing w:after="0"/>
              <w:rPr>
                <w:sz w:val="22"/>
                <w:szCs w:val="22"/>
                <w:color w:val="auto"/>
              </w:rPr>
            </w:pPr>
          </w:p>
        </w:tc>
        <w:tc>
          <w:tcPr>
            <w:tcW w:w="78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(1,044)</w:t>
            </w:r>
          </w:p>
        </w:tc>
      </w:tr>
      <w:tr>
        <w:trPr>
          <w:trHeight w:val="206"/>
        </w:trPr>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320" w:type="dxa"/>
            <w:vAlign w:val="bottom"/>
            <w:tcBorders>
              <w:right w:val="single" w:sz="8" w:color="D2EEF5"/>
            </w:tcBorders>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40" w:type="dxa"/>
            <w:vAlign w:val="bottom"/>
            <w:tcBorders>
              <w:bottom w:val="single" w:sz="8" w:color="auto"/>
            </w:tcBorders>
            <w:shd w:val="clear" w:color="auto" w:fill="D2EEF5"/>
          </w:tcPr>
          <w:p>
            <w:pPr>
              <w:spacing w:after="0"/>
              <w:rPr>
                <w:sz w:val="17"/>
                <w:szCs w:val="17"/>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2EEF5"/>
          </w:tcPr>
          <w:p>
            <w:pPr>
              <w:spacing w:after="0"/>
              <w:rPr>
                <w:sz w:val="17"/>
                <w:szCs w:val="17"/>
                <w:color w:val="auto"/>
              </w:rPr>
            </w:pPr>
          </w:p>
        </w:tc>
        <w:tc>
          <w:tcPr>
            <w:tcW w:w="40" w:type="dxa"/>
            <w:vAlign w:val="bottom"/>
            <w:tcBorders>
              <w:bottom w:val="single" w:sz="8" w:color="auto"/>
            </w:tcBorders>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20" w:type="dxa"/>
            <w:vAlign w:val="bottom"/>
            <w:tcBorders>
              <w:bottom w:val="single" w:sz="8" w:color="auto"/>
            </w:tcBorders>
            <w:shd w:val="clear" w:color="auto" w:fill="D2EEF5"/>
          </w:tcPr>
          <w:p>
            <w:pPr>
              <w:spacing w:after="0"/>
              <w:rPr>
                <w:sz w:val="17"/>
                <w:szCs w:val="17"/>
                <w:color w:val="auto"/>
              </w:rPr>
            </w:pPr>
          </w:p>
        </w:tc>
        <w:tc>
          <w:tcPr>
            <w:tcW w:w="78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8,829</w:t>
            </w: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60" w:type="dxa"/>
            <w:vAlign w:val="bottom"/>
            <w:tcBorders>
              <w:bottom w:val="single" w:sz="8" w:color="auto"/>
            </w:tcBorders>
            <w:shd w:val="clear" w:color="auto" w:fill="D2EEF5"/>
          </w:tcPr>
          <w:p>
            <w:pPr>
              <w:spacing w:after="0"/>
              <w:rPr>
                <w:sz w:val="17"/>
                <w:szCs w:val="17"/>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D2EEF5"/>
          </w:tcPr>
          <w:p>
            <w:pPr>
              <w:spacing w:after="0"/>
              <w:rPr>
                <w:sz w:val="17"/>
                <w:szCs w:val="17"/>
                <w:color w:val="auto"/>
              </w:rPr>
            </w:pPr>
          </w:p>
        </w:tc>
        <w:tc>
          <w:tcPr>
            <w:tcW w:w="220" w:type="dxa"/>
            <w:vAlign w:val="bottom"/>
            <w:tcBorders>
              <w:bottom w:val="single" w:sz="8" w:color="auto"/>
            </w:tcBorders>
            <w:shd w:val="clear" w:color="auto" w:fill="D2EEF5"/>
          </w:tcPr>
          <w:p>
            <w:pPr>
              <w:spacing w:after="0"/>
              <w:rPr>
                <w:sz w:val="17"/>
                <w:szCs w:val="17"/>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auto"/>
            </w:tcBorders>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tcBorders>
              <w:bottom w:val="single" w:sz="8" w:color="auto"/>
            </w:tcBorders>
            <w:shd w:val="clear" w:color="auto" w:fill="D2EEF5"/>
          </w:tcPr>
          <w:p>
            <w:pPr>
              <w:spacing w:after="0"/>
              <w:rPr>
                <w:sz w:val="17"/>
                <w:szCs w:val="17"/>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(214)</w:t>
            </w:r>
          </w:p>
        </w:tc>
      </w:tr>
      <w:tr>
        <w:trPr>
          <w:trHeight w:val="234"/>
        </w:trPr>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60,760</w:t>
            </w:r>
          </w:p>
        </w:tc>
        <w:tc>
          <w:tcPr>
            <w:tcW w:w="32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(1,613)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324,271</w:t>
            </w:r>
          </w:p>
        </w:tc>
        <w:tc>
          <w:tcPr>
            <w:tcW w:w="28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(78,029)</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385,031</w:t>
            </w:r>
          </w:p>
        </w:tc>
        <w:tc>
          <w:tcPr>
            <w:tcW w:w="28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(79,642)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77" w:orient="portrait"/>
          <w:cols w:equalWidth="0" w:num="2">
            <w:col w:w="3340" w:space="60"/>
            <w:col w:w="7400"/>
          </w:cols>
          <w:pgMar w:left="720" w:top="355" w:right="720" w:bottom="0" w:gutter="0" w:footer="0" w:header="0"/>
          <w:type w:val="continuous"/>
        </w:sect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December 31, 2023</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0"/>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12 months or more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spacing w:after="0"/>
              <w:rPr>
                <w:sz w:val="19"/>
                <w:szCs w:val="19"/>
                <w:color w:val="auto"/>
              </w:rPr>
            </w:pPr>
          </w:p>
        </w:tc>
      </w:tr>
      <w:tr>
        <w:trPr>
          <w:trHeight w:val="216"/>
        </w:trPr>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Unrealized</w:t>
            </w:r>
          </w:p>
        </w:tc>
      </w:tr>
      <w:tr>
        <w:trPr>
          <w:trHeight w:val="227"/>
        </w:trPr>
        <w:tc>
          <w:tcPr>
            <w:tcW w:w="34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D2EEF5"/>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Losses</w:t>
            </w:r>
          </w:p>
        </w:tc>
        <w:tc>
          <w:tcPr>
            <w:tcW w:w="20" w:type="dxa"/>
            <w:vAlign w:val="bottom"/>
          </w:tcPr>
          <w:p>
            <w:pPr>
              <w:spacing w:after="0"/>
              <w:rPr>
                <w:sz w:val="19"/>
                <w:szCs w:val="19"/>
                <w:color w:val="auto"/>
              </w:rPr>
            </w:pPr>
          </w:p>
        </w:tc>
        <w:tc>
          <w:tcPr>
            <w:tcW w:w="2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Losses</w:t>
            </w:r>
          </w:p>
        </w:tc>
      </w:tr>
      <w:tr>
        <w:trPr>
          <w:trHeight w:val="220"/>
        </w:trPr>
        <w:tc>
          <w:tcPr>
            <w:tcW w:w="34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U.S. Government Agency</w:t>
            </w: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18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46,479</w:t>
            </w:r>
          </w:p>
        </w:tc>
        <w:tc>
          <w:tcPr>
            <w:tcW w:w="280" w:type="dxa"/>
            <w:vAlign w:val="bottom"/>
            <w:shd w:val="clear" w:color="auto" w:fill="D2EEF5"/>
          </w:tcPr>
          <w:p>
            <w:pPr>
              <w:spacing w:after="0"/>
              <w:rPr>
                <w:sz w:val="19"/>
                <w:szCs w:val="19"/>
                <w:color w:val="auto"/>
              </w:rPr>
            </w:pPr>
          </w:p>
        </w:tc>
        <w:tc>
          <w:tcPr>
            <w:tcW w:w="16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(8,043)</w:t>
            </w:r>
          </w:p>
        </w:tc>
        <w:tc>
          <w:tcPr>
            <w:tcW w:w="2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46,479</w:t>
            </w:r>
          </w:p>
        </w:tc>
        <w:tc>
          <w:tcPr>
            <w:tcW w:w="260" w:type="dxa"/>
            <w:vAlign w:val="bottom"/>
            <w:shd w:val="clear" w:color="auto" w:fill="D2EEF5"/>
          </w:tcPr>
          <w:p>
            <w:pPr>
              <w:spacing w:after="0"/>
              <w:rPr>
                <w:sz w:val="19"/>
                <w:szCs w:val="19"/>
                <w:color w:val="auto"/>
              </w:rPr>
            </w:pPr>
          </w:p>
        </w:tc>
        <w:tc>
          <w:tcPr>
            <w:tcW w:w="16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(8,043)</w:t>
            </w:r>
          </w:p>
        </w:tc>
      </w:tr>
      <w:tr>
        <w:trPr>
          <w:trHeight w:val="240"/>
        </w:trPr>
        <w:tc>
          <w:tcPr>
            <w:tcW w:w="344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135,358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(35,566)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135,358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(35,566)</w:t>
            </w:r>
          </w:p>
        </w:tc>
      </w:tr>
      <w:tr>
        <w:trPr>
          <w:trHeight w:val="240"/>
        </w:trPr>
        <w:tc>
          <w:tcPr>
            <w:tcW w:w="34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Mortgage-backed securities - residential</w:t>
            </w: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5,290</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1100" w:type="dxa"/>
            <w:vAlign w:val="bottom"/>
            <w:gridSpan w:val="3"/>
            <w:shd w:val="clear" w:color="auto" w:fill="D2EEF5"/>
          </w:tcPr>
          <w:p>
            <w:pPr>
              <w:jc w:val="right"/>
              <w:ind w:right="280"/>
              <w:spacing w:after="0"/>
              <w:rPr>
                <w:sz w:val="20"/>
                <w:szCs w:val="20"/>
                <w:color w:val="auto"/>
              </w:rPr>
            </w:pPr>
            <w:r>
              <w:rPr>
                <w:rFonts w:ascii="Arial" w:cs="Arial" w:eastAsia="Arial" w:hAnsi="Arial"/>
                <w:sz w:val="18"/>
                <w:szCs w:val="18"/>
                <w:color w:val="auto"/>
              </w:rPr>
              <w:t>(47)</w:t>
            </w: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83,484</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100" w:type="dxa"/>
            <w:vAlign w:val="bottom"/>
            <w:gridSpan w:val="2"/>
            <w:shd w:val="clear" w:color="auto" w:fill="D2EEF5"/>
          </w:tcPr>
          <w:p>
            <w:pPr>
              <w:jc w:val="right"/>
              <w:ind w:right="260"/>
              <w:spacing w:after="0"/>
              <w:rPr>
                <w:sz w:val="20"/>
                <w:szCs w:val="20"/>
                <w:color w:val="auto"/>
              </w:rPr>
            </w:pPr>
            <w:r>
              <w:rPr>
                <w:rFonts w:ascii="Arial" w:cs="Arial" w:eastAsia="Arial" w:hAnsi="Arial"/>
                <w:sz w:val="18"/>
                <w:szCs w:val="18"/>
                <w:color w:val="auto"/>
              </w:rPr>
              <w:t>(18,365)</w:t>
            </w: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88,774</w:t>
            </w: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(18,412)</w:t>
            </w:r>
          </w:p>
        </w:tc>
      </w:tr>
      <w:tr>
        <w:trPr>
          <w:trHeight w:val="240"/>
        </w:trPr>
        <w:tc>
          <w:tcPr>
            <w:tcW w:w="344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33,083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(8,623)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53,375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(9,234)</w:t>
            </w:r>
          </w:p>
        </w:tc>
      </w:tr>
      <w:tr>
        <w:trPr>
          <w:trHeight w:val="240"/>
        </w:trPr>
        <w:tc>
          <w:tcPr>
            <w:tcW w:w="34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19,338</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100" w:type="dxa"/>
            <w:vAlign w:val="bottom"/>
            <w:gridSpan w:val="2"/>
            <w:shd w:val="clear" w:color="auto" w:fill="D2EEF5"/>
          </w:tcPr>
          <w:p>
            <w:pPr>
              <w:jc w:val="right"/>
              <w:ind w:right="260"/>
              <w:spacing w:after="0"/>
              <w:rPr>
                <w:sz w:val="20"/>
                <w:szCs w:val="20"/>
                <w:color w:val="auto"/>
              </w:rPr>
            </w:pPr>
            <w:r>
              <w:rPr>
                <w:rFonts w:ascii="Arial" w:cs="Arial" w:eastAsia="Arial" w:hAnsi="Arial"/>
                <w:sz w:val="18"/>
                <w:szCs w:val="18"/>
                <w:color w:val="auto"/>
              </w:rPr>
              <w:t>(5,667)</w:t>
            </w: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19,338</w:t>
            </w: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(5,667)</w:t>
            </w:r>
          </w:p>
        </w:tc>
      </w:tr>
      <w:tr>
        <w:trPr>
          <w:trHeight w:val="240"/>
        </w:trPr>
        <w:tc>
          <w:tcPr>
            <w:tcW w:w="3440" w:type="dxa"/>
            <w:vAlign w:val="bottom"/>
            <w:gridSpan w:val="2"/>
          </w:tcPr>
          <w:p>
            <w:pPr>
              <w:spacing w:after="0"/>
              <w:rPr>
                <w:sz w:val="20"/>
                <w:szCs w:val="20"/>
                <w:color w:val="auto"/>
              </w:rPr>
            </w:pPr>
            <w:r>
              <w:rPr>
                <w:rFonts w:ascii="Arial" w:cs="Arial" w:eastAsia="Arial" w:hAnsi="Arial"/>
                <w:sz w:val="18"/>
                <w:szCs w:val="18"/>
                <w:color w:val="auto"/>
              </w:rPr>
              <w:t>Bank subordinated debt securities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20,887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40"/>
        </w:trPr>
        <w:tc>
          <w:tcPr>
            <w:tcW w:w="344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shd w:val="clear" w:color="auto" w:fill="D2EEF5"/>
          </w:tcPr>
          <w:p>
            <w:pPr>
              <w:spacing w:after="0"/>
              <w:rPr>
                <w:sz w:val="20"/>
                <w:szCs w:val="20"/>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tcBorders>
              <w:bottom w:val="single" w:sz="8" w:color="auto"/>
            </w:tcBorders>
            <w:shd w:val="clear" w:color="auto" w:fill="D2EEF5"/>
          </w:tcPr>
          <w:p>
            <w:pPr>
              <w:spacing w:after="0"/>
              <w:rPr>
                <w:sz w:val="20"/>
                <w:szCs w:val="20"/>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tcBorders>
              <w:bottom w:val="single" w:sz="8" w:color="auto"/>
            </w:tcBorders>
            <w:shd w:val="clear" w:color="auto" w:fill="D2EEF5"/>
          </w:tcPr>
          <w:p>
            <w:pPr>
              <w:spacing w:after="0"/>
              <w:rPr>
                <w:sz w:val="20"/>
                <w:szCs w:val="20"/>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8,671</w:t>
            </w:r>
          </w:p>
        </w:tc>
        <w:tc>
          <w:tcPr>
            <w:tcW w:w="2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tcBorders>
              <w:bottom w:val="single" w:sz="8" w:color="auto"/>
            </w:tcBorders>
            <w:shd w:val="clear" w:color="auto" w:fill="D2EEF5"/>
          </w:tcPr>
          <w:p>
            <w:pPr>
              <w:spacing w:after="0"/>
              <w:rPr>
                <w:sz w:val="20"/>
                <w:szCs w:val="20"/>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8,671</w:t>
            </w:r>
          </w:p>
        </w:tc>
        <w:tc>
          <w:tcPr>
            <w:tcW w:w="2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(406)</w:t>
            </w:r>
          </w:p>
        </w:tc>
      </w:tr>
      <w:tr>
        <w:trPr>
          <w:trHeight w:val="237"/>
        </w:trPr>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34,182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338,700</w:t>
            </w:r>
          </w:p>
        </w:tc>
        <w:tc>
          <w:tcPr>
            <w:tcW w:w="2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(78,373)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372,882</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(79,362)</w:t>
            </w:r>
          </w:p>
        </w:tc>
      </w:tr>
      <w:tr>
        <w:trPr>
          <w:trHeight w:val="20"/>
        </w:trPr>
        <w:tc>
          <w:tcPr>
            <w:tcW w:w="3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unrealized losses associated with $111.1 million outstanding of investment securities transferred from the AFS portfolio to the HTM portfolio represent unrealized losses since the date of purchase, independent of the impact associated with changes in the cost basis upon transfer between portfolios.</w:t>
      </w:r>
    </w:p>
    <w:p>
      <w:pPr>
        <w:spacing w:after="0" w:line="16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CECL. The measurement of expected credit losses under the CECL methodology is applicable to financial assets measured at amortized cost, including loan receivables and held-to-maturity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type w:val="continuous"/>
        </w:sectPr>
      </w:pPr>
    </w:p>
    <w:bookmarkStart w:id="96" w:name="page97"/>
    <w:bookmarkEnd w:id="96"/>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debt securities. In addition, ASC 326 amended the accounting for available-for-sale debt securities. One such change is to require credit losses to be presented as an allowance rather than as a write-down on available-for-sale debt securities.</w:t>
      </w:r>
    </w:p>
    <w:p>
      <w:pPr>
        <w:spacing w:after="0" w:line="15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Moody’s model, this is determined using historical default data, adjusted for the current economic environment. LGD projects the expected loss if a borrower were to default.</w:t>
      </w:r>
    </w:p>
    <w:p>
      <w:pPr>
        <w:spacing w:after="0" w:line="18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monitors the credit quality of held to maturity securities through the use of credit ratings. Credit ratings are monitored by the Company on at least a quarterly basis. As of December 31, 2024 and December 31, 2023, all held-to-maturity securities held by the Company were rated investment grade.</w:t>
      </w:r>
    </w:p>
    <w:p>
      <w:pPr>
        <w:spacing w:after="0" w:line="17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At December 31, 2024, HTM securities included $ 155.5 million of U.S. Government and U.S. Agency issued bonds and mortgage-backed securities. Because of the explicit and/or implicit guarantee on these bonds, the Company holds no reserves on these holdings. The remaining portion of the HTM portfolio is made up of $9.2 million in investment grade corporate bonds. The required reserve for these holdings is determined each quarter using the model described above. For the portion of the HTM exposed to non-government credit risk, the Company utilized the PD/LGD methodology to estimate a $6 thousand ACL as of December 31, 2024. The book value for debt securities classified as HTM represents amortized cost less ACL.</w:t>
      </w:r>
    </w:p>
    <w:p>
      <w:pPr>
        <w:spacing w:after="0" w:line="18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 determined that an ACL on its debt securities available for sale as of December 31, 2024 was not required.</w:t>
      </w:r>
    </w:p>
    <w:p>
      <w:pPr>
        <w:spacing w:after="0" w:line="14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At December 31, 2024, the Company had $56.7 million of unrealized losses on mortgage-backed securities and collateralized mortgage obligations of U.S. Government sponsored entities having a fair value of $303.8 million that were attributable to a combination of factors, including relative changes in interest rates since the time of purchase. 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believes that the unrealized losses on these debt security holdings are a function of changes in investment spreads and interest rate movements and not changes in credit quality.</w:t>
      </w:r>
    </w:p>
    <w:p>
      <w:pPr>
        <w:spacing w:after="0" w:line="17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In 2018, the Company became a Qualified Public Depository (“QPD”) with the State of Florida. As a QPD, the Company has the authority to legally maintain public deposits from cities, municipalities, and the State of Florida. These public deposits are secured by securities pledged to the State of Florida at a ratio of 50% of the average outstanding amount of uninsured deposits. The Company must also maintain a minimum amount of pledged securities to be in the program related to these deposits.</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At December 31, 2024, the Company had twenty-one securities with an aggregate fair value of $66.1 million pledged to the State of Florida under the public funds program. The Company held a total of $110.5 million in public funds at December 31, 2024.</w:t>
      </w:r>
    </w:p>
    <w:p>
      <w:pPr>
        <w:spacing w:after="0" w:line="17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At December 31, 2023, the Company had twenty-eight securities with an aggregate fair value of $86.9 million pledged to the State of Florida under the public funds program. The Company held a total of $268.4 million in public funds at December 31, 2023.</w:t>
      </w:r>
    </w:p>
    <w:p>
      <w:pPr>
        <w:spacing w:after="0" w:line="16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paid off $80 million in borrowings under the BTFP program during the third quarter 2024. The original maturity of this borrowing under the BTFP program was January 2025, and there are no remaining borrowings under this program.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tabs>
          <w:tab w:leader="none" w:pos="380" w:val="left"/>
          <w:tab w:leader="none" w:pos="2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7" w:name="page98"/>
    <w:bookmarkEnd w:id="97"/>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is a summary of the distribution of loans held for investment by type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December 31, 2023</w:t>
            </w:r>
          </w:p>
        </w:tc>
      </w:tr>
      <w:tr>
        <w:trPr>
          <w:trHeight w:val="247"/>
        </w:trPr>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Percent of</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Percent of</w:t>
            </w:r>
          </w:p>
        </w:tc>
      </w:tr>
      <w:tr>
        <w:trPr>
          <w:trHeight w:val="230"/>
        </w:trPr>
        <w:tc>
          <w:tcPr>
            <w:tcW w:w="46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D2EEF5"/>
            </w:tcBorders>
          </w:tcPr>
          <w:p>
            <w:pPr>
              <w:spacing w:after="0"/>
              <w:rPr>
                <w:sz w:val="19"/>
                <w:szCs w:val="19"/>
                <w:color w:val="auto"/>
              </w:rPr>
            </w:pPr>
          </w:p>
        </w:tc>
        <w:tc>
          <w:tcPr>
            <w:tcW w:w="15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D2EE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D2EEF5"/>
            </w:tcBorders>
          </w:tcPr>
          <w:p>
            <w:pPr>
              <w:spacing w:after="0"/>
              <w:rPr>
                <w:sz w:val="19"/>
                <w:szCs w:val="19"/>
                <w:color w:val="auto"/>
              </w:rPr>
            </w:pPr>
          </w:p>
        </w:tc>
        <w:tc>
          <w:tcPr>
            <w:tcW w:w="14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0"/>
        </w:trPr>
        <w:tc>
          <w:tcPr>
            <w:tcW w:w="470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289,961</w:t>
            </w:r>
          </w:p>
        </w:tc>
        <w:tc>
          <w:tcPr>
            <w:tcW w:w="6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2EEF5"/>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204,419</w:t>
            </w:r>
          </w:p>
        </w:tc>
        <w:tc>
          <w:tcPr>
            <w:tcW w:w="6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7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1,136,417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57.8 %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1,047,593</w:t>
            </w:r>
          </w:p>
        </w:tc>
        <w:tc>
          <w:tcPr>
            <w:tcW w:w="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58.8 %</w:t>
            </w:r>
          </w:p>
        </w:tc>
      </w:tr>
      <w:tr>
        <w:trPr>
          <w:trHeight w:val="240"/>
        </w:trPr>
        <w:tc>
          <w:tcPr>
            <w:tcW w:w="470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2EEF5"/>
          </w:tcPr>
          <w:p>
            <w:pPr>
              <w:spacing w:after="0"/>
              <w:rPr>
                <w:sz w:val="20"/>
                <w:szCs w:val="20"/>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258,311</w:t>
            </w:r>
          </w:p>
        </w:tc>
        <w:tc>
          <w:tcPr>
            <w:tcW w:w="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219,757</w:t>
            </w:r>
          </w:p>
        </w:tc>
        <w:tc>
          <w:tcPr>
            <w:tcW w:w="6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70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114,945</w:t>
            </w:r>
          </w:p>
        </w:tc>
        <w:tc>
          <w:tcPr>
            <w:tcW w:w="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60"/>
        </w:trPr>
        <w:tc>
          <w:tcPr>
            <w:tcW w:w="470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198,091</w:t>
            </w:r>
          </w:p>
        </w:tc>
        <w:tc>
          <w:tcPr>
            <w:tcW w:w="6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191,930</w:t>
            </w:r>
          </w:p>
        </w:tc>
        <w:tc>
          <w:tcPr>
            <w:tcW w:w="60" w:type="dxa"/>
            <w:vAlign w:val="bottom"/>
            <w:tcBorders>
              <w:bottom w:val="single" w:sz="8" w:color="auto"/>
            </w:tcBorders>
            <w:shd w:val="clear" w:color="auto" w:fill="D2EEF5"/>
          </w:tcPr>
          <w:p>
            <w:pPr>
              <w:spacing w:after="0"/>
              <w:rPr>
                <w:sz w:val="22"/>
                <w:szCs w:val="22"/>
                <w:color w:val="auto"/>
              </w:rPr>
            </w:pPr>
          </w:p>
        </w:tc>
        <w:tc>
          <w:tcPr>
            <w:tcW w:w="80" w:type="dxa"/>
            <w:vAlign w:val="bottom"/>
            <w:tcBorders>
              <w:bottom w:val="single" w:sz="8" w:color="D2EEF5"/>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4700" w:type="dxa"/>
            <w:vAlign w:val="bottom"/>
            <w:tcBorders>
              <w:bottom w:val="single" w:sz="8" w:color="D2EEF5"/>
            </w:tcBorders>
            <w:gridSpan w:val="2"/>
          </w:tcPr>
          <w:p>
            <w:pPr>
              <w:ind w:left="140"/>
              <w:spacing w:after="0"/>
              <w:rPr>
                <w:sz w:val="20"/>
                <w:szCs w:val="20"/>
                <w:color w:val="auto"/>
              </w:rPr>
            </w:pPr>
            <w:r>
              <w:rPr>
                <w:rFonts w:ascii="Arial" w:cs="Arial" w:eastAsia="Arial" w:hAnsi="Arial"/>
                <w:sz w:val="18"/>
                <w:szCs w:val="18"/>
                <w:color w:val="auto"/>
              </w:rPr>
              <w:t>Total gross loans</w:t>
            </w:r>
          </w:p>
        </w:tc>
        <w:tc>
          <w:tcPr>
            <w:tcW w:w="180" w:type="dxa"/>
            <w:vAlign w:val="bottom"/>
            <w:tcBorders>
              <w:bottom w:val="single" w:sz="8" w:color="D2EEF5"/>
            </w:tcBorders>
          </w:tcPr>
          <w:p>
            <w:pPr>
              <w:spacing w:after="0"/>
              <w:rPr>
                <w:sz w:val="22"/>
                <w:szCs w:val="22"/>
                <w:color w:val="auto"/>
              </w:rPr>
            </w:pPr>
          </w:p>
        </w:tc>
        <w:tc>
          <w:tcPr>
            <w:tcW w:w="12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1,965,218</w:t>
            </w:r>
          </w:p>
        </w:tc>
        <w:tc>
          <w:tcPr>
            <w:tcW w:w="60" w:type="dxa"/>
            <w:vAlign w:val="bottom"/>
            <w:tcBorders>
              <w:bottom w:val="single" w:sz="8" w:color="D2EEF5"/>
            </w:tcBorders>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D2EEF5"/>
            </w:tcBorders>
          </w:tcPr>
          <w:p>
            <w:pPr>
              <w:spacing w:after="0"/>
              <w:rPr>
                <w:sz w:val="22"/>
                <w:szCs w:val="22"/>
                <w:color w:val="auto"/>
              </w:rPr>
            </w:pPr>
          </w:p>
        </w:tc>
        <w:tc>
          <w:tcPr>
            <w:tcW w:w="320" w:type="dxa"/>
            <w:vAlign w:val="bottom"/>
            <w:tcBorders>
              <w:bottom w:val="single" w:sz="8" w:color="D2EEF5"/>
            </w:tcBorders>
          </w:tcPr>
          <w:p>
            <w:pPr>
              <w:spacing w:after="0"/>
              <w:rPr>
                <w:sz w:val="22"/>
                <w:szCs w:val="22"/>
                <w:color w:val="auto"/>
              </w:rPr>
            </w:pPr>
          </w:p>
        </w:tc>
        <w:tc>
          <w:tcPr>
            <w:tcW w:w="1140" w:type="dxa"/>
            <w:vAlign w:val="bottom"/>
            <w:tcBorders>
              <w:bottom w:val="single" w:sz="8" w:color="D2EEF5"/>
            </w:tcBorders>
            <w:gridSpan w:val="2"/>
          </w:tcPr>
          <w:p>
            <w:pPr>
              <w:jc w:val="right"/>
              <w:ind w:right="60"/>
              <w:spacing w:after="0"/>
              <w:rPr>
                <w:sz w:val="20"/>
                <w:szCs w:val="20"/>
                <w:color w:val="auto"/>
              </w:rPr>
            </w:pPr>
            <w:r>
              <w:rPr>
                <w:rFonts w:ascii="Arial" w:cs="Arial" w:eastAsia="Arial" w:hAnsi="Arial"/>
                <w:sz w:val="18"/>
                <w:szCs w:val="18"/>
                <w:color w:val="auto"/>
              </w:rPr>
              <w:t>1,778,644</w:t>
            </w:r>
          </w:p>
        </w:tc>
        <w:tc>
          <w:tcPr>
            <w:tcW w:w="80" w:type="dxa"/>
            <w:vAlign w:val="bottom"/>
            <w:tcBorders>
              <w:bottom w:val="single" w:sz="8" w:color="D2EEF5"/>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r>
      <w:tr>
        <w:trPr>
          <w:trHeight w:val="194"/>
        </w:trPr>
        <w:tc>
          <w:tcPr>
            <w:tcW w:w="4700" w:type="dxa"/>
            <w:vAlign w:val="bottom"/>
            <w:gridSpan w:val="2"/>
            <w:shd w:val="clear" w:color="auto" w:fill="D2EEF5"/>
          </w:tcPr>
          <w:p>
            <w:pPr>
              <w:spacing w:after="0" w:line="195" w:lineRule="exact"/>
              <w:rPr>
                <w:sz w:val="20"/>
                <w:szCs w:val="20"/>
                <w:color w:val="auto"/>
              </w:rPr>
            </w:pPr>
            <w:r>
              <w:rPr>
                <w:rFonts w:ascii="Arial" w:cs="Arial" w:eastAsia="Arial" w:hAnsi="Arial"/>
                <w:sz w:val="18"/>
                <w:szCs w:val="18"/>
                <w:color w:val="auto"/>
              </w:rPr>
              <w:t>Plus: Deferred costs</w:t>
            </w:r>
          </w:p>
        </w:tc>
        <w:tc>
          <w:tcPr>
            <w:tcW w:w="180" w:type="dxa"/>
            <w:vAlign w:val="bottom"/>
            <w:tcBorders>
              <w:bottom w:val="single" w:sz="8" w:color="auto"/>
            </w:tcBorders>
            <w:shd w:val="clear" w:color="auto" w:fill="D2EEF5"/>
          </w:tcPr>
          <w:p>
            <w:pPr>
              <w:spacing w:after="0"/>
              <w:rPr>
                <w:sz w:val="16"/>
                <w:szCs w:val="16"/>
                <w:color w:val="auto"/>
              </w:rPr>
            </w:pPr>
          </w:p>
        </w:tc>
        <w:tc>
          <w:tcPr>
            <w:tcW w:w="1220" w:type="dxa"/>
            <w:vAlign w:val="bottom"/>
            <w:tcBorders>
              <w:bottom w:val="single" w:sz="8" w:color="auto"/>
            </w:tcBorders>
            <w:shd w:val="clear" w:color="auto" w:fill="D2EEF5"/>
          </w:tcPr>
          <w:p>
            <w:pPr>
              <w:jc w:val="right"/>
              <w:spacing w:after="0" w:line="195" w:lineRule="exact"/>
              <w:rPr>
                <w:sz w:val="20"/>
                <w:szCs w:val="20"/>
                <w:color w:val="auto"/>
              </w:rPr>
            </w:pPr>
            <w:r>
              <w:rPr>
                <w:rFonts w:ascii="Arial" w:cs="Arial" w:eastAsia="Arial" w:hAnsi="Arial"/>
                <w:sz w:val="18"/>
                <w:szCs w:val="18"/>
                <w:color w:val="auto"/>
              </w:rPr>
              <w:t>7,630</w:t>
            </w:r>
          </w:p>
        </w:tc>
        <w:tc>
          <w:tcPr>
            <w:tcW w:w="60" w:type="dxa"/>
            <w:vAlign w:val="bottom"/>
            <w:tcBorders>
              <w:bottom w:val="single" w:sz="8" w:color="auto"/>
            </w:tcBorders>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22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320" w:type="dxa"/>
            <w:vAlign w:val="bottom"/>
            <w:tcBorders>
              <w:bottom w:val="single" w:sz="8" w:color="auto"/>
            </w:tcBorders>
            <w:shd w:val="clear" w:color="auto" w:fill="D2EEF5"/>
          </w:tcPr>
          <w:p>
            <w:pPr>
              <w:spacing w:after="0"/>
              <w:rPr>
                <w:sz w:val="16"/>
                <w:szCs w:val="16"/>
                <w:color w:val="auto"/>
              </w:rPr>
            </w:pPr>
          </w:p>
        </w:tc>
        <w:tc>
          <w:tcPr>
            <w:tcW w:w="1080" w:type="dxa"/>
            <w:vAlign w:val="bottom"/>
            <w:tcBorders>
              <w:bottom w:val="single" w:sz="8" w:color="auto"/>
            </w:tcBorders>
            <w:shd w:val="clear" w:color="auto" w:fill="D2EEF5"/>
          </w:tcPr>
          <w:p>
            <w:pPr>
              <w:jc w:val="right"/>
              <w:spacing w:after="0" w:line="195" w:lineRule="exact"/>
              <w:rPr>
                <w:sz w:val="20"/>
                <w:szCs w:val="20"/>
                <w:color w:val="auto"/>
              </w:rPr>
            </w:pPr>
            <w:r>
              <w:rPr>
                <w:rFonts w:ascii="Arial" w:cs="Arial" w:eastAsia="Arial" w:hAnsi="Arial"/>
                <w:sz w:val="18"/>
                <w:szCs w:val="18"/>
                <w:color w:val="auto"/>
              </w:rPr>
              <w:t>2,183</w:t>
            </w:r>
          </w:p>
        </w:tc>
        <w:tc>
          <w:tcPr>
            <w:tcW w:w="60" w:type="dxa"/>
            <w:vAlign w:val="bottom"/>
            <w:tcBorders>
              <w:bottom w:val="single" w:sz="8" w:color="auto"/>
            </w:tcBorders>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122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r>
      <w:tr>
        <w:trPr>
          <w:trHeight w:val="22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Total loans net of deferred costs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1,972,848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1,780,827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0"/>
        </w:trPr>
        <w:tc>
          <w:tcPr>
            <w:tcW w:w="470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Borders>
              <w:bottom w:val="single" w:sz="8" w:color="auto"/>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24,070</w:t>
            </w:r>
          </w:p>
        </w:tc>
        <w:tc>
          <w:tcPr>
            <w:tcW w:w="60" w:type="dxa"/>
            <w:vAlign w:val="bottom"/>
            <w:tcBorders>
              <w:bottom w:val="single" w:sz="8" w:color="auto"/>
            </w:tcBorders>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2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320" w:type="dxa"/>
            <w:vAlign w:val="bottom"/>
            <w:tcBorders>
              <w:bottom w:val="single" w:sz="8" w:color="auto"/>
            </w:tcBorders>
            <w:shd w:val="clear" w:color="auto" w:fill="D2EEF5"/>
          </w:tcPr>
          <w:p>
            <w:pPr>
              <w:spacing w:after="0"/>
              <w:rPr>
                <w:sz w:val="20"/>
                <w:szCs w:val="20"/>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21,084</w:t>
            </w:r>
          </w:p>
        </w:tc>
        <w:tc>
          <w:tcPr>
            <w:tcW w:w="60" w:type="dxa"/>
            <w:vAlign w:val="bottom"/>
            <w:tcBorders>
              <w:bottom w:val="single" w:sz="8" w:color="auto"/>
            </w:tcBorders>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r>
      <w:tr>
        <w:trPr>
          <w:trHeight w:val="237"/>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Total net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1,948,778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1,759,743</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At December 31, 2024 and 2023, the Company had $518.8 million and $ 534.2 million, respectively, of commercial real estate and residential mortgage loans pledged as collateral on lines of credit with the FHLB and the Federal Reserve Bank of Atlanta. At December 31, 2024 and 2023, the Company had no real estate loans in the process of foreclosure.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2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In general, the Company utilizes the Discounted Cash Flow (DCF) method or the Remaining Life (WARM) methodology to estimate the quantitative portion of the ACL for loan pools. The DCF uses a loss driver analysis (LDA) and discounted cash flow analyses. The Company engaged advisors and consultants with experience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Qualitative factors (“Q-Factors”) used in the ACL methodology include:</w:t>
      </w:r>
    </w:p>
    <w:p>
      <w:pPr>
        <w:spacing w:after="0" w:line="231" w:lineRule="exact"/>
        <w:rPr>
          <w:sz w:val="20"/>
          <w:szCs w:val="20"/>
          <w:color w:val="auto"/>
        </w:rPr>
      </w:pP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lending policies, procedures, and strategies</w:t>
      </w:r>
    </w:p>
    <w:p>
      <w:pPr>
        <w:spacing w:after="0" w:line="24" w:lineRule="exact"/>
        <w:rPr>
          <w:rFonts w:ascii="Arial" w:cs="Arial" w:eastAsia="Arial" w:hAnsi="Arial"/>
          <w:sz w:val="20"/>
          <w:szCs w:val="20"/>
          <w:color w:val="auto"/>
        </w:rPr>
      </w:pP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international, national, regional, and local conditions</w:t>
      </w: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nature and volume of portfolio</w:t>
      </w: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the volume and severity of past due loans and other similar conditions</w:t>
      </w: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Concentration risk</w:t>
      </w:r>
    </w:p>
    <w:p>
      <w:pPr>
        <w:ind w:left="480" w:hanging="120"/>
        <w:spacing w:after="0" w:line="238" w:lineRule="auto"/>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the value of underlying collateral</w:t>
      </w: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effect of other external factors: e.g., competition, legal, and regulatory requirements</w:t>
      </w:r>
    </w:p>
    <w:p>
      <w:pPr>
        <w:ind w:left="480" w:hanging="120"/>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lending management, among others</w:t>
      </w:r>
    </w:p>
    <w:p>
      <w:pPr>
        <w:spacing w:after="0" w:line="20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Company segments the portfolio by pools grouping loans that share similar risk characteristics and employing collateral type and lien position to group loans according to risk. The Company evaluates five segments using the loss rate methodology 'Remaining Life Method' or WARM. The remaining is calculated based on the annual attrition rate observed for the Company’s own portfolio experience. The peer group includes historical losses for U.S. The Company also applies a scorecard methodology to determine qualitative factors for WARM segments. The scorecard is built using a peer group loss. The maximum losses for these peers are derived selecting periods were higher than normal loss rates are observed. In estimating credit losses, the Company also considers qualitative and environmental factors that may cause estimated credit losses for the loan portfolio to differ from historical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800"/>
          </w:cols>
          <w:pgMar w:left="720" w:top="355" w:right="720" w:bottom="0" w:gutter="0" w:footer="0" w:header="0"/>
        </w:sectPr>
      </w:pPr>
    </w:p>
    <w:bookmarkStart w:id="98" w:name="page99"/>
    <w:bookmarkEnd w:id="9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Changes in the ACL for the years ended December 31, 2024 and 2023 are as follows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9"/>
              </w:rPr>
              <w:t>Residential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Commercial</w:t>
            </w:r>
          </w:p>
        </w:tc>
        <w:tc>
          <w:tcPr>
            <w:tcW w:w="40" w:type="dxa"/>
            <w:vAlign w:val="bottom"/>
          </w:tcPr>
          <w:p>
            <w:pPr>
              <w:spacing w:after="0"/>
              <w:rPr>
                <w:sz w:val="17"/>
                <w:szCs w:val="17"/>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Correspondent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Consumer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Real Estate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Real Estate</w:t>
            </w:r>
          </w:p>
        </w:tc>
        <w:tc>
          <w:tcPr>
            <w:tcW w:w="4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and Industrial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Banks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and 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0"/>
        </w:trPr>
        <w:tc>
          <w:tcPr>
            <w:tcW w:w="29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Borders>
              <w:top w:val="single" w:sz="8" w:color="auto"/>
            </w:tcBorders>
            <w:shd w:val="clear" w:color="auto" w:fill="D2EEF5"/>
          </w:tcPr>
          <w:p>
            <w:pPr>
              <w:spacing w:after="0"/>
              <w:rPr>
                <w:sz w:val="19"/>
                <w:szCs w:val="19"/>
                <w:color w:val="auto"/>
              </w:rPr>
            </w:pPr>
          </w:p>
        </w:tc>
        <w:tc>
          <w:tcPr>
            <w:tcW w:w="106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00" w:type="dxa"/>
            <w:vAlign w:val="bottom"/>
            <w:tcBorders>
              <w:top w:val="single" w:sz="8" w:color="auto"/>
            </w:tcBorders>
            <w:shd w:val="clear" w:color="auto" w:fill="D2EEF5"/>
          </w:tcPr>
          <w:p>
            <w:pPr>
              <w:spacing w:after="0"/>
              <w:rPr>
                <w:sz w:val="19"/>
                <w:szCs w:val="19"/>
                <w:color w:val="auto"/>
              </w:rPr>
            </w:pPr>
          </w:p>
        </w:tc>
        <w:tc>
          <w:tcPr>
            <w:tcW w:w="112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20" w:type="dxa"/>
            <w:vAlign w:val="bottom"/>
            <w:tcBorders>
              <w:top w:val="single" w:sz="8" w:color="auto"/>
            </w:tcBorders>
            <w:shd w:val="clear" w:color="auto" w:fill="D2EEF5"/>
          </w:tcPr>
          <w:p>
            <w:pPr>
              <w:spacing w:after="0"/>
              <w:rPr>
                <w:sz w:val="19"/>
                <w:szCs w:val="19"/>
                <w:color w:val="auto"/>
              </w:rPr>
            </w:pPr>
          </w:p>
        </w:tc>
        <w:tc>
          <w:tcPr>
            <w:tcW w:w="118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1240" w:type="dxa"/>
            <w:vAlign w:val="bottom"/>
            <w:tcBorders>
              <w:top w:val="single" w:sz="8" w:color="auto"/>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1100" w:type="dxa"/>
            <w:vAlign w:val="bottom"/>
            <w:tcBorders>
              <w:top w:val="single" w:sz="8" w:color="auto"/>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auto"/>
            </w:tcBorders>
            <w:shd w:val="clear" w:color="auto" w:fill="D2EEF5"/>
          </w:tcPr>
          <w:p>
            <w:pPr>
              <w:spacing w:after="0"/>
              <w:rPr>
                <w:sz w:val="19"/>
                <w:szCs w:val="19"/>
                <w:color w:val="auto"/>
              </w:rPr>
            </w:pPr>
          </w:p>
        </w:tc>
        <w:tc>
          <w:tcPr>
            <w:tcW w:w="160" w:type="dxa"/>
            <w:vAlign w:val="bottom"/>
            <w:tcBorders>
              <w:top w:val="single" w:sz="8" w:color="auto"/>
            </w:tcBorders>
            <w:shd w:val="clear" w:color="auto" w:fill="D2EEF5"/>
          </w:tcPr>
          <w:p>
            <w:pPr>
              <w:spacing w:after="0"/>
              <w:rPr>
                <w:sz w:val="19"/>
                <w:szCs w:val="19"/>
                <w:color w:val="auto"/>
              </w:rPr>
            </w:pPr>
          </w:p>
        </w:tc>
        <w:tc>
          <w:tcPr>
            <w:tcW w:w="1040" w:type="dxa"/>
            <w:vAlign w:val="bottom"/>
            <w:tcBorders>
              <w:top w:val="single" w:sz="8" w:color="auto"/>
            </w:tcBorders>
            <w:shd w:val="clear" w:color="auto" w:fill="D2EEF5"/>
          </w:tcPr>
          <w:p>
            <w:pPr>
              <w:spacing w:after="0"/>
              <w:rPr>
                <w:sz w:val="19"/>
                <w:szCs w:val="19"/>
                <w:color w:val="auto"/>
              </w:rPr>
            </w:pP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10,366</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21,084</w:t>
            </w:r>
          </w:p>
        </w:tc>
      </w:tr>
      <w:tr>
        <w:trPr>
          <w:trHeight w:val="271"/>
        </w:trPr>
        <w:tc>
          <w:tcPr>
            <w:tcW w:w="2980" w:type="dxa"/>
            <w:vAlign w:val="bottom"/>
            <w:shd w:val="clear" w:color="auto" w:fill="D2EEF5"/>
          </w:tcPr>
          <w:p>
            <w:pPr>
              <w:spacing w:after="0" w:line="271"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(1)</w:t>
            </w:r>
          </w:p>
        </w:tc>
        <w:tc>
          <w:tcPr>
            <w:tcW w:w="10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2,403</w:t>
            </w:r>
          </w:p>
        </w:tc>
        <w:tc>
          <w:tcPr>
            <w:tcW w:w="6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10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(1,578)</w:t>
            </w:r>
          </w:p>
        </w:tc>
        <w:tc>
          <w:tcPr>
            <w:tcW w:w="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640</w:t>
            </w:r>
          </w:p>
        </w:tc>
        <w:tc>
          <w:tcPr>
            <w:tcW w:w="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60" w:type="dxa"/>
            <w:vAlign w:val="bottom"/>
            <w:gridSpan w:val="2"/>
            <w:shd w:val="clear" w:color="auto" w:fill="D2EEF5"/>
          </w:tcPr>
          <w:p>
            <w:pPr>
              <w:jc w:val="right"/>
              <w:ind w:right="2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D2EEF5"/>
          </w:tcPr>
          <w:p>
            <w:pPr>
              <w:spacing w:after="0"/>
              <w:rPr>
                <w:sz w:val="23"/>
                <w:szCs w:val="23"/>
                <w:color w:val="auto"/>
              </w:rPr>
            </w:pPr>
          </w:p>
        </w:tc>
        <w:tc>
          <w:tcPr>
            <w:tcW w:w="140" w:type="dxa"/>
            <w:vAlign w:val="bottom"/>
            <w:shd w:val="clear" w:color="auto" w:fill="D2EEF5"/>
          </w:tcPr>
          <w:p>
            <w:pPr>
              <w:spacing w:after="0"/>
              <w:rPr>
                <w:sz w:val="23"/>
                <w:szCs w:val="23"/>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1,752</w:t>
            </w:r>
          </w:p>
        </w:tc>
        <w:tc>
          <w:tcPr>
            <w:tcW w:w="2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2,960</w:t>
            </w: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0"/>
        </w:trPr>
        <w:tc>
          <w:tcPr>
            <w:tcW w:w="29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Charge-offs</w:t>
            </w:r>
          </w:p>
        </w:tc>
        <w:tc>
          <w:tcPr>
            <w:tcW w:w="10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D2EEF5"/>
            </w:tcBorders>
            <w:shd w:val="clear" w:color="auto" w:fill="D2EEF5"/>
          </w:tcPr>
          <w:p>
            <w:pPr>
              <w:spacing w:after="0"/>
              <w:rPr>
                <w:sz w:val="22"/>
                <w:szCs w:val="22"/>
                <w:color w:val="auto"/>
              </w:rPr>
            </w:pPr>
          </w:p>
        </w:tc>
        <w:tc>
          <w:tcPr>
            <w:tcW w:w="100" w:type="dxa"/>
            <w:vAlign w:val="bottom"/>
            <w:tcBorders>
              <w:bottom w:val="single" w:sz="8" w:color="auto"/>
            </w:tcBorders>
            <w:shd w:val="clear" w:color="auto" w:fill="D2EEF5"/>
          </w:tcPr>
          <w:p>
            <w:pPr>
              <w:spacing w:after="0"/>
              <w:rPr>
                <w:sz w:val="22"/>
                <w:szCs w:val="22"/>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auto"/>
            </w:tcBorders>
            <w:shd w:val="clear" w:color="auto" w:fill="D2EEF5"/>
          </w:tcPr>
          <w:p>
            <w:pPr>
              <w:spacing w:after="0"/>
              <w:rPr>
                <w:sz w:val="22"/>
                <w:szCs w:val="22"/>
                <w:color w:val="auto"/>
              </w:rPr>
            </w:pPr>
          </w:p>
        </w:tc>
        <w:tc>
          <w:tcPr>
            <w:tcW w:w="1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80" w:type="dxa"/>
            <w:vAlign w:val="bottom"/>
            <w:tcBorders>
              <w:bottom w:val="single" w:sz="8" w:color="auto"/>
            </w:tcBorders>
            <w:shd w:val="clear" w:color="auto" w:fill="D2EEF5"/>
          </w:tcPr>
          <w:p>
            <w:pPr>
              <w:spacing w:after="0"/>
              <w:rPr>
                <w:sz w:val="22"/>
                <w:szCs w:val="22"/>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spacing w:after="0"/>
              <w:rPr>
                <w:sz w:val="22"/>
                <w:szCs w:val="22"/>
                <w:color w:val="auto"/>
              </w:rPr>
            </w:pPr>
          </w:p>
        </w:tc>
        <w:tc>
          <w:tcPr>
            <w:tcW w:w="1120" w:type="dxa"/>
            <w:vAlign w:val="bottom"/>
            <w:tcBorders>
              <w:bottom w:val="single" w:sz="8" w:color="auto"/>
            </w:tcBorders>
            <w:gridSpan w:val="2"/>
            <w:shd w:val="clear" w:color="auto" w:fill="D2EEF5"/>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w:t>
            </w:r>
          </w:p>
        </w:tc>
      </w:tr>
      <w:tr>
        <w:trPr>
          <w:trHeight w:val="254"/>
        </w:trPr>
        <w:tc>
          <w:tcPr>
            <w:tcW w:w="29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8,788</w:t>
            </w:r>
          </w:p>
        </w:tc>
        <w:tc>
          <w:tcPr>
            <w:tcW w:w="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4,633</w:t>
            </w:r>
          </w:p>
        </w:tc>
        <w:tc>
          <w:tcPr>
            <w:tcW w:w="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24,070</w:t>
            </w:r>
          </w:p>
        </w:tc>
      </w:tr>
      <w:tr>
        <w:trPr>
          <w:trHeight w:val="194"/>
        </w:trPr>
        <w:tc>
          <w:tcPr>
            <w:tcW w:w="2980" w:type="dxa"/>
            <w:vAlign w:val="bottom"/>
            <w:tcBorders>
              <w:top w:val="single" w:sz="8" w:color="D2EEF5"/>
            </w:tcBorders>
            <w:shd w:val="clear" w:color="auto" w:fill="D2EEF5"/>
          </w:tcPr>
          <w:p>
            <w:pPr>
              <w:spacing w:after="0"/>
              <w:rPr>
                <w:sz w:val="16"/>
                <w:szCs w:val="16"/>
                <w:color w:val="auto"/>
              </w:rPr>
            </w:pPr>
          </w:p>
        </w:tc>
        <w:tc>
          <w:tcPr>
            <w:tcW w:w="100" w:type="dxa"/>
            <w:vAlign w:val="bottom"/>
            <w:tcBorders>
              <w:top w:val="single" w:sz="8" w:color="auto"/>
            </w:tcBorders>
            <w:shd w:val="clear" w:color="auto" w:fill="D2EEF5"/>
          </w:tcPr>
          <w:p>
            <w:pPr>
              <w:spacing w:after="0"/>
              <w:rPr>
                <w:sz w:val="16"/>
                <w:szCs w:val="16"/>
                <w:color w:val="auto"/>
              </w:rPr>
            </w:pPr>
          </w:p>
        </w:tc>
        <w:tc>
          <w:tcPr>
            <w:tcW w:w="1060" w:type="dxa"/>
            <w:vAlign w:val="bottom"/>
            <w:tcBorders>
              <w:top w:val="single" w:sz="8" w:color="auto"/>
            </w:tcBorders>
            <w:shd w:val="clear" w:color="auto" w:fill="D2EEF5"/>
          </w:tcPr>
          <w:p>
            <w:pPr>
              <w:spacing w:after="0"/>
              <w:rPr>
                <w:sz w:val="16"/>
                <w:szCs w:val="16"/>
                <w:color w:val="auto"/>
              </w:rPr>
            </w:pPr>
          </w:p>
        </w:tc>
        <w:tc>
          <w:tcPr>
            <w:tcW w:w="60" w:type="dxa"/>
            <w:vAlign w:val="bottom"/>
            <w:tcBorders>
              <w:top w:val="single" w:sz="8" w:color="auto"/>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00" w:type="dxa"/>
            <w:vAlign w:val="bottom"/>
            <w:tcBorders>
              <w:top w:val="single" w:sz="8" w:color="auto"/>
            </w:tcBorders>
            <w:shd w:val="clear" w:color="auto" w:fill="D2EEF5"/>
          </w:tcPr>
          <w:p>
            <w:pPr>
              <w:spacing w:after="0"/>
              <w:rPr>
                <w:sz w:val="16"/>
                <w:szCs w:val="16"/>
                <w:color w:val="auto"/>
              </w:rPr>
            </w:pPr>
          </w:p>
        </w:tc>
        <w:tc>
          <w:tcPr>
            <w:tcW w:w="1120" w:type="dxa"/>
            <w:vAlign w:val="bottom"/>
            <w:tcBorders>
              <w:top w:val="single" w:sz="8" w:color="auto"/>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120" w:type="dxa"/>
            <w:vAlign w:val="bottom"/>
            <w:tcBorders>
              <w:top w:val="single" w:sz="8" w:color="auto"/>
            </w:tcBorders>
            <w:shd w:val="clear" w:color="auto" w:fill="D2EEF5"/>
          </w:tcPr>
          <w:p>
            <w:pPr>
              <w:spacing w:after="0"/>
              <w:rPr>
                <w:sz w:val="16"/>
                <w:szCs w:val="16"/>
                <w:color w:val="auto"/>
              </w:rPr>
            </w:pPr>
          </w:p>
        </w:tc>
        <w:tc>
          <w:tcPr>
            <w:tcW w:w="1180" w:type="dxa"/>
            <w:vAlign w:val="bottom"/>
            <w:tcBorders>
              <w:top w:val="single" w:sz="8" w:color="auto"/>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240" w:type="dxa"/>
            <w:vAlign w:val="bottom"/>
            <w:tcBorders>
              <w:top w:val="single" w:sz="8" w:color="auto"/>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140" w:type="dxa"/>
            <w:vAlign w:val="bottom"/>
            <w:tcBorders>
              <w:top w:val="single" w:sz="8" w:color="auto"/>
            </w:tcBorders>
            <w:shd w:val="clear" w:color="auto" w:fill="D2EEF5"/>
          </w:tcPr>
          <w:p>
            <w:pPr>
              <w:spacing w:after="0"/>
              <w:rPr>
                <w:sz w:val="16"/>
                <w:szCs w:val="16"/>
                <w:color w:val="auto"/>
              </w:rPr>
            </w:pPr>
          </w:p>
        </w:tc>
        <w:tc>
          <w:tcPr>
            <w:tcW w:w="1100" w:type="dxa"/>
            <w:vAlign w:val="bottom"/>
            <w:tcBorders>
              <w:top w:val="single" w:sz="8" w:color="auto"/>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D2EEF5"/>
            </w:tcBorders>
            <w:shd w:val="clear" w:color="auto" w:fill="D2EEF5"/>
          </w:tcPr>
          <w:p>
            <w:pPr>
              <w:spacing w:after="0"/>
              <w:rPr>
                <w:sz w:val="16"/>
                <w:szCs w:val="16"/>
                <w:color w:val="auto"/>
              </w:rPr>
            </w:pPr>
          </w:p>
        </w:tc>
        <w:tc>
          <w:tcPr>
            <w:tcW w:w="40" w:type="dxa"/>
            <w:vAlign w:val="bottom"/>
            <w:tcBorders>
              <w:top w:val="single" w:sz="8" w:color="D2EEF5"/>
            </w:tcBorders>
            <w:shd w:val="clear" w:color="auto" w:fill="D2EEF5"/>
          </w:tcPr>
          <w:p>
            <w:pPr>
              <w:spacing w:after="0"/>
              <w:rPr>
                <w:sz w:val="16"/>
                <w:szCs w:val="16"/>
                <w:color w:val="auto"/>
              </w:rPr>
            </w:pPr>
          </w:p>
        </w:tc>
        <w:tc>
          <w:tcPr>
            <w:tcW w:w="20" w:type="dxa"/>
            <w:vAlign w:val="bottom"/>
            <w:tcBorders>
              <w:top w:val="single" w:sz="8" w:color="auto"/>
            </w:tcBorders>
            <w:shd w:val="clear" w:color="auto" w:fill="D2EEF5"/>
          </w:tcPr>
          <w:p>
            <w:pPr>
              <w:spacing w:after="0"/>
              <w:rPr>
                <w:sz w:val="16"/>
                <w:szCs w:val="16"/>
                <w:color w:val="auto"/>
              </w:rPr>
            </w:pPr>
          </w:p>
        </w:tc>
        <w:tc>
          <w:tcPr>
            <w:tcW w:w="160" w:type="dxa"/>
            <w:vAlign w:val="bottom"/>
            <w:tcBorders>
              <w:top w:val="single" w:sz="8" w:color="auto"/>
            </w:tcBorders>
            <w:shd w:val="clear" w:color="auto" w:fill="D2EEF5"/>
          </w:tcPr>
          <w:p>
            <w:pPr>
              <w:spacing w:after="0"/>
              <w:rPr>
                <w:sz w:val="16"/>
                <w:szCs w:val="16"/>
                <w:color w:val="auto"/>
              </w:rPr>
            </w:pPr>
          </w:p>
        </w:tc>
        <w:tc>
          <w:tcPr>
            <w:tcW w:w="1040" w:type="dxa"/>
            <w:vAlign w:val="bottom"/>
            <w:tcBorders>
              <w:top w:val="single" w:sz="8" w:color="auto"/>
            </w:tcBorders>
            <w:shd w:val="clear" w:color="auto" w:fill="D2EEF5"/>
          </w:tcPr>
          <w:p>
            <w:pPr>
              <w:spacing w:after="0"/>
              <w:rPr>
                <w:sz w:val="16"/>
                <w:szCs w:val="16"/>
                <w:color w:val="auto"/>
              </w:rPr>
            </w:pPr>
          </w:p>
        </w:tc>
      </w:tr>
      <w:tr>
        <w:trPr>
          <w:trHeight w:val="240"/>
        </w:trPr>
        <w:tc>
          <w:tcPr>
            <w:tcW w:w="2980" w:type="dxa"/>
            <w:vAlign w:val="bottom"/>
          </w:tcPr>
          <w:p>
            <w:pPr>
              <w:spacing w:after="0"/>
              <w:rPr>
                <w:sz w:val="20"/>
                <w:szCs w:val="20"/>
                <w:color w:val="auto"/>
              </w:rPr>
            </w:pPr>
            <w:r>
              <w:rPr>
                <w:rFonts w:ascii="Arial" w:cs="Arial" w:eastAsia="Arial" w:hAnsi="Arial"/>
                <w:sz w:val="18"/>
                <w:szCs w:val="18"/>
                <w:b w:val="1"/>
                <w:bCs w:val="1"/>
                <w:color w:val="auto"/>
              </w:rPr>
              <w:t>December 31, 2023: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2980" w:type="dxa"/>
            <w:vAlign w:val="bottom"/>
            <w:shd w:val="clear" w:color="auto" w:fill="D2EEF5"/>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1,352</w:t>
            </w:r>
          </w:p>
        </w:tc>
        <w:tc>
          <w:tcPr>
            <w:tcW w:w="6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10,143</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4,163</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720</w:t>
            </w:r>
          </w:p>
        </w:tc>
        <w:tc>
          <w:tcPr>
            <w:tcW w:w="2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20" w:type="dxa"/>
            <w:vAlign w:val="bottom"/>
            <w:gridSpan w:val="3"/>
            <w:shd w:val="clear" w:color="auto" w:fill="D2EEF5"/>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17,487</w:t>
            </w:r>
          </w:p>
        </w:tc>
      </w:tr>
      <w:tr>
        <w:trPr>
          <w:trHeight w:val="236"/>
        </w:trPr>
        <w:tc>
          <w:tcPr>
            <w:tcW w:w="2980" w:type="dxa"/>
            <w:vAlign w:val="bottom"/>
          </w:tcPr>
          <w:p>
            <w:pPr>
              <w:spacing w:after="0"/>
              <w:rPr>
                <w:sz w:val="20"/>
                <w:szCs w:val="20"/>
                <w:color w:val="auto"/>
              </w:rPr>
            </w:pPr>
            <w:r>
              <w:rPr>
                <w:rFonts w:ascii="Arial" w:cs="Arial" w:eastAsia="Arial" w:hAnsi="Arial"/>
                <w:sz w:val="18"/>
                <w:szCs w:val="18"/>
                <w:color w:val="auto"/>
              </w:rPr>
              <w:t>Cumulative effect of adoption of</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6"/>
        </w:trPr>
        <w:tc>
          <w:tcPr>
            <w:tcW w:w="2980" w:type="dxa"/>
            <w:vAlign w:val="bottom"/>
          </w:tcPr>
          <w:p>
            <w:pPr>
              <w:spacing w:after="0"/>
              <w:rPr>
                <w:sz w:val="20"/>
                <w:szCs w:val="20"/>
                <w:color w:val="auto"/>
              </w:rPr>
            </w:pPr>
            <w:r>
              <w:rPr>
                <w:rFonts w:ascii="Arial" w:cs="Arial" w:eastAsia="Arial" w:hAnsi="Arial"/>
                <w:sz w:val="18"/>
                <w:szCs w:val="18"/>
                <w:color w:val="auto"/>
              </w:rPr>
              <w:t xml:space="preserve">accounting principle </w:t>
            </w:r>
            <w:r>
              <w:rPr>
                <w:rFonts w:ascii="Arial" w:cs="Arial" w:eastAsia="Arial" w:hAnsi="Arial"/>
                <w:sz w:val="24"/>
                <w:szCs w:val="24"/>
                <w:color w:val="auto"/>
                <w:vertAlign w:val="superscript"/>
              </w:rPr>
              <w:t>(2)</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(2,158)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69"/>
        </w:trPr>
        <w:tc>
          <w:tcPr>
            <w:tcW w:w="2980" w:type="dxa"/>
            <w:vAlign w:val="bottom"/>
            <w:shd w:val="clear" w:color="auto" w:fill="D2EEF5"/>
          </w:tcPr>
          <w:p>
            <w:pPr>
              <w:spacing w:after="0" w:line="268"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(3)</w:t>
            </w:r>
          </w:p>
        </w:tc>
        <w:tc>
          <w:tcPr>
            <w:tcW w:w="10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10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(882)</w:t>
            </w:r>
          </w:p>
        </w:tc>
        <w:tc>
          <w:tcPr>
            <w:tcW w:w="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1,897</w:t>
            </w:r>
          </w:p>
        </w:tc>
        <w:tc>
          <w:tcPr>
            <w:tcW w:w="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40" w:type="dxa"/>
            <w:vAlign w:val="bottom"/>
            <w:shd w:val="clear" w:color="auto" w:fill="D2EEF5"/>
          </w:tcPr>
          <w:p>
            <w:pPr>
              <w:spacing w:after="0"/>
              <w:rPr>
                <w:sz w:val="23"/>
                <w:szCs w:val="23"/>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1,225</w:t>
            </w:r>
          </w:p>
        </w:tc>
        <w:tc>
          <w:tcPr>
            <w:tcW w:w="2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2,503</w:t>
            </w: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60"/>
        </w:trPr>
        <w:tc>
          <w:tcPr>
            <w:tcW w:w="29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Charge-offs</w:t>
            </w:r>
          </w:p>
        </w:tc>
        <w:tc>
          <w:tcPr>
            <w:tcW w:w="10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D2EEF5"/>
            </w:tcBorders>
            <w:shd w:val="clear" w:color="auto" w:fill="D2EEF5"/>
          </w:tcPr>
          <w:p>
            <w:pPr>
              <w:spacing w:after="0"/>
              <w:rPr>
                <w:sz w:val="22"/>
                <w:szCs w:val="22"/>
                <w:color w:val="auto"/>
              </w:rPr>
            </w:pPr>
          </w:p>
        </w:tc>
        <w:tc>
          <w:tcPr>
            <w:tcW w:w="100" w:type="dxa"/>
            <w:vAlign w:val="bottom"/>
            <w:tcBorders>
              <w:bottom w:val="single" w:sz="8" w:color="auto"/>
            </w:tcBorders>
            <w:shd w:val="clear" w:color="auto" w:fill="D2EEF5"/>
          </w:tcPr>
          <w:p>
            <w:pPr>
              <w:spacing w:after="0"/>
              <w:rPr>
                <w:sz w:val="22"/>
                <w:szCs w:val="22"/>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auto"/>
            </w:tcBorders>
            <w:shd w:val="clear" w:color="auto" w:fill="D2EEF5"/>
          </w:tcPr>
          <w:p>
            <w:pPr>
              <w:spacing w:after="0"/>
              <w:rPr>
                <w:sz w:val="22"/>
                <w:szCs w:val="22"/>
                <w:color w:val="auto"/>
              </w:rPr>
            </w:pPr>
          </w:p>
        </w:tc>
        <w:tc>
          <w:tcPr>
            <w:tcW w:w="1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80" w:type="dxa"/>
            <w:vAlign w:val="bottom"/>
            <w:tcBorders>
              <w:bottom w:val="single" w:sz="8" w:color="auto"/>
            </w:tcBorders>
            <w:shd w:val="clear" w:color="auto" w:fill="D2EEF5"/>
          </w:tcPr>
          <w:p>
            <w:pPr>
              <w:spacing w:after="0"/>
              <w:rPr>
                <w:sz w:val="22"/>
                <w:szCs w:val="22"/>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spacing w:after="0"/>
              <w:rPr>
                <w:sz w:val="22"/>
                <w:szCs w:val="22"/>
                <w:color w:val="auto"/>
              </w:rPr>
            </w:pPr>
          </w:p>
        </w:tc>
        <w:tc>
          <w:tcPr>
            <w:tcW w:w="1120" w:type="dxa"/>
            <w:vAlign w:val="bottom"/>
            <w:tcBorders>
              <w:bottom w:val="single" w:sz="8" w:color="auto"/>
            </w:tcBorders>
            <w:gridSpan w:val="2"/>
            <w:shd w:val="clear" w:color="auto" w:fill="D2EEF5"/>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29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10,366</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21,084</w:t>
            </w:r>
          </w:p>
        </w:tc>
      </w:tr>
      <w:tr>
        <w:trPr>
          <w:trHeight w:val="20"/>
        </w:trPr>
        <w:tc>
          <w:tcPr>
            <w:tcW w:w="2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ind w:right="600"/>
        <w:spacing w:after="0" w:line="269" w:lineRule="auto"/>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Provision for credit losses excludes $199 thousand provision for unfunded commitments included in other liabilities and $2 thousand release for investment securities held to maturity.</w:t>
      </w:r>
    </w:p>
    <w:p>
      <w:pPr>
        <w:spacing w:after="0" w:line="24" w:lineRule="exact"/>
        <w:rPr>
          <w:rFonts w:ascii="Arial" w:cs="Arial" w:eastAsia="Arial" w:hAnsi="Arial"/>
          <w:sz w:val="16"/>
          <w:szCs w:val="16"/>
          <w:color w:val="auto"/>
        </w:rPr>
      </w:pPr>
    </w:p>
    <w:p>
      <w:pPr>
        <w:ind w:left="240" w:hanging="240"/>
        <w:spacing w:after="0"/>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Impact of CECL adoption on January 1, 2023</w:t>
      </w:r>
    </w:p>
    <w:p>
      <w:pPr>
        <w:spacing w:after="0" w:line="56" w:lineRule="exact"/>
        <w:rPr>
          <w:rFonts w:ascii="Arial" w:cs="Arial" w:eastAsia="Arial" w:hAnsi="Arial"/>
          <w:sz w:val="16"/>
          <w:szCs w:val="16"/>
          <w:color w:val="auto"/>
        </w:rPr>
      </w:pPr>
    </w:p>
    <w:p>
      <w:pPr>
        <w:ind w:right="600"/>
        <w:spacing w:after="0" w:line="284" w:lineRule="auto"/>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Provision for credit losses excludes $144 thousand release for unfunded commitments included in other liabilities and $8 thousand provision for investment securities held to maturity.</w:t>
      </w:r>
    </w:p>
    <w:p>
      <w:pPr>
        <w:spacing w:after="0" w:line="282" w:lineRule="exact"/>
        <w:rPr>
          <w:sz w:val="20"/>
          <w:szCs w:val="20"/>
          <w:color w:val="auto"/>
        </w:rPr>
      </w:pPr>
    </w:p>
    <w:p>
      <w:pPr>
        <w:ind w:right="180" w:firstLine="360"/>
        <w:spacing w:after="0" w:line="282" w:lineRule="auto"/>
        <w:rPr>
          <w:sz w:val="20"/>
          <w:szCs w:val="20"/>
          <w:color w:val="auto"/>
        </w:rPr>
      </w:pPr>
      <w:r>
        <w:rPr>
          <w:rFonts w:ascii="Arial" w:cs="Arial" w:eastAsia="Arial" w:hAnsi="Arial"/>
          <w:sz w:val="20"/>
          <w:szCs w:val="20"/>
          <w:color w:val="auto"/>
        </w:rPr>
        <w:t>Allowance for credit losses and the outstanding balances in loans as of December 31, 2024 and 2023 are as follows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Residential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Commercial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Commercial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Correspondent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Consumer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140" w:type="dxa"/>
            <w:vAlign w:val="bottom"/>
            <w:tcBorders>
              <w:bottom w:val="single" w:sz="8" w:color="D2EEF5"/>
            </w:tcBorders>
          </w:tcPr>
          <w:p>
            <w:pPr>
              <w:spacing w:after="0"/>
              <w:rPr>
                <w:sz w:val="19"/>
                <w:szCs w:val="19"/>
                <w:color w:val="auto"/>
              </w:rPr>
            </w:pPr>
          </w:p>
        </w:tc>
        <w:tc>
          <w:tcPr>
            <w:tcW w:w="30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Real Estate</w:t>
            </w:r>
          </w:p>
        </w:tc>
        <w:tc>
          <w:tcPr>
            <w:tcW w:w="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Real Estate</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and Industrial</w:t>
            </w:r>
          </w:p>
        </w:tc>
        <w:tc>
          <w:tcPr>
            <w:tcW w:w="4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Banks</w:t>
            </w:r>
          </w:p>
        </w:tc>
        <w:tc>
          <w:tcPr>
            <w:tcW w:w="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and Other</w:t>
            </w:r>
          </w:p>
        </w:tc>
        <w:tc>
          <w:tcPr>
            <w:tcW w:w="2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0"/>
        </w:trPr>
        <w:tc>
          <w:tcPr>
            <w:tcW w:w="3220" w:type="dxa"/>
            <w:vAlign w:val="bottom"/>
            <w:gridSpan w:val="3"/>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shd w:val="clear" w:color="auto" w:fill="D2EEF5"/>
          </w:tcPr>
          <w:p>
            <w:pPr>
              <w:spacing w:after="0"/>
              <w:rPr>
                <w:sz w:val="19"/>
                <w:szCs w:val="19"/>
                <w:color w:val="auto"/>
              </w:rPr>
            </w:pPr>
          </w:p>
        </w:tc>
        <w:tc>
          <w:tcPr>
            <w:tcW w:w="11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60" w:type="dxa"/>
            <w:vAlign w:val="bottom"/>
            <w:tcBorders>
              <w:right w:val="single" w:sz="8" w:color="D2EEF5"/>
            </w:tcBorders>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2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2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040" w:type="dxa"/>
            <w:vAlign w:val="bottom"/>
            <w:shd w:val="clear" w:color="auto" w:fill="D2EEF5"/>
          </w:tcPr>
          <w:p>
            <w:pPr>
              <w:spacing w:after="0"/>
              <w:rPr>
                <w:sz w:val="19"/>
                <w:szCs w:val="19"/>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140" w:type="dxa"/>
            <w:vAlign w:val="bottom"/>
            <w:shd w:val="clear" w:color="auto" w:fill="D2EEF5"/>
          </w:tcPr>
          <w:p>
            <w:pPr>
              <w:spacing w:after="0"/>
              <w:rPr>
                <w:sz w:val="20"/>
                <w:szCs w:val="20"/>
                <w:color w:val="auto"/>
              </w:rPr>
            </w:pPr>
          </w:p>
        </w:tc>
        <w:tc>
          <w:tcPr>
            <w:tcW w:w="30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D2EEF5"/>
            </w:tcBorders>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651</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718</w:t>
            </w:r>
          </w:p>
        </w:tc>
      </w:tr>
      <w:tr>
        <w:trPr>
          <w:trHeight w:val="240"/>
        </w:trPr>
        <w:tc>
          <w:tcPr>
            <w:tcW w:w="140" w:type="dxa"/>
            <w:vAlign w:val="bottom"/>
            <w:tcBorders>
              <w:bottom w:val="single" w:sz="8" w:color="D2EEF5"/>
            </w:tcBorders>
          </w:tcPr>
          <w:p>
            <w:pPr>
              <w:spacing w:after="0"/>
              <w:rPr>
                <w:sz w:val="20"/>
                <w:szCs w:val="20"/>
                <w:color w:val="auto"/>
              </w:rPr>
            </w:pPr>
          </w:p>
        </w:tc>
        <w:tc>
          <w:tcPr>
            <w:tcW w:w="308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23,352</w:t>
            </w:r>
          </w:p>
        </w:tc>
      </w:tr>
      <w:tr>
        <w:trPr>
          <w:trHeight w:val="240"/>
        </w:trPr>
        <w:tc>
          <w:tcPr>
            <w:tcW w:w="140" w:type="dxa"/>
            <w:vAlign w:val="bottom"/>
            <w:shd w:val="clear" w:color="auto" w:fill="D2EEF5"/>
          </w:tcPr>
          <w:p>
            <w:pPr>
              <w:spacing w:after="0"/>
              <w:rPr>
                <w:sz w:val="20"/>
                <w:szCs w:val="20"/>
                <w:color w:val="auto"/>
              </w:rPr>
            </w:pPr>
          </w:p>
        </w:tc>
        <w:tc>
          <w:tcPr>
            <w:tcW w:w="30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5,121</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8,788</w:t>
            </w:r>
          </w:p>
        </w:tc>
        <w:tc>
          <w:tcPr>
            <w:tcW w:w="60" w:type="dxa"/>
            <w:vAlign w:val="bottom"/>
            <w:tcBorders>
              <w:bottom w:val="single" w:sz="8" w:color="auto"/>
              <w:right w:val="single" w:sz="8" w:color="D2EEF5"/>
            </w:tcBorders>
          </w:tcPr>
          <w:p>
            <w:pPr>
              <w:spacing w:after="0"/>
              <w:rPr>
                <w:sz w:val="20"/>
                <w:szCs w:val="20"/>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4,633</w:t>
            </w: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654</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4,874</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24,070</w:t>
            </w: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3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40"/>
        </w:trPr>
        <w:tc>
          <w:tcPr>
            <w:tcW w:w="322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D2EEF5"/>
          </w:tcPr>
          <w:p>
            <w:pPr>
              <w:spacing w:after="0"/>
              <w:rPr>
                <w:sz w:val="20"/>
                <w:szCs w:val="20"/>
                <w:color w:val="auto"/>
              </w:rPr>
            </w:pPr>
          </w:p>
        </w:tc>
        <w:tc>
          <w:tcPr>
            <w:tcW w:w="1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60" w:type="dxa"/>
            <w:vAlign w:val="bottom"/>
            <w:tcBorders>
              <w:right w:val="single" w:sz="8" w:color="D2EEF5"/>
            </w:tcBorders>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2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2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0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6,788</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9,468</w:t>
            </w:r>
          </w:p>
        </w:tc>
      </w:tr>
      <w:tr>
        <w:trPr>
          <w:trHeight w:val="252"/>
        </w:trPr>
        <w:tc>
          <w:tcPr>
            <w:tcW w:w="140" w:type="dxa"/>
            <w:vAlign w:val="bottom"/>
            <w:tcBorders>
              <w:bottom w:val="single" w:sz="8" w:color="D2EEF5"/>
            </w:tcBorders>
            <w:shd w:val="clear" w:color="auto" w:fill="D2EEF5"/>
          </w:tcPr>
          <w:p>
            <w:pPr>
              <w:spacing w:after="0"/>
              <w:rPr>
                <w:sz w:val="21"/>
                <w:szCs w:val="21"/>
                <w:color w:val="auto"/>
              </w:rPr>
            </w:pPr>
          </w:p>
        </w:tc>
        <w:tc>
          <w:tcPr>
            <w:tcW w:w="30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shd w:val="clear" w:color="auto" w:fill="D2EEF5"/>
          </w:tcPr>
          <w:p>
            <w:pPr>
              <w:spacing w:after="0"/>
              <w:rPr>
                <w:sz w:val="21"/>
                <w:szCs w:val="21"/>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283,173</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1,136,417</w:t>
            </w:r>
          </w:p>
        </w:tc>
        <w:tc>
          <w:tcPr>
            <w:tcW w:w="60" w:type="dxa"/>
            <w:vAlign w:val="bottom"/>
            <w:tcBorders>
              <w:right w:val="single" w:sz="8" w:color="D2EEF5"/>
            </w:tcBorders>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257,621</w:t>
            </w:r>
          </w:p>
        </w:tc>
        <w:tc>
          <w:tcPr>
            <w:tcW w:w="4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82,438</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196,101</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60" w:type="dxa"/>
            <w:vAlign w:val="bottom"/>
            <w:tcBorders>
              <w:bottom w:val="single" w:sz="8" w:color="auto"/>
            </w:tcBorders>
            <w:shd w:val="clear" w:color="auto" w:fill="D2EEF5"/>
          </w:tcPr>
          <w:p>
            <w:pPr>
              <w:spacing w:after="0"/>
              <w:rPr>
                <w:sz w:val="21"/>
                <w:szCs w:val="21"/>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1,955,750</w:t>
            </w:r>
          </w:p>
        </w:tc>
      </w:tr>
      <w:tr>
        <w:trPr>
          <w:trHeight w:val="248"/>
        </w:trPr>
        <w:tc>
          <w:tcPr>
            <w:tcW w:w="14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289,961</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1,136,417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258,311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82,438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198,091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1,965,218</w:t>
            </w:r>
          </w:p>
        </w:tc>
      </w:tr>
      <w:tr>
        <w:trPr>
          <w:trHeight w:val="180"/>
        </w:trPr>
        <w:tc>
          <w:tcPr>
            <w:tcW w:w="140" w:type="dxa"/>
            <w:vAlign w:val="bottom"/>
            <w:tcBorders>
              <w:top w:val="single" w:sz="8" w:color="D2EEF5"/>
            </w:tcBorders>
            <w:shd w:val="clear" w:color="auto" w:fill="D2EEF5"/>
          </w:tcPr>
          <w:p>
            <w:pPr>
              <w:spacing w:after="0"/>
              <w:rPr>
                <w:sz w:val="15"/>
                <w:szCs w:val="15"/>
                <w:color w:val="auto"/>
              </w:rPr>
            </w:pPr>
          </w:p>
        </w:tc>
        <w:tc>
          <w:tcPr>
            <w:tcW w:w="30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110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1120" w:type="dxa"/>
            <w:vAlign w:val="bottom"/>
            <w:tcBorders>
              <w:top w:val="single" w:sz="8" w:color="auto"/>
            </w:tcBorders>
            <w:shd w:val="clear" w:color="auto" w:fill="D2EEF5"/>
          </w:tcPr>
          <w:p>
            <w:pPr>
              <w:spacing w:after="0"/>
              <w:rPr>
                <w:sz w:val="15"/>
                <w:szCs w:val="15"/>
                <w:color w:val="auto"/>
              </w:rPr>
            </w:pPr>
          </w:p>
        </w:tc>
        <w:tc>
          <w:tcPr>
            <w:tcW w:w="60" w:type="dxa"/>
            <w:vAlign w:val="bottom"/>
            <w:tcBorders>
              <w:top w:val="single" w:sz="8" w:color="auto"/>
              <w:right w:val="single" w:sz="8" w:color="D2EEF5"/>
            </w:tcBorders>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200" w:type="dxa"/>
            <w:vAlign w:val="bottom"/>
            <w:tcBorders>
              <w:top w:val="single" w:sz="8" w:color="auto"/>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124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1040" w:type="dxa"/>
            <w:vAlign w:val="bottom"/>
            <w:tcBorders>
              <w:top w:val="single" w:sz="8" w:color="auto"/>
            </w:tcBorders>
            <w:shd w:val="clear" w:color="auto" w:fill="D2EEF5"/>
          </w:tcPr>
          <w:p>
            <w:pPr>
              <w:spacing w:after="0"/>
              <w:rPr>
                <w:sz w:val="15"/>
                <w:szCs w:val="15"/>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December 31, 2023: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22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D2EEF5"/>
          </w:tcPr>
          <w:p>
            <w:pPr>
              <w:spacing w:after="0"/>
              <w:rPr>
                <w:sz w:val="20"/>
                <w:szCs w:val="20"/>
                <w:color w:val="auto"/>
              </w:rPr>
            </w:pPr>
          </w:p>
        </w:tc>
        <w:tc>
          <w:tcPr>
            <w:tcW w:w="11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60" w:type="dxa"/>
            <w:vAlign w:val="bottom"/>
            <w:tcBorders>
              <w:right w:val="single" w:sz="8" w:color="D2EEF5"/>
            </w:tcBorders>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2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2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08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52"/>
        </w:trPr>
        <w:tc>
          <w:tcPr>
            <w:tcW w:w="140" w:type="dxa"/>
            <w:vAlign w:val="bottom"/>
            <w:tcBorders>
              <w:bottom w:val="single" w:sz="8" w:color="D2EEF5"/>
            </w:tcBorders>
            <w:shd w:val="clear" w:color="auto" w:fill="D2EEF5"/>
          </w:tcPr>
          <w:p>
            <w:pPr>
              <w:spacing w:after="0"/>
              <w:rPr>
                <w:sz w:val="21"/>
                <w:szCs w:val="21"/>
                <w:color w:val="auto"/>
              </w:rPr>
            </w:pPr>
          </w:p>
        </w:tc>
        <w:tc>
          <w:tcPr>
            <w:tcW w:w="30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shd w:val="clear" w:color="auto" w:fill="D2EEF5"/>
          </w:tcPr>
          <w:p>
            <w:pPr>
              <w:spacing w:after="0"/>
              <w:rPr>
                <w:sz w:val="21"/>
                <w:szCs w:val="21"/>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00" w:type="dxa"/>
            <w:vAlign w:val="bottom"/>
            <w:tcBorders>
              <w:bottom w:val="single" w:sz="8" w:color="auto"/>
            </w:tcBorders>
            <w:shd w:val="clear" w:color="auto" w:fill="D2EEF5"/>
          </w:tcPr>
          <w:p>
            <w:pPr>
              <w:spacing w:after="0"/>
              <w:rPr>
                <w:sz w:val="21"/>
                <w:szCs w:val="21"/>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10,366</w:t>
            </w:r>
          </w:p>
        </w:tc>
        <w:tc>
          <w:tcPr>
            <w:tcW w:w="60" w:type="dxa"/>
            <w:vAlign w:val="bottom"/>
            <w:tcBorders>
              <w:right w:val="single" w:sz="8" w:color="D2EEF5"/>
            </w:tcBorders>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3,846</w:t>
            </w:r>
          </w:p>
        </w:tc>
        <w:tc>
          <w:tcPr>
            <w:tcW w:w="4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3,138</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60" w:type="dxa"/>
            <w:vAlign w:val="bottom"/>
            <w:tcBorders>
              <w:bottom w:val="single" w:sz="8" w:color="auto"/>
            </w:tcBorders>
            <w:shd w:val="clear" w:color="auto" w:fill="D2EEF5"/>
          </w:tcPr>
          <w:p>
            <w:pPr>
              <w:spacing w:after="0"/>
              <w:rPr>
                <w:sz w:val="21"/>
                <w:szCs w:val="21"/>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20,811</w:t>
            </w:r>
          </w:p>
        </w:tc>
      </w:tr>
      <w:tr>
        <w:trPr>
          <w:trHeight w:val="248"/>
        </w:trPr>
        <w:tc>
          <w:tcPr>
            <w:tcW w:w="14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2,695</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3,974</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3,138</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21,084</w:t>
            </w:r>
          </w:p>
        </w:tc>
      </w:tr>
      <w:tr>
        <w:trPr>
          <w:trHeight w:val="180"/>
        </w:trPr>
        <w:tc>
          <w:tcPr>
            <w:tcW w:w="140" w:type="dxa"/>
            <w:vAlign w:val="bottom"/>
            <w:tcBorders>
              <w:top w:val="single" w:sz="8" w:color="D2EEF5"/>
            </w:tcBorders>
            <w:shd w:val="clear" w:color="auto" w:fill="D2EEF5"/>
          </w:tcPr>
          <w:p>
            <w:pPr>
              <w:spacing w:after="0"/>
              <w:rPr>
                <w:sz w:val="15"/>
                <w:szCs w:val="15"/>
                <w:color w:val="auto"/>
              </w:rPr>
            </w:pPr>
          </w:p>
        </w:tc>
        <w:tc>
          <w:tcPr>
            <w:tcW w:w="30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110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1120" w:type="dxa"/>
            <w:vAlign w:val="bottom"/>
            <w:tcBorders>
              <w:top w:val="single" w:sz="8" w:color="auto"/>
            </w:tcBorders>
            <w:shd w:val="clear" w:color="auto" w:fill="D2EEF5"/>
          </w:tcPr>
          <w:p>
            <w:pPr>
              <w:spacing w:after="0"/>
              <w:rPr>
                <w:sz w:val="15"/>
                <w:szCs w:val="15"/>
                <w:color w:val="auto"/>
              </w:rPr>
            </w:pPr>
          </w:p>
        </w:tc>
        <w:tc>
          <w:tcPr>
            <w:tcW w:w="60" w:type="dxa"/>
            <w:vAlign w:val="bottom"/>
            <w:tcBorders>
              <w:top w:val="single" w:sz="8" w:color="auto"/>
              <w:right w:val="single" w:sz="8" w:color="D2EEF5"/>
            </w:tcBorders>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200" w:type="dxa"/>
            <w:vAlign w:val="bottom"/>
            <w:tcBorders>
              <w:top w:val="single" w:sz="8" w:color="auto"/>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spacing w:after="0"/>
              <w:rPr>
                <w:sz w:val="15"/>
                <w:szCs w:val="15"/>
                <w:color w:val="auto"/>
              </w:rPr>
            </w:pPr>
          </w:p>
        </w:tc>
        <w:tc>
          <w:tcPr>
            <w:tcW w:w="124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1040" w:type="dxa"/>
            <w:vAlign w:val="bottom"/>
            <w:tcBorders>
              <w:top w:val="single" w:sz="8" w:color="auto"/>
            </w:tcBorders>
            <w:shd w:val="clear" w:color="auto" w:fill="D2EEF5"/>
          </w:tcPr>
          <w:p>
            <w:pPr>
              <w:spacing w:after="0"/>
              <w:rPr>
                <w:sz w:val="15"/>
                <w:szCs w:val="15"/>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140" w:type="dxa"/>
            <w:vAlign w:val="bottom"/>
            <w:shd w:val="clear" w:color="auto" w:fill="D2EEF5"/>
          </w:tcPr>
          <w:p>
            <w:pPr>
              <w:spacing w:after="0"/>
              <w:rPr>
                <w:sz w:val="20"/>
                <w:szCs w:val="20"/>
                <w:color w:val="auto"/>
              </w:rPr>
            </w:pPr>
          </w:p>
        </w:tc>
        <w:tc>
          <w:tcPr>
            <w:tcW w:w="30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6,994</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D2EEF5"/>
            </w:tcBorders>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1,668</w:t>
            </w: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8,662</w:t>
            </w:r>
          </w:p>
        </w:tc>
      </w:tr>
      <w:tr>
        <w:trPr>
          <w:trHeight w:val="240"/>
        </w:trPr>
        <w:tc>
          <w:tcPr>
            <w:tcW w:w="140" w:type="dxa"/>
            <w:vAlign w:val="bottom"/>
            <w:tcBorders>
              <w:bottom w:val="single" w:sz="8" w:color="D2EEF5"/>
            </w:tcBorders>
          </w:tcPr>
          <w:p>
            <w:pPr>
              <w:spacing w:after="0"/>
              <w:rPr>
                <w:sz w:val="20"/>
                <w:szCs w:val="20"/>
                <w:color w:val="auto"/>
              </w:rPr>
            </w:pPr>
          </w:p>
        </w:tc>
        <w:tc>
          <w:tcPr>
            <w:tcW w:w="308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197,425</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1,047,593</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218,089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114,945</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191,930</w:t>
            </w:r>
          </w:p>
        </w:tc>
        <w:tc>
          <w:tcPr>
            <w:tcW w:w="2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1,769,982</w:t>
            </w:r>
          </w:p>
        </w:tc>
      </w:tr>
      <w:tr>
        <w:trPr>
          <w:trHeight w:val="217"/>
        </w:trPr>
        <w:tc>
          <w:tcPr>
            <w:tcW w:w="140" w:type="dxa"/>
            <w:vAlign w:val="bottom"/>
            <w:shd w:val="clear" w:color="auto" w:fill="D2EEF5"/>
          </w:tcPr>
          <w:p>
            <w:pPr>
              <w:spacing w:after="0"/>
              <w:rPr>
                <w:sz w:val="18"/>
                <w:szCs w:val="18"/>
                <w:color w:val="auto"/>
              </w:rPr>
            </w:pPr>
          </w:p>
        </w:tc>
        <w:tc>
          <w:tcPr>
            <w:tcW w:w="30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204,419</w:t>
            </w:r>
          </w:p>
        </w:tc>
        <w:tc>
          <w:tcPr>
            <w:tcW w:w="2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1,047,593</w:t>
            </w:r>
          </w:p>
        </w:tc>
        <w:tc>
          <w:tcPr>
            <w:tcW w:w="60" w:type="dxa"/>
            <w:vAlign w:val="bottom"/>
            <w:tcBorders>
              <w:right w:val="single" w:sz="8" w:color="D2EEF5"/>
            </w:tcBorders>
          </w:tcPr>
          <w:p>
            <w:pPr>
              <w:spacing w:after="0"/>
              <w:rPr>
                <w:sz w:val="18"/>
                <w:szCs w:val="18"/>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219,757</w:t>
            </w:r>
          </w:p>
        </w:tc>
        <w:tc>
          <w:tcPr>
            <w:tcW w:w="4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114,945</w:t>
            </w:r>
          </w:p>
        </w:tc>
        <w:tc>
          <w:tcPr>
            <w:tcW w:w="2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191,930</w:t>
            </w:r>
          </w:p>
        </w:tc>
        <w:tc>
          <w:tcPr>
            <w:tcW w:w="2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1,778,644</w:t>
            </w:r>
          </w:p>
        </w:tc>
      </w:tr>
      <w:tr>
        <w:trPr>
          <w:trHeight w:val="20"/>
        </w:trPr>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2800985</wp:posOffset>
                </wp:positionH>
                <wp:positionV relativeFrom="paragraph">
                  <wp:posOffset>-3230880</wp:posOffset>
                </wp:positionV>
                <wp:extent cx="27305" cy="127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2EEF5"/>
                        </a:solidFill>
                      </wps:spPr>
                      <wps:bodyPr/>
                    </wps:wsp>
                  </a:graphicData>
                </a:graphic>
              </wp:anchor>
            </w:drawing>
          </mc:Choice>
          <mc:Fallback>
            <w:pict>
              <v:rect id="Shape 67" o:spid="_x0000_s1092" style="position:absolute;margin-left:220.55pt;margin-top:-254.39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-3230880</wp:posOffset>
                </wp:positionV>
                <wp:extent cx="29210" cy="127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68" o:spid="_x0000_s1093" style="position:absolute;margin-left:353.25pt;margin-top:-254.3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-3230880</wp:posOffset>
                </wp:positionV>
                <wp:extent cx="27305" cy="127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2EEF5"/>
                        </a:solidFill>
                      </wps:spPr>
                      <wps:bodyPr/>
                    </wps:wsp>
                  </a:graphicData>
                </a:graphic>
              </wp:anchor>
            </w:drawing>
          </mc:Choice>
          <mc:Fallback>
            <w:pict>
              <v:rect id="Shape 69" o:spid="_x0000_s1094" style="position:absolute;margin-left:424.55pt;margin-top:-254.39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-3230880</wp:posOffset>
                </wp:positionV>
                <wp:extent cx="29210"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70" o:spid="_x0000_s1095" style="position:absolute;margin-left:486.7pt;margin-top:-254.3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-2621280</wp:posOffset>
                </wp:positionV>
                <wp:extent cx="29210" cy="12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71" o:spid="_x0000_s1096" style="position:absolute;margin-left:353.25pt;margin-top:-206.3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2800985</wp:posOffset>
                </wp:positionH>
                <wp:positionV relativeFrom="paragraph">
                  <wp:posOffset>-1703705</wp:posOffset>
                </wp:positionV>
                <wp:extent cx="27305" cy="2921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2EEF5"/>
                        </a:solidFill>
                      </wps:spPr>
                      <wps:bodyPr/>
                    </wps:wsp>
                  </a:graphicData>
                </a:graphic>
              </wp:anchor>
            </w:drawing>
          </mc:Choice>
          <mc:Fallback>
            <w:pict>
              <v:rect id="Shape 72" o:spid="_x0000_s1097" style="position:absolute;margin-left:220.55pt;margin-top:-134.14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-1703705</wp:posOffset>
                </wp:positionV>
                <wp:extent cx="29210" cy="2921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2EEF5"/>
                        </a:solidFill>
                      </wps:spPr>
                      <wps:bodyPr/>
                    </wps:wsp>
                  </a:graphicData>
                </a:graphic>
              </wp:anchor>
            </w:drawing>
          </mc:Choice>
          <mc:Fallback>
            <w:pict>
              <v:rect id="Shape 73" o:spid="_x0000_s1098" style="position:absolute;margin-left:353.25pt;margin-top:-134.14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-1703705</wp:posOffset>
                </wp:positionV>
                <wp:extent cx="27305" cy="2921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2EEF5"/>
                        </a:solidFill>
                      </wps:spPr>
                      <wps:bodyPr/>
                    </wps:wsp>
                  </a:graphicData>
                </a:graphic>
              </wp:anchor>
            </w:drawing>
          </mc:Choice>
          <mc:Fallback>
            <w:pict>
              <v:rect id="Shape 74" o:spid="_x0000_s1099" style="position:absolute;margin-left:424.55pt;margin-top:-134.14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-1703705</wp:posOffset>
                </wp:positionV>
                <wp:extent cx="29210" cy="2921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2EEF5"/>
                        </a:solidFill>
                      </wps:spPr>
                      <wps:bodyPr/>
                    </wps:wsp>
                  </a:graphicData>
                </a:graphic>
              </wp:anchor>
            </w:drawing>
          </mc:Choice>
          <mc:Fallback>
            <w:pict>
              <v:rect id="Shape 75" o:spid="_x0000_s1100" style="position:absolute;margin-left:486.7pt;margin-top:-134.14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2800985</wp:posOffset>
                </wp:positionH>
                <wp:positionV relativeFrom="paragraph">
                  <wp:posOffset>-789305</wp:posOffset>
                </wp:positionV>
                <wp:extent cx="27305" cy="2921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2EEF5"/>
                        </a:solidFill>
                      </wps:spPr>
                      <wps:bodyPr/>
                    </wps:wsp>
                  </a:graphicData>
                </a:graphic>
              </wp:anchor>
            </w:drawing>
          </mc:Choice>
          <mc:Fallback>
            <w:pict>
              <v:rect id="Shape 76" o:spid="_x0000_s1101" style="position:absolute;margin-left:220.55pt;margin-top:-62.14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-789305</wp:posOffset>
                </wp:positionV>
                <wp:extent cx="29210" cy="2921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2EEF5"/>
                        </a:solidFill>
                      </wps:spPr>
                      <wps:bodyPr/>
                    </wps:wsp>
                  </a:graphicData>
                </a:graphic>
              </wp:anchor>
            </w:drawing>
          </mc:Choice>
          <mc:Fallback>
            <w:pict>
              <v:rect id="Shape 77" o:spid="_x0000_s1102" style="position:absolute;margin-left:353.25pt;margin-top:-62.14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-789305</wp:posOffset>
                </wp:positionV>
                <wp:extent cx="27305" cy="2921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2EEF5"/>
                        </a:solidFill>
                      </wps:spPr>
                      <wps:bodyPr/>
                    </wps:wsp>
                  </a:graphicData>
                </a:graphic>
              </wp:anchor>
            </w:drawing>
          </mc:Choice>
          <mc:Fallback>
            <w:pict>
              <v:rect id="Shape 78" o:spid="_x0000_s1103" style="position:absolute;margin-left:424.55pt;margin-top:-62.14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-789305</wp:posOffset>
                </wp:positionV>
                <wp:extent cx="29210" cy="2921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2EEF5"/>
                        </a:solidFill>
                      </wps:spPr>
                      <wps:bodyPr/>
                    </wps:wsp>
                  </a:graphicData>
                </a:graphic>
              </wp:anchor>
            </w:drawing>
          </mc:Choice>
          <mc:Fallback>
            <w:pict>
              <v:rect id="Shape 79" o:spid="_x0000_s1104" style="position:absolute;margin-left:486.7pt;margin-top:-62.14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-182880</wp:posOffset>
                </wp:positionV>
                <wp:extent cx="29210" cy="127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80" o:spid="_x0000_s1105" style="position:absolute;margin-left:353.25pt;margin-top:-14.3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Quality Indicators</w:t>
      </w:r>
    </w:p>
    <w:p>
      <w:pPr>
        <w:spacing w:after="0" w:line="235" w:lineRule="exact"/>
        <w:rPr>
          <w:sz w:val="20"/>
          <w:szCs w:val="20"/>
          <w:color w:val="auto"/>
        </w:rPr>
      </w:pPr>
    </w:p>
    <w:p>
      <w:pPr>
        <w:ind w:right="180" w:firstLine="360"/>
        <w:spacing w:after="0" w:line="310" w:lineRule="auto"/>
        <w:rPr>
          <w:sz w:val="20"/>
          <w:szCs w:val="20"/>
          <w:color w:val="auto"/>
        </w:rPr>
      </w:pPr>
      <w:r>
        <w:rPr>
          <w:rFonts w:ascii="Arial" w:cs="Arial" w:eastAsia="Arial" w:hAnsi="Arial"/>
          <w:sz w:val="19"/>
          <w:szCs w:val="19"/>
          <w:color w:val="auto"/>
        </w:rPr>
        <w:t>The Company grades loans based on the estimated capability of the borrower to repay the contractual obligation of the loan agreement based on relevant information which may include: current financial information on the borrower, historical</w:t>
      </w:r>
    </w:p>
    <w:p>
      <w:pPr>
        <w:spacing w:after="0" w:line="376" w:lineRule="exact"/>
        <w:rPr>
          <w:sz w:val="20"/>
          <w:szCs w:val="20"/>
          <w:color w:val="auto"/>
        </w:rPr>
      </w:pPr>
    </w:p>
    <w:p>
      <w:pPr>
        <w:jc w:val="center"/>
        <w:ind w:right="180"/>
        <w:spacing w:after="0"/>
        <w:tabs>
          <w:tab w:leader="none" w:pos="380" w:val="left"/>
          <w:tab w:leader="none" w:pos="20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2024 10-K</w:t>
      </w:r>
    </w:p>
    <w:p>
      <w:pPr>
        <w:sectPr>
          <w:pgSz w:w="12240" w:h="15877" w:orient="portrait"/>
          <w:cols w:equalWidth="0" w:num="1">
            <w:col w:w="10980"/>
          </w:cols>
          <w:pgMar w:left="720" w:top="355" w:right="540" w:bottom="0" w:gutter="0" w:footer="0" w:header="0"/>
        </w:sectPr>
      </w:pPr>
    </w:p>
    <w:bookmarkStart w:id="99" w:name="page100"/>
    <w:bookmarkEnd w:id="9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payment experience, credit documentation and other current economic trends. Internal credit risk grades are evaluated periodically.</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Company's internally assigned credit risk grades are as follows: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Pass </w:t>
      </w:r>
      <w:r>
        <w:rPr>
          <w:rFonts w:ascii="Arial" w:cs="Arial" w:eastAsia="Arial" w:hAnsi="Arial"/>
          <w:sz w:val="20"/>
          <w:szCs w:val="20"/>
          <w:color w:val="auto"/>
        </w:rPr>
        <w:t>– Loans indicate different levels of satisfactory financial condition and performance.</w:t>
      </w:r>
    </w:p>
    <w:p>
      <w:pPr>
        <w:spacing w:after="0" w:line="231" w:lineRule="exact"/>
        <w:rPr>
          <w:sz w:val="20"/>
          <w:szCs w:val="20"/>
          <w:color w:val="auto"/>
        </w:rPr>
      </w:pPr>
    </w:p>
    <w:p>
      <w:pPr>
        <w:ind w:left="720" w:right="160"/>
        <w:spacing w:after="0" w:line="263" w:lineRule="auto"/>
        <w:rPr>
          <w:sz w:val="20"/>
          <w:szCs w:val="20"/>
          <w:color w:val="auto"/>
        </w:rPr>
      </w:pPr>
      <w:r>
        <w:rPr>
          <w:rFonts w:ascii="Arial" w:cs="Arial" w:eastAsia="Arial" w:hAnsi="Arial"/>
          <w:sz w:val="20"/>
          <w:szCs w:val="20"/>
          <w:b w:val="1"/>
          <w:bCs w:val="1"/>
          <w:color w:val="auto"/>
        </w:rPr>
        <w:t xml:space="preserve">Special Mention </w:t>
      </w:r>
      <w:r>
        <w:rPr>
          <w:rFonts w:ascii="Arial" w:cs="Arial" w:eastAsia="Arial" w:hAnsi="Arial"/>
          <w:sz w:val="20"/>
          <w:szCs w:val="20"/>
          <w:color w:val="auto"/>
        </w:rPr>
        <w:t>– Loans classified as special mention have a potential weakness that deserves management’s</w:t>
      </w:r>
      <w:r>
        <w:rPr>
          <w:rFonts w:ascii="Arial" w:cs="Arial" w:eastAsia="Arial" w:hAnsi="Arial"/>
          <w:sz w:val="20"/>
          <w:szCs w:val="20"/>
          <w:b w:val="1"/>
          <w:bCs w:val="1"/>
          <w:color w:val="auto"/>
        </w:rPr>
        <w:t xml:space="preserve"> </w:t>
      </w:r>
      <w:r>
        <w:rPr>
          <w:rFonts w:ascii="Arial" w:cs="Arial" w:eastAsia="Arial" w:hAnsi="Arial"/>
          <w:sz w:val="20"/>
          <w:szCs w:val="20"/>
          <w:color w:val="auto"/>
        </w:rPr>
        <w:t>close attention. If left uncorrected, these potential weaknesses may result in deterioration of the repayment prospects for the loan or of the institution’s credit position at some future date.</w:t>
      </w:r>
    </w:p>
    <w:p>
      <w:pPr>
        <w:spacing w:after="0" w:line="163" w:lineRule="exact"/>
        <w:rPr>
          <w:sz w:val="20"/>
          <w:szCs w:val="20"/>
          <w:color w:val="auto"/>
        </w:rPr>
      </w:pPr>
    </w:p>
    <w:p>
      <w:pPr>
        <w:jc w:val="both"/>
        <w:ind w:left="720" w:right="180"/>
        <w:spacing w:after="0" w:line="255" w:lineRule="auto"/>
        <w:rPr>
          <w:sz w:val="20"/>
          <w:szCs w:val="20"/>
          <w:color w:val="auto"/>
        </w:rPr>
      </w:pPr>
      <w:r>
        <w:rPr>
          <w:rFonts w:ascii="Arial" w:cs="Arial" w:eastAsia="Arial" w:hAnsi="Arial"/>
          <w:sz w:val="20"/>
          <w:szCs w:val="20"/>
          <w:b w:val="1"/>
          <w:bCs w:val="1"/>
          <w:color w:val="auto"/>
        </w:rPr>
        <w:t xml:space="preserve">Substandard </w:t>
      </w:r>
      <w:r>
        <w:rPr>
          <w:rFonts w:ascii="Arial" w:cs="Arial" w:eastAsia="Arial" w:hAnsi="Arial"/>
          <w:sz w:val="20"/>
          <w:szCs w:val="20"/>
          <w:color w:val="auto"/>
        </w:rPr>
        <w:t>– Loans classified as substandard are inadequately protected by the current net worth and paying</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3" w:lineRule="exact"/>
        <w:rPr>
          <w:sz w:val="20"/>
          <w:szCs w:val="20"/>
          <w:color w:val="auto"/>
        </w:rPr>
      </w:pPr>
    </w:p>
    <w:p>
      <w:pPr>
        <w:jc w:val="both"/>
        <w:ind w:left="720" w:right="20"/>
        <w:spacing w:after="0" w:line="263" w:lineRule="auto"/>
        <w:rPr>
          <w:sz w:val="20"/>
          <w:szCs w:val="20"/>
          <w:color w:val="auto"/>
        </w:rPr>
      </w:pPr>
      <w:r>
        <w:rPr>
          <w:rFonts w:ascii="Arial" w:cs="Arial" w:eastAsia="Arial" w:hAnsi="Arial"/>
          <w:sz w:val="20"/>
          <w:szCs w:val="20"/>
          <w:b w:val="1"/>
          <w:bCs w:val="1"/>
          <w:color w:val="auto"/>
        </w:rPr>
        <w:t xml:space="preserve">Doubtful </w:t>
      </w:r>
      <w:r>
        <w:rPr>
          <w:rFonts w:ascii="Arial" w:cs="Arial" w:eastAsia="Arial" w:hAnsi="Arial"/>
          <w:sz w:val="20"/>
          <w:szCs w:val="20"/>
          <w:color w:val="auto"/>
        </w:rPr>
        <w:t>– Loans classified as doubtful have all the weaknesses inherent in those classified at substandard,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added characteristic that the weaknesses make collection or liquidation in full on the basis of currently existing facts, conditions, and values, highly questionable and improbable.</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Loss </w:t>
      </w:r>
      <w:r>
        <w:rPr>
          <w:rFonts w:ascii="Arial" w:cs="Arial" w:eastAsia="Arial" w:hAnsi="Arial"/>
          <w:sz w:val="20"/>
          <w:szCs w:val="20"/>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00" w:name="page101"/>
    <w:bookmarkEnd w:id="100"/>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Loan credit exposures by internally assigned grades are presented below for the periods indicated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As of December 31, 2024</w:t>
            </w: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Term Loans by Origination Year</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Revolving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Prior</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Loans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Residential real estate</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109,590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39,666</w:t>
            </w: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23,039</w:t>
            </w:r>
          </w:p>
        </w:tc>
        <w:tc>
          <w:tcPr>
            <w:tcW w:w="4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5,791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10,885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289,401</w:t>
            </w:r>
          </w:p>
        </w:tc>
        <w:tc>
          <w:tcPr>
            <w:tcW w:w="0" w:type="dxa"/>
            <w:vAlign w:val="bottom"/>
          </w:tcPr>
          <w:p>
            <w:pPr>
              <w:spacing w:after="0"/>
              <w:rPr>
                <w:sz w:val="1"/>
                <w:szCs w:val="1"/>
                <w:color w:val="auto"/>
              </w:rPr>
            </w:pPr>
          </w:p>
        </w:tc>
      </w:tr>
      <w:tr>
        <w:trPr>
          <w:trHeight w:val="252"/>
        </w:trPr>
        <w:tc>
          <w:tcPr>
            <w:tcW w:w="180" w:type="dxa"/>
            <w:vAlign w:val="bottom"/>
            <w:tcBorders>
              <w:bottom w:val="single" w:sz="8" w:color="D2EEF5"/>
            </w:tcBorders>
            <w:shd w:val="clear" w:color="auto" w:fill="D2EEF5"/>
          </w:tcPr>
          <w:p>
            <w:pPr>
              <w:spacing w:after="0"/>
              <w:rPr>
                <w:sz w:val="21"/>
                <w:szCs w:val="21"/>
                <w:color w:val="auto"/>
              </w:rPr>
            </w:pPr>
          </w:p>
        </w:tc>
        <w:tc>
          <w:tcPr>
            <w:tcW w:w="17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Substandard</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280" w:type="dxa"/>
            <w:vAlign w:val="bottom"/>
            <w:tcBorders>
              <w:bottom w:val="single" w:sz="8" w:color="auto"/>
            </w:tcBorders>
            <w:shd w:val="clear" w:color="auto" w:fill="D2EEF5"/>
          </w:tcPr>
          <w:p>
            <w:pPr>
              <w:spacing w:after="0"/>
              <w:rPr>
                <w:sz w:val="21"/>
                <w:szCs w:val="21"/>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109,590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23,039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66,675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289,961</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Pass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175,023</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130,503</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317,971</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175,535</w:t>
            </w: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98,695</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231,558</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4,680</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1,133,965</w:t>
            </w:r>
          </w:p>
        </w:tc>
        <w:tc>
          <w:tcPr>
            <w:tcW w:w="0" w:type="dxa"/>
            <w:vAlign w:val="bottom"/>
          </w:tcPr>
          <w:p>
            <w:pPr>
              <w:spacing w:after="0"/>
              <w:rPr>
                <w:sz w:val="1"/>
                <w:szCs w:val="1"/>
                <w:color w:val="auto"/>
              </w:rPr>
            </w:pPr>
          </w:p>
        </w:tc>
      </w:tr>
      <w:tr>
        <w:trPr>
          <w:trHeight w:val="240"/>
        </w:trPr>
        <w:tc>
          <w:tcPr>
            <w:tcW w:w="180" w:type="dxa"/>
            <w:vAlign w:val="bottom"/>
            <w:tcBorders>
              <w:bottom w:val="single" w:sz="8" w:color="D2EEF5"/>
            </w:tcBorders>
          </w:tcPr>
          <w:p>
            <w:pPr>
              <w:spacing w:after="0"/>
              <w:rPr>
                <w:sz w:val="20"/>
                <w:szCs w:val="20"/>
                <w:color w:val="auto"/>
              </w:rPr>
            </w:pPr>
          </w:p>
        </w:tc>
        <w:tc>
          <w:tcPr>
            <w:tcW w:w="176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Substandard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20"/>
        </w:trPr>
        <w:tc>
          <w:tcPr>
            <w:tcW w:w="1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600" w:type="dxa"/>
            <w:vAlign w:val="bottom"/>
            <w:shd w:val="clear" w:color="auto" w:fill="D2EEF5"/>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175,023</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130,503</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317,971</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177,300</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99,382</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231,558</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4,680</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1,136,417</w:t>
            </w: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rPr>
              <w:t>Commercial and</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00" w:type="dxa"/>
            <w:vAlign w:val="bottom"/>
            <w:tcBorders>
              <w:bottom w:val="single" w:sz="8" w:color="D2EEF5"/>
            </w:tcBorders>
            <w:gridSpan w:val="3"/>
            <w:shd w:val="clear" w:color="auto" w:fill="D2EEF5"/>
          </w:tcPr>
          <w:p>
            <w:pPr>
              <w:ind w:left="40"/>
              <w:spacing w:after="0"/>
              <w:rPr>
                <w:sz w:val="20"/>
                <w:szCs w:val="20"/>
                <w:color w:val="auto"/>
              </w:rPr>
            </w:pPr>
            <w:r>
              <w:rPr>
                <w:rFonts w:ascii="Arial" w:cs="Arial" w:eastAsia="Arial" w:hAnsi="Arial"/>
                <w:sz w:val="18"/>
                <w:szCs w:val="18"/>
                <w:color w:val="auto"/>
              </w:rPr>
              <w:t>industrial</w:t>
            </w: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D2EEF5"/>
            </w:tcBorders>
            <w:shd w:val="clear" w:color="auto" w:fill="D2EEF5"/>
          </w:tcPr>
          <w:p>
            <w:pPr>
              <w:spacing w:after="0"/>
              <w:rPr>
                <w:sz w:val="20"/>
                <w:szCs w:val="20"/>
                <w:color w:val="auto"/>
              </w:rPr>
            </w:pPr>
          </w:p>
        </w:tc>
        <w:tc>
          <w:tcPr>
            <w:tcW w:w="8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1060" w:type="dxa"/>
            <w:vAlign w:val="bottom"/>
            <w:tcBorders>
              <w:bottom w:val="single" w:sz="8" w:color="D2EEF5"/>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68,405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80,644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33,962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30,495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11,839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26,795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256,031</w:t>
            </w:r>
          </w:p>
        </w:tc>
        <w:tc>
          <w:tcPr>
            <w:tcW w:w="0" w:type="dxa"/>
            <w:vAlign w:val="bottom"/>
          </w:tcPr>
          <w:p>
            <w:pPr>
              <w:spacing w:after="0"/>
              <w:rPr>
                <w:sz w:val="1"/>
                <w:szCs w:val="1"/>
                <w:color w:val="auto"/>
              </w:rPr>
            </w:pPr>
          </w:p>
        </w:tc>
      </w:tr>
      <w:tr>
        <w:trPr>
          <w:trHeight w:val="252"/>
        </w:trPr>
        <w:tc>
          <w:tcPr>
            <w:tcW w:w="180" w:type="dxa"/>
            <w:vAlign w:val="bottom"/>
            <w:tcBorders>
              <w:bottom w:val="single" w:sz="8" w:color="D2EEF5"/>
            </w:tcBorders>
            <w:shd w:val="clear" w:color="auto" w:fill="D2EEF5"/>
          </w:tcPr>
          <w:p>
            <w:pPr>
              <w:spacing w:after="0"/>
              <w:rPr>
                <w:sz w:val="21"/>
                <w:szCs w:val="21"/>
                <w:color w:val="auto"/>
              </w:rPr>
            </w:pPr>
          </w:p>
        </w:tc>
        <w:tc>
          <w:tcPr>
            <w:tcW w:w="17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Substandard</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519</w:t>
            </w:r>
          </w:p>
        </w:tc>
        <w:tc>
          <w:tcPr>
            <w:tcW w:w="40" w:type="dxa"/>
            <w:vAlign w:val="bottom"/>
            <w:tcBorders>
              <w:bottom w:val="single" w:sz="8" w:color="D2EEF5"/>
            </w:tcBorders>
            <w:shd w:val="clear" w:color="auto" w:fill="D2EEF5"/>
          </w:tcPr>
          <w:p>
            <w:pPr>
              <w:spacing w:after="0"/>
              <w:rPr>
                <w:sz w:val="21"/>
                <w:szCs w:val="21"/>
                <w:color w:val="auto"/>
              </w:rPr>
            </w:pPr>
          </w:p>
        </w:tc>
        <w:tc>
          <w:tcPr>
            <w:tcW w:w="280" w:type="dxa"/>
            <w:vAlign w:val="bottom"/>
            <w:tcBorders>
              <w:bottom w:val="single" w:sz="8" w:color="auto"/>
            </w:tcBorders>
            <w:shd w:val="clear" w:color="auto" w:fill="D2EEF5"/>
          </w:tcPr>
          <w:p>
            <w:pPr>
              <w:spacing w:after="0"/>
              <w:rPr>
                <w:sz w:val="21"/>
                <w:szCs w:val="21"/>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1,093</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80,644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33,962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31,014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258,311</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Pass</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82,438</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82,438</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82,438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82,438</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Consumer and other</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80" w:type="dxa"/>
            <w:vAlign w:val="bottom"/>
            <w:shd w:val="clear" w:color="auto" w:fill="D2EEF5"/>
          </w:tcPr>
          <w:p>
            <w:pPr>
              <w:spacing w:after="0"/>
              <w:rPr>
                <w:sz w:val="21"/>
                <w:szCs w:val="21"/>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Pass</w:t>
            </w:r>
          </w:p>
        </w:tc>
        <w:tc>
          <w:tcPr>
            <w:tcW w:w="4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40,921</w:t>
            </w:r>
          </w:p>
        </w:tc>
        <w:tc>
          <w:tcPr>
            <w:tcW w:w="4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51,392</w:t>
            </w:r>
          </w:p>
        </w:tc>
        <w:tc>
          <w:tcPr>
            <w:tcW w:w="2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65,603</w:t>
            </w:r>
          </w:p>
        </w:tc>
        <w:tc>
          <w:tcPr>
            <w:tcW w:w="2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35,181</w:t>
            </w:r>
          </w:p>
        </w:tc>
        <w:tc>
          <w:tcPr>
            <w:tcW w:w="4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815</w:t>
            </w:r>
          </w:p>
        </w:tc>
        <w:tc>
          <w:tcPr>
            <w:tcW w:w="4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1,698</w:t>
            </w:r>
          </w:p>
        </w:tc>
        <w:tc>
          <w:tcPr>
            <w:tcW w:w="2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196,101</w:t>
            </w:r>
          </w:p>
        </w:tc>
        <w:tc>
          <w:tcPr>
            <w:tcW w:w="0" w:type="dxa"/>
            <w:vAlign w:val="bottom"/>
          </w:tcPr>
          <w:p>
            <w:pPr>
              <w:spacing w:after="0"/>
              <w:rPr>
                <w:sz w:val="1"/>
                <w:szCs w:val="1"/>
                <w:color w:val="auto"/>
              </w:rPr>
            </w:pPr>
          </w:p>
        </w:tc>
      </w:tr>
      <w:tr>
        <w:trPr>
          <w:trHeight w:val="240"/>
        </w:trPr>
        <w:tc>
          <w:tcPr>
            <w:tcW w:w="180" w:type="dxa"/>
            <w:vAlign w:val="bottom"/>
            <w:tcBorders>
              <w:bottom w:val="single" w:sz="8" w:color="D2EEF5"/>
            </w:tcBorders>
          </w:tcPr>
          <w:p>
            <w:pPr>
              <w:spacing w:after="0"/>
              <w:rPr>
                <w:sz w:val="20"/>
                <w:szCs w:val="20"/>
                <w:color w:val="auto"/>
              </w:rPr>
            </w:pPr>
          </w:p>
        </w:tc>
        <w:tc>
          <w:tcPr>
            <w:tcW w:w="176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Substandard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1,990</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0"/>
        </w:trPr>
        <w:tc>
          <w:tcPr>
            <w:tcW w:w="1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600" w:type="dxa"/>
            <w:vAlign w:val="bottom"/>
            <w:shd w:val="clear" w:color="auto" w:fill="D2EEF5"/>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40,921</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51,392</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67,593</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35,181</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815</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1,698</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198,091</w:t>
            </w:r>
          </w:p>
        </w:tc>
        <w:tc>
          <w:tcPr>
            <w:tcW w:w="0" w:type="dxa"/>
            <w:vAlign w:val="bottom"/>
          </w:tcPr>
          <w:p>
            <w:pPr>
              <w:spacing w:after="0"/>
              <w:rPr>
                <w:sz w:val="1"/>
                <w:szCs w:val="1"/>
                <w:color w:val="auto"/>
              </w:rPr>
            </w:pPr>
          </w:p>
        </w:tc>
      </w:tr>
      <w:tr>
        <w:trPr>
          <w:trHeight w:val="240"/>
        </w:trPr>
        <w:tc>
          <w:tcPr>
            <w:tcW w:w="1940" w:type="dxa"/>
            <w:vAlign w:val="bottom"/>
            <w:gridSpan w:val="4"/>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rPr>
              <w:t>Total Loans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476,377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302,205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451,851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264,250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108,868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310,327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44,058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1,957,936</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Special Mention</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52"/>
        </w:trPr>
        <w:tc>
          <w:tcPr>
            <w:tcW w:w="180" w:type="dxa"/>
            <w:vAlign w:val="bottom"/>
            <w:tcBorders>
              <w:bottom w:val="single" w:sz="8" w:color="D2EEF5"/>
            </w:tcBorders>
            <w:shd w:val="clear" w:color="auto" w:fill="D2EEF5"/>
          </w:tcPr>
          <w:p>
            <w:pPr>
              <w:spacing w:after="0"/>
              <w:rPr>
                <w:sz w:val="21"/>
                <w:szCs w:val="21"/>
                <w:color w:val="auto"/>
              </w:rPr>
            </w:pPr>
          </w:p>
        </w:tc>
        <w:tc>
          <w:tcPr>
            <w:tcW w:w="17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Doubtful</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280" w:type="dxa"/>
            <w:vAlign w:val="bottom"/>
            <w:tcBorders>
              <w:bottom w:val="single" w:sz="8" w:color="auto"/>
            </w:tcBorders>
            <w:shd w:val="clear" w:color="auto" w:fill="D2EEF5"/>
          </w:tcPr>
          <w:p>
            <w:pPr>
              <w:spacing w:after="0"/>
              <w:rPr>
                <w:sz w:val="21"/>
                <w:szCs w:val="21"/>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476,377</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302,205</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453,841</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266,534</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109,555</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311,980</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44,726</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1,965,218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1921510</wp:posOffset>
                </wp:positionH>
                <wp:positionV relativeFrom="paragraph">
                  <wp:posOffset>-4916170</wp:posOffset>
                </wp:positionV>
                <wp:extent cx="18415" cy="1206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81" o:spid="_x0000_s1106" style="position:absolute;margin-left:151.3pt;margin-top:-387.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-4916170</wp:posOffset>
                </wp:positionV>
                <wp:extent cx="19685" cy="1206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82" o:spid="_x0000_s1107" style="position:absolute;margin-left:206.75pt;margin-top:-387.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-4916170</wp:posOffset>
                </wp:positionV>
                <wp:extent cx="19685" cy="1206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83" o:spid="_x0000_s1108" style="position:absolute;margin-left:317.25pt;margin-top:-387.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4734560</wp:posOffset>
                </wp:positionH>
                <wp:positionV relativeFrom="paragraph">
                  <wp:posOffset>-4916170</wp:posOffset>
                </wp:positionV>
                <wp:extent cx="18415" cy="1206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84" o:spid="_x0000_s1109" style="position:absolute;margin-left:372.8pt;margin-top:-387.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-4916170</wp:posOffset>
                </wp:positionV>
                <wp:extent cx="19685" cy="1206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85" o:spid="_x0000_s1110" style="position:absolute;margin-left:428.25pt;margin-top:-387.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6144260</wp:posOffset>
                </wp:positionH>
                <wp:positionV relativeFrom="paragraph">
                  <wp:posOffset>-4916170</wp:posOffset>
                </wp:positionV>
                <wp:extent cx="18415" cy="120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86" o:spid="_x0000_s1111" style="position:absolute;margin-left:483.8pt;margin-top:-387.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1921510</wp:posOffset>
                </wp:positionH>
                <wp:positionV relativeFrom="paragraph">
                  <wp:posOffset>-3696970</wp:posOffset>
                </wp:positionV>
                <wp:extent cx="18415" cy="1206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87" o:spid="_x0000_s1112" style="position:absolute;margin-left:151.3pt;margin-top:-291.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-3696970</wp:posOffset>
                </wp:positionV>
                <wp:extent cx="19685" cy="1206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88" o:spid="_x0000_s1113" style="position:absolute;margin-left:206.75pt;margin-top:-291.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3331210</wp:posOffset>
                </wp:positionH>
                <wp:positionV relativeFrom="paragraph">
                  <wp:posOffset>-3696970</wp:posOffset>
                </wp:positionV>
                <wp:extent cx="12065" cy="1206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D2EEF5"/>
                        </a:solidFill>
                      </wps:spPr>
                      <wps:bodyPr/>
                    </wps:wsp>
                  </a:graphicData>
                </a:graphic>
              </wp:anchor>
            </w:drawing>
          </mc:Choice>
          <mc:Fallback>
            <w:pict>
              <v:rect id="Shape 89" o:spid="_x0000_s1114" style="position:absolute;margin-left:262.3pt;margin-top:-291.0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-3696970</wp:posOffset>
                </wp:positionV>
                <wp:extent cx="19685" cy="1206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90" o:spid="_x0000_s1115" style="position:absolute;margin-left:317.25pt;margin-top:-291.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4734560</wp:posOffset>
                </wp:positionH>
                <wp:positionV relativeFrom="paragraph">
                  <wp:posOffset>-3696970</wp:posOffset>
                </wp:positionV>
                <wp:extent cx="18415" cy="1206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91" o:spid="_x0000_s1116" style="position:absolute;margin-left:372.8pt;margin-top:-291.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-3696970</wp:posOffset>
                </wp:positionV>
                <wp:extent cx="19685" cy="1206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2EEF5"/>
                        </a:solidFill>
                      </wps:spPr>
                      <wps:bodyPr/>
                    </wps:wsp>
                  </a:graphicData>
                </a:graphic>
              </wp:anchor>
            </w:drawing>
          </mc:Choice>
          <mc:Fallback>
            <w:pict>
              <v:rect id="Shape 92" o:spid="_x0000_s1117" style="position:absolute;margin-left:428.25pt;margin-top:-291.0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6144260</wp:posOffset>
                </wp:positionH>
                <wp:positionV relativeFrom="paragraph">
                  <wp:posOffset>-3696970</wp:posOffset>
                </wp:positionV>
                <wp:extent cx="18415" cy="1206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2EEF5"/>
                        </a:solidFill>
                      </wps:spPr>
                      <wps:bodyPr/>
                    </wps:wsp>
                  </a:graphicData>
                </a:graphic>
              </wp:anchor>
            </w:drawing>
          </mc:Choice>
          <mc:Fallback>
            <w:pict>
              <v:rect id="Shape 93" o:spid="_x0000_s1118" style="position:absolute;margin-left:483.8pt;margin-top:-291.0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-1258570</wp:posOffset>
                </wp:positionV>
                <wp:extent cx="19685" cy="1270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94" o:spid="_x0000_s1119" style="position:absolute;margin-left:206.75pt;margin-top:-99.0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-1258570</wp:posOffset>
                </wp:positionV>
                <wp:extent cx="19685" cy="1270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95" o:spid="_x0000_s1120" style="position:absolute;margin-left:317.25pt;margin-top:-99.0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tabs>
          <w:tab w:leader="none" w:pos="360" w:val="left"/>
          <w:tab w:leader="none" w:pos="2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940"/>
          </w:cols>
          <w:pgMar w:left="720" w:top="355" w:right="580" w:bottom="0" w:gutter="0" w:footer="0" w:header="0"/>
        </w:sectPr>
      </w:pPr>
    </w:p>
    <w:bookmarkStart w:id="101" w:name="page102"/>
    <w:bookmarkEnd w:id="101"/>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Notes to the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As of December 31, 2023</w:t>
            </w: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Term Loans by Origination Year</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Revolving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Prior</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Loans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Residential real estate</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44,365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36,325</w:t>
            </w: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26,180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4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9,325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6,198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204,127</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Substandard</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292</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44,365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36,325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26,180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75,654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204,419</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Pass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148,311</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337,938</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184,024</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104,182</w:t>
            </w: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78,153</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182,714</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4,710</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1,040,032</w:t>
            </w:r>
          </w:p>
        </w:tc>
        <w:tc>
          <w:tcPr>
            <w:tcW w:w="0" w:type="dxa"/>
            <w:vAlign w:val="bottom"/>
          </w:tcPr>
          <w:p>
            <w:pPr>
              <w:spacing w:after="0"/>
              <w:rPr>
                <w:sz w:val="1"/>
                <w:szCs w:val="1"/>
                <w:color w:val="auto"/>
              </w:rPr>
            </w:pPr>
          </w:p>
        </w:tc>
      </w:tr>
      <w:tr>
        <w:trPr>
          <w:trHeight w:val="240"/>
        </w:trPr>
        <w:tc>
          <w:tcPr>
            <w:tcW w:w="180" w:type="dxa"/>
            <w:vAlign w:val="bottom"/>
            <w:tcBorders>
              <w:bottom w:val="single" w:sz="8" w:color="D2EEF5"/>
            </w:tcBorders>
          </w:tcPr>
          <w:p>
            <w:pPr>
              <w:spacing w:after="0"/>
              <w:rPr>
                <w:sz w:val="20"/>
                <w:szCs w:val="20"/>
                <w:color w:val="auto"/>
              </w:rPr>
            </w:pPr>
          </w:p>
        </w:tc>
        <w:tc>
          <w:tcPr>
            <w:tcW w:w="176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Substandard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20"/>
        </w:trPr>
        <w:tc>
          <w:tcPr>
            <w:tcW w:w="1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600" w:type="dxa"/>
            <w:vAlign w:val="bottom"/>
            <w:shd w:val="clear" w:color="auto" w:fill="D2EEF5"/>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148,311</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337,938</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190,891</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104,876</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78,153</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182,714</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4,710</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1,047,593</w:t>
            </w: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rPr>
              <w:t>Commercial and</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00" w:type="dxa"/>
            <w:vAlign w:val="bottom"/>
            <w:tcBorders>
              <w:bottom w:val="single" w:sz="8" w:color="D2EEF5"/>
            </w:tcBorders>
            <w:gridSpan w:val="3"/>
            <w:shd w:val="clear" w:color="auto" w:fill="D2EEF5"/>
          </w:tcPr>
          <w:p>
            <w:pPr>
              <w:ind w:left="40"/>
              <w:spacing w:after="0"/>
              <w:rPr>
                <w:sz w:val="20"/>
                <w:szCs w:val="20"/>
                <w:color w:val="auto"/>
              </w:rPr>
            </w:pPr>
            <w:r>
              <w:rPr>
                <w:rFonts w:ascii="Arial" w:cs="Arial" w:eastAsia="Arial" w:hAnsi="Arial"/>
                <w:sz w:val="18"/>
                <w:szCs w:val="18"/>
                <w:color w:val="auto"/>
              </w:rPr>
              <w:t>industrial</w:t>
            </w: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D2EEF5"/>
            </w:tcBorders>
            <w:shd w:val="clear" w:color="auto" w:fill="D2EEF5"/>
          </w:tcPr>
          <w:p>
            <w:pPr>
              <w:spacing w:after="0"/>
              <w:rPr>
                <w:sz w:val="20"/>
                <w:szCs w:val="20"/>
                <w:color w:val="auto"/>
              </w:rPr>
            </w:pPr>
          </w:p>
        </w:tc>
        <w:tc>
          <w:tcPr>
            <w:tcW w:w="8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1060" w:type="dxa"/>
            <w:vAlign w:val="bottom"/>
            <w:tcBorders>
              <w:bottom w:val="single" w:sz="8" w:color="D2EEF5"/>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97,753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34,090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13,706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25,554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218,129</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Substandard</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330</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1,298</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97,753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34,420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25,554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219,757</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gridSpan w:val="4"/>
          </w:tcPr>
          <w:p>
            <w:pPr>
              <w:ind w:left="40"/>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Pass</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114,945</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6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gridSpan w:val="4"/>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rPr>
              <w:t>Consumer and other</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00" w:type="dxa"/>
            <w:vAlign w:val="bottom"/>
            <w:tcBorders>
              <w:bottom w:val="single" w:sz="8" w:color="D2EEF5"/>
            </w:tcBorders>
            <w:gridSpan w:val="3"/>
            <w:shd w:val="clear" w:color="auto" w:fill="D2EEF5"/>
          </w:tcPr>
          <w:p>
            <w:pPr>
              <w:ind w:left="40"/>
              <w:spacing w:after="0"/>
              <w:rPr>
                <w:sz w:val="20"/>
                <w:szCs w:val="20"/>
                <w:color w:val="auto"/>
              </w:rPr>
            </w:pPr>
            <w:r>
              <w:rPr>
                <w:rFonts w:ascii="Arial" w:cs="Arial" w:eastAsia="Arial" w:hAnsi="Arial"/>
                <w:sz w:val="18"/>
                <w:szCs w:val="18"/>
                <w:color w:val="auto"/>
              </w:rPr>
              <w:t>loans</w:t>
            </w: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D2EEF5"/>
            </w:tcBorders>
            <w:shd w:val="clear" w:color="auto" w:fill="D2EEF5"/>
          </w:tcPr>
          <w:p>
            <w:pPr>
              <w:spacing w:after="0"/>
              <w:rPr>
                <w:sz w:val="20"/>
                <w:szCs w:val="20"/>
                <w:color w:val="auto"/>
              </w:rPr>
            </w:pPr>
          </w:p>
        </w:tc>
        <w:tc>
          <w:tcPr>
            <w:tcW w:w="8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4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90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D2EEF5"/>
            </w:tcBorders>
            <w:shd w:val="clear" w:color="auto" w:fill="D2EEF5"/>
          </w:tcPr>
          <w:p>
            <w:pPr>
              <w:spacing w:after="0"/>
              <w:rPr>
                <w:sz w:val="20"/>
                <w:szCs w:val="20"/>
                <w:color w:val="auto"/>
              </w:rPr>
            </w:pPr>
          </w:p>
        </w:tc>
        <w:tc>
          <w:tcPr>
            <w:tcW w:w="1060" w:type="dxa"/>
            <w:vAlign w:val="bottom"/>
            <w:tcBorders>
              <w:bottom w:val="single" w:sz="8" w:color="D2EEF5"/>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D2EEF5"/>
            </w:tcBorders>
          </w:tcPr>
          <w:p>
            <w:pPr>
              <w:spacing w:after="0"/>
              <w:rPr>
                <w:sz w:val="20"/>
                <w:szCs w:val="20"/>
                <w:color w:val="auto"/>
              </w:rPr>
            </w:pPr>
          </w:p>
        </w:tc>
        <w:tc>
          <w:tcPr>
            <w:tcW w:w="176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71,593</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74,387</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41,966</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c>
          <w:tcPr>
            <w:tcW w:w="4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1,472</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191,930</w:t>
            </w:r>
          </w:p>
        </w:tc>
        <w:tc>
          <w:tcPr>
            <w:tcW w:w="0" w:type="dxa"/>
            <w:vAlign w:val="bottom"/>
          </w:tcPr>
          <w:p>
            <w:pPr>
              <w:spacing w:after="0"/>
              <w:rPr>
                <w:sz w:val="1"/>
                <w:szCs w:val="1"/>
                <w:color w:val="auto"/>
              </w:rPr>
            </w:pPr>
          </w:p>
        </w:tc>
      </w:tr>
      <w:tr>
        <w:trPr>
          <w:trHeight w:val="220"/>
        </w:trPr>
        <w:tc>
          <w:tcPr>
            <w:tcW w:w="1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1600" w:type="dxa"/>
            <w:vAlign w:val="bottom"/>
            <w:shd w:val="clear" w:color="auto" w:fill="D2EEF5"/>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71,593</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74,387</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41,966</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615</w:t>
            </w:r>
          </w:p>
        </w:tc>
        <w:tc>
          <w:tcPr>
            <w:tcW w:w="4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560</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191,930</w:t>
            </w:r>
          </w:p>
        </w:tc>
        <w:tc>
          <w:tcPr>
            <w:tcW w:w="0" w:type="dxa"/>
            <w:vAlign w:val="bottom"/>
          </w:tcPr>
          <w:p>
            <w:pPr>
              <w:spacing w:after="0"/>
              <w:rPr>
                <w:sz w:val="1"/>
                <w:szCs w:val="1"/>
                <w:color w:val="auto"/>
              </w:rPr>
            </w:pPr>
          </w:p>
        </w:tc>
      </w:tr>
      <w:tr>
        <w:trPr>
          <w:trHeight w:val="240"/>
        </w:trPr>
        <w:tc>
          <w:tcPr>
            <w:tcW w:w="1940" w:type="dxa"/>
            <w:vAlign w:val="bottom"/>
            <w:gridSpan w:val="4"/>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00" w:type="dxa"/>
            <w:vAlign w:val="bottom"/>
            <w:gridSpan w:val="3"/>
            <w:shd w:val="clear" w:color="auto" w:fill="D2EEF5"/>
          </w:tcPr>
          <w:p>
            <w:pPr>
              <w:ind w:left="40"/>
              <w:spacing w:after="0"/>
              <w:rPr>
                <w:sz w:val="20"/>
                <w:szCs w:val="20"/>
                <w:color w:val="auto"/>
              </w:rPr>
            </w:pPr>
            <w:r>
              <w:rPr>
                <w:rFonts w:ascii="Arial" w:cs="Arial" w:eastAsia="Arial" w:hAnsi="Arial"/>
                <w:sz w:val="18"/>
                <w:szCs w:val="18"/>
                <w:color w:val="auto"/>
              </w:rPr>
              <w:t>Total Loans</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Pass</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476,967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486,064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286,260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117,376</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101,744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262,818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37,934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1,769,163</w:t>
            </w:r>
          </w:p>
        </w:tc>
        <w:tc>
          <w:tcPr>
            <w:tcW w:w="0" w:type="dxa"/>
            <w:vAlign w:val="bottom"/>
          </w:tcPr>
          <w:p>
            <w:pPr>
              <w:spacing w:after="0"/>
              <w:rPr>
                <w:sz w:val="1"/>
                <w:szCs w:val="1"/>
                <w:color w:val="auto"/>
              </w:rPr>
            </w:pPr>
          </w:p>
        </w:tc>
      </w:tr>
      <w:tr>
        <w:trPr>
          <w:trHeight w:val="240"/>
        </w:trPr>
        <w:tc>
          <w:tcPr>
            <w:tcW w:w="180" w:type="dxa"/>
            <w:vAlign w:val="bottom"/>
            <w:shd w:val="clear" w:color="auto" w:fill="D2EEF5"/>
          </w:tcPr>
          <w:p>
            <w:pPr>
              <w:spacing w:after="0"/>
              <w:rPr>
                <w:sz w:val="20"/>
                <w:szCs w:val="20"/>
                <w:color w:val="auto"/>
              </w:rPr>
            </w:pPr>
          </w:p>
        </w:tc>
        <w:tc>
          <w:tcPr>
            <w:tcW w:w="172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Special Mention</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8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0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52"/>
        </w:trPr>
        <w:tc>
          <w:tcPr>
            <w:tcW w:w="180" w:type="dxa"/>
            <w:vAlign w:val="bottom"/>
            <w:tcBorders>
              <w:bottom w:val="single" w:sz="8" w:color="D2EEF5"/>
            </w:tcBorders>
            <w:shd w:val="clear" w:color="auto" w:fill="D2EEF5"/>
          </w:tcPr>
          <w:p>
            <w:pPr>
              <w:spacing w:after="0"/>
              <w:rPr>
                <w:sz w:val="21"/>
                <w:szCs w:val="21"/>
                <w:color w:val="auto"/>
              </w:rPr>
            </w:pPr>
          </w:p>
        </w:tc>
        <w:tc>
          <w:tcPr>
            <w:tcW w:w="17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Doubtful</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280" w:type="dxa"/>
            <w:vAlign w:val="bottom"/>
            <w:tcBorders>
              <w:bottom w:val="single" w:sz="8" w:color="auto"/>
            </w:tcBorders>
            <w:shd w:val="clear" w:color="auto" w:fill="D2EEF5"/>
          </w:tcPr>
          <w:p>
            <w:pPr>
              <w:spacing w:after="0"/>
              <w:rPr>
                <w:sz w:val="21"/>
                <w:szCs w:val="21"/>
                <w:color w:val="auto"/>
              </w:rPr>
            </w:pPr>
          </w:p>
        </w:tc>
        <w:tc>
          <w:tcPr>
            <w:tcW w:w="8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06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476,967</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486,064</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293,457</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118,070</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103,334</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262,818</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37,934</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1,778,644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1921510</wp:posOffset>
                </wp:positionH>
                <wp:positionV relativeFrom="paragraph">
                  <wp:posOffset>-4918075</wp:posOffset>
                </wp:positionV>
                <wp:extent cx="18415" cy="1270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96" o:spid="_x0000_s1121" style="position:absolute;margin-left:151.3pt;margin-top:-387.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-4918075</wp:posOffset>
                </wp:positionV>
                <wp:extent cx="19685" cy="127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97" o:spid="_x0000_s1122" style="position:absolute;margin-left:206.75pt;margin-top:-387.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-4918075</wp:posOffset>
                </wp:positionV>
                <wp:extent cx="19685" cy="127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98" o:spid="_x0000_s1123" style="position:absolute;margin-left:317.25pt;margin-top:-387.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4734560</wp:posOffset>
                </wp:positionH>
                <wp:positionV relativeFrom="paragraph">
                  <wp:posOffset>-4918075</wp:posOffset>
                </wp:positionV>
                <wp:extent cx="18415" cy="1270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99" o:spid="_x0000_s1124" style="position:absolute;margin-left:372.8pt;margin-top:-387.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-4918075</wp:posOffset>
                </wp:positionV>
                <wp:extent cx="19685" cy="127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00" o:spid="_x0000_s1125" style="position:absolute;margin-left:428.25pt;margin-top:-387.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6144260</wp:posOffset>
                </wp:positionH>
                <wp:positionV relativeFrom="paragraph">
                  <wp:posOffset>-4918075</wp:posOffset>
                </wp:positionV>
                <wp:extent cx="18415" cy="127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101" o:spid="_x0000_s1126" style="position:absolute;margin-left:483.8pt;margin-top:-387.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-3698875</wp:posOffset>
                </wp:positionV>
                <wp:extent cx="19685" cy="127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02" o:spid="_x0000_s1127" style="position:absolute;margin-left:206.75pt;margin-top:-291.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-3698875</wp:posOffset>
                </wp:positionV>
                <wp:extent cx="19685" cy="12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03" o:spid="_x0000_s1128" style="position:absolute;margin-left:317.25pt;margin-top:-291.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-1260475</wp:posOffset>
                </wp:positionV>
                <wp:extent cx="19685"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04" o:spid="_x0000_s1129" style="position:absolute;margin-left:206.75pt;margin-top:-99.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-1260475</wp:posOffset>
                </wp:positionV>
                <wp:extent cx="19685"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05" o:spid="_x0000_s1130" style="position:absolute;margin-left:317.25pt;margin-top:-99.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0"/>
        <w:spacing w:after="0"/>
        <w:tabs>
          <w:tab w:leader="none" w:pos="360" w:val="left"/>
          <w:tab w:leader="none" w:pos="2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940"/>
          </w:cols>
          <w:pgMar w:left="720" w:top="355" w:right="580" w:bottom="0" w:gutter="0" w:footer="0" w:header="0"/>
        </w:sectPr>
      </w:pPr>
    </w:p>
    <w:bookmarkStart w:id="102" w:name="page103"/>
    <w:bookmarkEnd w:id="102"/>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Aging</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2024 and 2023 (in thousands):</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Accruing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2552700</wp:posOffset>
                </wp:positionH>
                <wp:positionV relativeFrom="paragraph">
                  <wp:posOffset>15875</wp:posOffset>
                </wp:positionV>
                <wp:extent cx="29337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pt,1.25pt" to="432pt,1.25pt" o:allowincell="f" strokecolor="#000000" strokeweight="0.4809pt"/>
            </w:pict>
          </mc:Fallback>
        </mc:AlternateContent>
      </w:r>
    </w:p>
    <w:p>
      <w:pPr>
        <w:sectPr>
          <w:pgSz w:w="12240" w:h="15877"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3334385" cy="14605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4385" cy="146050"/>
                        </a:xfrm>
                        <a:prstGeom prst="rect">
                          <a:avLst/>
                        </a:prstGeom>
                        <a:solidFill>
                          <a:srgbClr val="D2EEF5"/>
                        </a:solidFill>
                      </wps:spPr>
                      <wps:bodyPr/>
                    </wps:wsp>
                  </a:graphicData>
                </a:graphic>
              </wp:anchor>
            </w:drawing>
          </mc:Choice>
          <mc:Fallback>
            <w:pict>
              <v:rect id="Shape 107" o:spid="_x0000_s1132" style="position:absolute;margin-left:0pt;margin-top:1.6pt;width:262.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552700" cy="1524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2700" cy="152400"/>
                        </a:xfrm>
                        <a:prstGeom prst="rect">
                          <a:avLst/>
                        </a:prstGeom>
                        <a:solidFill>
                          <a:srgbClr val="D2EEF5"/>
                        </a:solidFill>
                      </wps:spPr>
                      <wps:bodyPr/>
                    </wps:wsp>
                  </a:graphicData>
                </a:graphic>
              </wp:anchor>
            </w:drawing>
          </mc:Choice>
          <mc:Fallback>
            <w:pict>
              <v:rect id="Shape 108" o:spid="_x0000_s1133" style="position:absolute;margin-left:0pt;margin-top:1.1pt;width:201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Residential real estate:</w:t>
      </w:r>
    </w:p>
    <w:p>
      <w:pPr>
        <w:spacing w:after="0" w:line="15" w:lineRule="exact"/>
        <w:rPr>
          <w:sz w:val="20"/>
          <w:szCs w:val="20"/>
          <w:color w:val="auto"/>
        </w:rPr>
      </w:pPr>
    </w:p>
    <w:p>
      <w:pPr>
        <w:ind w:left="140" w:right="320"/>
        <w:spacing w:after="0" w:line="293" w:lineRule="auto"/>
        <w:rPr>
          <w:sz w:val="20"/>
          <w:szCs w:val="20"/>
          <w:color w:val="auto"/>
        </w:rPr>
      </w:pPr>
      <w:r>
        <w:rPr>
          <w:rFonts w:ascii="Arial" w:cs="Arial" w:eastAsia="Arial" w:hAnsi="Arial"/>
          <w:sz w:val="18"/>
          <w:szCs w:val="18"/>
          <w:color w:val="auto"/>
        </w:rPr>
        <w:t>Home equity line of credit and other 1-4 family residential Condo residential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-333375</wp:posOffset>
                </wp:positionV>
                <wp:extent cx="3334385" cy="1524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4385" cy="152400"/>
                        </a:xfrm>
                        <a:prstGeom prst="rect">
                          <a:avLst/>
                        </a:prstGeom>
                        <a:solidFill>
                          <a:srgbClr val="D2EEF5"/>
                        </a:solidFill>
                      </wps:spPr>
                      <wps:bodyPr/>
                    </wps:wsp>
                  </a:graphicData>
                </a:graphic>
              </wp:anchor>
            </w:drawing>
          </mc:Choice>
          <mc:Fallback>
            <w:pict>
              <v:rect id="Shape 109" o:spid="_x0000_s1134" style="position:absolute;margin-left:0pt;margin-top:-26.2499pt;width:262.5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85090</wp:posOffset>
                </wp:positionH>
                <wp:positionV relativeFrom="paragraph">
                  <wp:posOffset>-324485</wp:posOffset>
                </wp:positionV>
                <wp:extent cx="2466975" cy="13271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6975" cy="132715"/>
                        </a:xfrm>
                        <a:prstGeom prst="rect">
                          <a:avLst/>
                        </a:prstGeom>
                        <a:solidFill>
                          <a:srgbClr val="D2EEF5"/>
                        </a:solidFill>
                      </wps:spPr>
                      <wps:bodyPr/>
                    </wps:wsp>
                  </a:graphicData>
                </a:graphic>
              </wp:anchor>
            </w:drawing>
          </mc:Choice>
          <mc:Fallback>
            <w:pict>
              <v:rect id="Shape 110" o:spid="_x0000_s1135" style="position:absolute;margin-left:6.7pt;margin-top:-25.5499pt;width:194.25pt;height:10.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3334385" cy="14605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4385" cy="146050"/>
                        </a:xfrm>
                        <a:prstGeom prst="rect">
                          <a:avLst/>
                        </a:prstGeom>
                        <a:solidFill>
                          <a:srgbClr val="D2EEF5"/>
                        </a:solidFill>
                      </wps:spPr>
                      <wps:bodyPr/>
                    </wps:wsp>
                  </a:graphicData>
                </a:graphic>
              </wp:anchor>
            </w:drawing>
          </mc:Choice>
          <mc:Fallback>
            <w:pict>
              <v:rect id="Shape 111" o:spid="_x0000_s1136" style="position:absolute;margin-left:0pt;margin-top:-1.7999pt;width:262.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25527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2700" cy="4763"/>
                        </a:xfrm>
                        <a:prstGeom prst="line">
                          <a:avLst/>
                        </a:prstGeom>
                        <a:solidFill>
                          <a:srgbClr val="FFFFFF"/>
                        </a:solidFill>
                        <a:ln w="6095">
                          <a:solidFill>
                            <a:srgbClr val="D2EEF5"/>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201pt,-2pt" o:allowincell="f" strokecolor="#D2EEF5" strokeweight="0.4799pt"/>
            </w:pict>
          </mc:Fallback>
        </mc:AlternateConten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Past Due &gt;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7"/>
                <w:szCs w:val="17"/>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90 Days</w:t>
            </w: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7"/>
              </w:rPr>
              <w:t>Non-</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and Still</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30-89 Days</w:t>
            </w:r>
          </w:p>
        </w:tc>
        <w:tc>
          <w:tcPr>
            <w:tcW w:w="12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Accruing</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Accruing</w:t>
            </w:r>
          </w:p>
        </w:tc>
        <w:tc>
          <w:tcPr>
            <w:tcW w:w="80" w:type="dxa"/>
            <w:vAlign w:val="bottom"/>
          </w:tcPr>
          <w:p>
            <w:pPr>
              <w:spacing w:after="0"/>
              <w:rPr>
                <w:sz w:val="20"/>
                <w:szCs w:val="20"/>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Accrual</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Total Loans</w:t>
            </w:r>
          </w:p>
        </w:tc>
        <w:tc>
          <w:tcPr>
            <w:tcW w:w="0" w:type="dxa"/>
            <w:vAlign w:val="bottom"/>
          </w:tcPr>
          <w:p>
            <w:pPr>
              <w:spacing w:after="0"/>
              <w:rPr>
                <w:sz w:val="1"/>
                <w:szCs w:val="1"/>
                <w:color w:val="auto"/>
              </w:rPr>
            </w:pPr>
          </w:p>
        </w:tc>
      </w:tr>
      <w:tr>
        <w:trPr>
          <w:trHeight w:val="214"/>
        </w:trPr>
        <w:tc>
          <w:tcPr>
            <w:tcW w:w="180" w:type="dxa"/>
            <w:vAlign w:val="bottom"/>
            <w:tcBorders>
              <w:top w:val="single" w:sz="8" w:color="auto"/>
            </w:tcBorders>
            <w:shd w:val="clear" w:color="auto" w:fill="D2EEF5"/>
          </w:tcPr>
          <w:p>
            <w:pPr>
              <w:spacing w:after="0"/>
              <w:rPr>
                <w:sz w:val="18"/>
                <w:szCs w:val="18"/>
                <w:color w:val="auto"/>
              </w:rPr>
            </w:pPr>
          </w:p>
        </w:tc>
        <w:tc>
          <w:tcPr>
            <w:tcW w:w="1000" w:type="dxa"/>
            <w:vAlign w:val="bottom"/>
            <w:tcBorders>
              <w:top w:val="single" w:sz="8" w:color="auto"/>
            </w:tcBorders>
            <w:shd w:val="clear" w:color="auto" w:fill="D2EEF5"/>
          </w:tcPr>
          <w:p>
            <w:pPr>
              <w:spacing w:after="0"/>
              <w:rPr>
                <w:sz w:val="18"/>
                <w:szCs w:val="18"/>
                <w:color w:val="auto"/>
              </w:rPr>
            </w:pPr>
          </w:p>
        </w:tc>
        <w:tc>
          <w:tcPr>
            <w:tcW w:w="120" w:type="dxa"/>
            <w:vAlign w:val="bottom"/>
            <w:tcBorders>
              <w:top w:val="single" w:sz="8" w:color="auto"/>
              <w:right w:val="single" w:sz="8" w:color="D2EEF5"/>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920" w:type="dxa"/>
            <w:vAlign w:val="bottom"/>
            <w:tcBorders>
              <w:top w:val="single" w:sz="8" w:color="auto"/>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820" w:type="dxa"/>
            <w:vAlign w:val="bottom"/>
            <w:tcBorders>
              <w:top w:val="single" w:sz="8" w:color="auto"/>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1040" w:type="dxa"/>
            <w:vAlign w:val="bottom"/>
            <w:tcBorders>
              <w:top w:val="single" w:sz="8" w:color="auto"/>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640" w:type="dxa"/>
            <w:vAlign w:val="bottom"/>
            <w:tcBorders>
              <w:top w:val="single" w:sz="8" w:color="auto"/>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00" w:type="dxa"/>
            <w:vAlign w:val="bottom"/>
            <w:tcBorders>
              <w:top w:val="single" w:sz="8" w:color="auto"/>
            </w:tcBorders>
            <w:shd w:val="clear" w:color="auto" w:fill="D2EEF5"/>
          </w:tcPr>
          <w:p>
            <w:pPr>
              <w:spacing w:after="0"/>
              <w:rPr>
                <w:sz w:val="18"/>
                <w:szCs w:val="18"/>
                <w:color w:val="auto"/>
              </w:rPr>
            </w:pPr>
          </w:p>
        </w:tc>
        <w:tc>
          <w:tcPr>
            <w:tcW w:w="1120" w:type="dxa"/>
            <w:vAlign w:val="bottom"/>
            <w:tcBorders>
              <w:top w:val="single" w:sz="8" w:color="auto"/>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1,120</w:t>
            </w:r>
          </w:p>
        </w:tc>
        <w:tc>
          <w:tcPr>
            <w:tcW w:w="1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D2EEF5"/>
            </w:tcBorders>
            <w:gridSpan w:val="3"/>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D2EEF5"/>
            </w:tcBorders>
            <w:gridSpan w:val="3"/>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225,334</w:t>
            </w:r>
          </w:p>
        </w:tc>
        <w:tc>
          <w:tcPr>
            <w:tcW w:w="120" w:type="dxa"/>
            <w:vAlign w:val="bottom"/>
            <w:tcBorders>
              <w:right w:val="single" w:sz="8" w:color="D2EEF5"/>
            </w:tcBorders>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920" w:type="dxa"/>
            <w:vAlign w:val="bottom"/>
            <w:shd w:val="clear" w:color="auto" w:fill="D2EEF5"/>
          </w:tcPr>
          <w:p>
            <w:pPr>
              <w:ind w:left="440"/>
              <w:spacing w:after="0"/>
              <w:rPr>
                <w:sz w:val="20"/>
                <w:szCs w:val="20"/>
                <w:color w:val="auto"/>
              </w:rPr>
            </w:pPr>
            <w:r>
              <w:rPr>
                <w:rFonts w:ascii="Arial" w:cs="Arial" w:eastAsia="Arial" w:hAnsi="Arial"/>
                <w:sz w:val="18"/>
                <w:szCs w:val="18"/>
                <w:color w:val="auto"/>
              </w:rPr>
              <w:t>2,886</w:t>
            </w:r>
          </w:p>
        </w:tc>
        <w:tc>
          <w:tcPr>
            <w:tcW w:w="140" w:type="dxa"/>
            <w:vAlign w:val="bottom"/>
            <w:shd w:val="clear" w:color="auto" w:fill="D2EEF5"/>
          </w:tcPr>
          <w:p>
            <w:pPr>
              <w:spacing w:after="0"/>
              <w:rPr>
                <w:sz w:val="18"/>
                <w:szCs w:val="18"/>
                <w:color w:val="auto"/>
              </w:rPr>
            </w:pPr>
          </w:p>
        </w:tc>
        <w:tc>
          <w:tcPr>
            <w:tcW w:w="820" w:type="dxa"/>
            <w:vAlign w:val="bottom"/>
            <w:shd w:val="clear" w:color="auto" w:fill="D2EEF5"/>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228,220</w:t>
            </w:r>
          </w:p>
        </w:tc>
        <w:tc>
          <w:tcPr>
            <w:tcW w:w="8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228,220</w:t>
            </w: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58,956</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1,351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60,307</w:t>
            </w: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D2EE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60,621</w:t>
            </w:r>
          </w:p>
        </w:tc>
        <w:tc>
          <w:tcPr>
            <w:tcW w:w="0" w:type="dxa"/>
            <w:vAlign w:val="bottom"/>
          </w:tcPr>
          <w:p>
            <w:pPr>
              <w:spacing w:after="0"/>
              <w:rPr>
                <w:sz w:val="1"/>
                <w:szCs w:val="1"/>
                <w:color w:val="auto"/>
              </w:rPr>
            </w:pPr>
          </w:p>
        </w:tc>
      </w:tr>
      <w:tr>
        <w:trPr>
          <w:trHeight w:val="220"/>
        </w:trPr>
        <w:tc>
          <w:tcPr>
            <w:tcW w:w="180" w:type="dxa"/>
            <w:vAlign w:val="bottom"/>
            <w:shd w:val="clear" w:color="auto" w:fill="D2EEF5"/>
          </w:tcPr>
          <w:p>
            <w:pPr>
              <w:spacing w:after="0"/>
              <w:rPr>
                <w:sz w:val="19"/>
                <w:szCs w:val="19"/>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285,410</w:t>
            </w:r>
          </w:p>
        </w:tc>
        <w:tc>
          <w:tcPr>
            <w:tcW w:w="120" w:type="dxa"/>
            <w:vAlign w:val="bottom"/>
            <w:tcBorders>
              <w:right w:val="single" w:sz="8" w:color="D2EEF5"/>
            </w:tcBorders>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ind w:left="440"/>
              <w:spacing w:after="0"/>
              <w:rPr>
                <w:sz w:val="20"/>
                <w:szCs w:val="20"/>
                <w:color w:val="auto"/>
              </w:rPr>
            </w:pPr>
            <w:r>
              <w:rPr>
                <w:rFonts w:ascii="Arial" w:cs="Arial" w:eastAsia="Arial" w:hAnsi="Arial"/>
                <w:sz w:val="18"/>
                <w:szCs w:val="18"/>
                <w:color w:val="auto"/>
              </w:rPr>
              <w:t>4,237</w:t>
            </w:r>
          </w:p>
        </w:tc>
        <w:tc>
          <w:tcPr>
            <w:tcW w:w="140" w:type="dxa"/>
            <w:vAlign w:val="bottom"/>
            <w:shd w:val="clear" w:color="auto" w:fill="D2EEF5"/>
          </w:tcPr>
          <w:p>
            <w:pPr>
              <w:spacing w:after="0"/>
              <w:rPr>
                <w:sz w:val="19"/>
                <w:szCs w:val="19"/>
                <w:color w:val="auto"/>
              </w:rPr>
            </w:pPr>
          </w:p>
        </w:tc>
        <w:tc>
          <w:tcPr>
            <w:tcW w:w="820" w:type="dxa"/>
            <w:vAlign w:val="bottom"/>
            <w:shd w:val="clear" w:color="auto" w:fill="D2EEF5"/>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289,647</w:t>
            </w: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289,961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77" w:orient="portrait"/>
          <w:cols w:equalWidth="0" w:num="2">
            <w:col w:w="3300" w:space="720"/>
            <w:col w:w="6780"/>
          </w:cols>
          <w:pgMar w:left="720" w:top="355" w:right="720" w:bottom="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140" w:type="dxa"/>
            <w:vAlign w:val="bottom"/>
            <w:shd w:val="clear" w:color="auto" w:fill="D2EEF5"/>
          </w:tcPr>
          <w:p>
            <w:pPr>
              <w:spacing w:after="0"/>
              <w:rPr>
                <w:sz w:val="20"/>
                <w:szCs w:val="20"/>
                <w:color w:val="auto"/>
              </w:rPr>
            </w:pPr>
          </w:p>
        </w:tc>
        <w:tc>
          <w:tcPr>
            <w:tcW w:w="38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Land and construction</w:t>
            </w: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40,090</w:t>
            </w: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40,090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40,090</w:t>
            </w: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Multi-family residential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214,912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214,912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214,912</w:t>
            </w:r>
          </w:p>
        </w:tc>
      </w:tr>
      <w:tr>
        <w:trPr>
          <w:trHeight w:val="240"/>
        </w:trPr>
        <w:tc>
          <w:tcPr>
            <w:tcW w:w="140" w:type="dxa"/>
            <w:vAlign w:val="bottom"/>
            <w:shd w:val="clear" w:color="auto" w:fill="D2EEF5"/>
          </w:tcPr>
          <w:p>
            <w:pPr>
              <w:spacing w:after="0"/>
              <w:rPr>
                <w:sz w:val="20"/>
                <w:szCs w:val="20"/>
                <w:color w:val="auto"/>
              </w:rPr>
            </w:pPr>
          </w:p>
        </w:tc>
        <w:tc>
          <w:tcPr>
            <w:tcW w:w="38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Condo commercial</w:t>
            </w: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57,402</w:t>
            </w: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57,402</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57,402</w:t>
            </w: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Commercial property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823,326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824,013</w:t>
            </w:r>
          </w:p>
        </w:tc>
      </w:tr>
      <w:tr>
        <w:trPr>
          <w:trHeight w:val="232"/>
        </w:trPr>
        <w:tc>
          <w:tcPr>
            <w:tcW w:w="140" w:type="dxa"/>
            <w:vAlign w:val="bottom"/>
            <w:tcBorders>
              <w:bottom w:val="single" w:sz="8" w:color="D2EEF5"/>
            </w:tcBorders>
            <w:shd w:val="clear" w:color="auto" w:fill="D2EEF5"/>
          </w:tcPr>
          <w:p>
            <w:pPr>
              <w:spacing w:after="0"/>
              <w:rPr>
                <w:sz w:val="20"/>
                <w:szCs w:val="20"/>
                <w:color w:val="auto"/>
              </w:rPr>
            </w:pPr>
          </w:p>
        </w:tc>
        <w:tc>
          <w:tcPr>
            <w:tcW w:w="38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1,135,730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1,136,417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1,136,417</w:t>
            </w:r>
          </w:p>
        </w:tc>
      </w:tr>
      <w:tr>
        <w:trPr>
          <w:trHeight w:val="240"/>
        </w:trPr>
        <w:tc>
          <w:tcPr>
            <w:tcW w:w="402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Secured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232,779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233,300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233,703</w:t>
            </w:r>
          </w:p>
        </w:tc>
      </w:tr>
      <w:tr>
        <w:trPr>
          <w:trHeight w:val="232"/>
        </w:trPr>
        <w:tc>
          <w:tcPr>
            <w:tcW w:w="140" w:type="dxa"/>
            <w:vAlign w:val="bottom"/>
            <w:tcBorders>
              <w:bottom w:val="single" w:sz="8" w:color="D2EEF5"/>
            </w:tcBorders>
            <w:shd w:val="clear" w:color="auto" w:fill="D2EEF5"/>
          </w:tcPr>
          <w:p>
            <w:pPr>
              <w:spacing w:after="0"/>
              <w:rPr>
                <w:sz w:val="20"/>
                <w:szCs w:val="20"/>
                <w:color w:val="auto"/>
              </w:rPr>
            </w:pPr>
          </w:p>
        </w:tc>
        <w:tc>
          <w:tcPr>
            <w:tcW w:w="38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Unsecured</w:t>
            </w:r>
          </w:p>
        </w:tc>
        <w:tc>
          <w:tcPr>
            <w:tcW w:w="18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24,608</w:t>
            </w:r>
          </w:p>
        </w:tc>
        <w:tc>
          <w:tcPr>
            <w:tcW w:w="6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24,608</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0"/>
                <w:szCs w:val="20"/>
                <w:color w:val="auto"/>
              </w:rPr>
            </w:pPr>
          </w:p>
        </w:tc>
        <w:tc>
          <w:tcPr>
            <w:tcW w:w="20" w:type="dxa"/>
            <w:vAlign w:val="bottom"/>
            <w:tcBorders>
              <w:bottom w:val="single" w:sz="8" w:color="D2EEF5"/>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24,608</w:t>
            </w:r>
          </w:p>
        </w:tc>
      </w:tr>
      <w:tr>
        <w:trPr>
          <w:trHeight w:val="228"/>
        </w:trPr>
        <w:tc>
          <w:tcPr>
            <w:tcW w:w="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257,387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257,908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258,311</w:t>
            </w:r>
          </w:p>
        </w:tc>
      </w:tr>
      <w:tr>
        <w:trPr>
          <w:trHeight w:val="240"/>
        </w:trPr>
        <w:tc>
          <w:tcPr>
            <w:tcW w:w="140" w:type="dxa"/>
            <w:vAlign w:val="bottom"/>
            <w:shd w:val="clear" w:color="auto" w:fill="D2EEF5"/>
          </w:tcPr>
          <w:p>
            <w:pPr>
              <w:spacing w:after="0"/>
              <w:rPr>
                <w:sz w:val="20"/>
                <w:szCs w:val="20"/>
                <w:color w:val="auto"/>
              </w:rPr>
            </w:pPr>
          </w:p>
        </w:tc>
        <w:tc>
          <w:tcPr>
            <w:tcW w:w="38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r>
      <w:tr>
        <w:trPr>
          <w:trHeight w:val="240"/>
        </w:trPr>
        <w:tc>
          <w:tcPr>
            <w:tcW w:w="4020" w:type="dxa"/>
            <w:vAlign w:val="bottom"/>
            <w:gridSpan w:val="3"/>
          </w:tcPr>
          <w:p>
            <w:pPr>
              <w:spacing w:after="0"/>
              <w:rPr>
                <w:sz w:val="20"/>
                <w:szCs w:val="20"/>
                <w:color w:val="auto"/>
              </w:rPr>
            </w:pPr>
            <w:r>
              <w:rPr>
                <w:rFonts w:ascii="Arial" w:cs="Arial" w:eastAsia="Arial" w:hAnsi="Arial"/>
                <w:sz w:val="18"/>
                <w:szCs w:val="18"/>
                <w:color w:val="auto"/>
              </w:rPr>
              <w:t>Correspondent banks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82,438</w:t>
            </w:r>
          </w:p>
        </w:tc>
      </w:tr>
      <w:tr>
        <w:trPr>
          <w:trHeight w:val="240"/>
        </w:trPr>
        <w:tc>
          <w:tcPr>
            <w:tcW w:w="402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124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196,101</w:t>
            </w:r>
          </w:p>
        </w:tc>
        <w:tc>
          <w:tcPr>
            <w:tcW w:w="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196,101</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1,990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198,091</w:t>
            </w:r>
          </w:p>
        </w:tc>
      </w:tr>
      <w:tr>
        <w:trPr>
          <w:trHeight w:val="240"/>
        </w:trPr>
        <w:tc>
          <w:tcPr>
            <w:tcW w:w="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r>
      <w:tr>
        <w:trPr>
          <w:trHeight w:val="231"/>
        </w:trPr>
        <w:tc>
          <w:tcPr>
            <w:tcW w:w="140" w:type="dxa"/>
            <w:vAlign w:val="bottom"/>
            <w:tcBorders>
              <w:top w:val="single" w:sz="8" w:color="D2EEF5"/>
            </w:tcBorders>
            <w:shd w:val="clear" w:color="auto" w:fill="D2EEF5"/>
          </w:tcPr>
          <w:p>
            <w:pPr>
              <w:spacing w:after="0"/>
              <w:rPr>
                <w:sz w:val="20"/>
                <w:szCs w:val="20"/>
                <w:color w:val="auto"/>
              </w:rPr>
            </w:pPr>
          </w:p>
        </w:tc>
        <w:tc>
          <w:tcPr>
            <w:tcW w:w="388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1,957,066</w:t>
            </w:r>
          </w:p>
        </w:tc>
        <w:tc>
          <w:tcPr>
            <w:tcW w:w="60" w:type="dxa"/>
            <w:vAlign w:val="bottom"/>
            <w:tcBorders>
              <w:top w:val="single" w:sz="8" w:color="D2EEF5"/>
            </w:tcBorders>
            <w:shd w:val="clear" w:color="auto" w:fill="D2EEF5"/>
          </w:tcPr>
          <w:p>
            <w:pPr>
              <w:spacing w:after="0"/>
              <w:rPr>
                <w:sz w:val="20"/>
                <w:szCs w:val="20"/>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5,445</w:t>
            </w:r>
          </w:p>
        </w:tc>
        <w:tc>
          <w:tcPr>
            <w:tcW w:w="2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tcBorders>
            <w:shd w:val="clear" w:color="auto" w:fill="D2EEF5"/>
          </w:tcPr>
          <w:p>
            <w:pPr>
              <w:spacing w:after="0"/>
              <w:rPr>
                <w:sz w:val="20"/>
                <w:szCs w:val="20"/>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1,962,511</w:t>
            </w:r>
          </w:p>
        </w:tc>
        <w:tc>
          <w:tcPr>
            <w:tcW w:w="6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tcBorders>
            <w:shd w:val="clear" w:color="auto" w:fill="D2EEF5"/>
          </w:tcPr>
          <w:p>
            <w:pPr>
              <w:spacing w:after="0"/>
              <w:rPr>
                <w:sz w:val="20"/>
                <w:szCs w:val="20"/>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6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2,707</w:t>
            </w:r>
          </w:p>
        </w:tc>
        <w:tc>
          <w:tcPr>
            <w:tcW w:w="6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tcBorders>
            <w:shd w:val="clear" w:color="auto" w:fill="D2EEF5"/>
          </w:tcPr>
          <w:p>
            <w:pPr>
              <w:spacing w:after="0"/>
              <w:rPr>
                <w:sz w:val="20"/>
                <w:szCs w:val="20"/>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1,965,218</w:t>
            </w:r>
          </w:p>
        </w:tc>
      </w:tr>
      <w:tr>
        <w:trPr>
          <w:trHeight w:val="20"/>
        </w:trPr>
        <w:tc>
          <w:tcPr>
            <w:tcW w:w="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type w:val="continuous"/>
        </w:sectPr>
      </w:pPr>
    </w:p>
    <w:bookmarkStart w:id="103" w:name="page104"/>
    <w:bookmarkEnd w:id="103"/>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the Consolidated Financial Statements</w:t>
      </w:r>
    </w:p>
    <w:p>
      <w:pPr>
        <w:sectPr>
          <w:pgSz w:w="12240" w:h="15877"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3285490" cy="1460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46050"/>
                        </a:xfrm>
                        <a:prstGeom prst="rect">
                          <a:avLst/>
                        </a:prstGeom>
                        <a:solidFill>
                          <a:srgbClr val="D2EEF5"/>
                        </a:solidFill>
                      </wps:spPr>
                      <wps:bodyPr/>
                    </wps:wsp>
                  </a:graphicData>
                </a:graphic>
              </wp:anchor>
            </w:drawing>
          </mc:Choice>
          <mc:Fallback>
            <w:pict>
              <v:rect id="Shape 113" o:spid="_x0000_s1138" style="position:absolute;margin-left:0pt;margin-top:1.6pt;width:258.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27940</wp:posOffset>
                </wp:positionV>
                <wp:extent cx="2453640" cy="13081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0810"/>
                        </a:xfrm>
                        <a:prstGeom prst="rect">
                          <a:avLst/>
                        </a:prstGeom>
                        <a:solidFill>
                          <a:srgbClr val="D2EEF5"/>
                        </a:solidFill>
                      </wps:spPr>
                      <wps:bodyPr/>
                    </wps:wsp>
                  </a:graphicData>
                </a:graphic>
              </wp:anchor>
            </w:drawing>
          </mc:Choice>
          <mc:Fallback>
            <w:pict>
              <v:rect id="Shape 114" o:spid="_x0000_s1139" style="position:absolute;margin-left:2pt;margin-top:2.2pt;width:193.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25050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109">
                          <a:solidFill>
                            <a:srgbClr val="D2EEF5"/>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197.25pt,1.35pt" o:allowincell="f" strokecolor="#D2EEF5" strokeweight="0.481pt"/>
            </w:pict>
          </mc:Fallback>
        </mc:AlternateConten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Residential real estate:</w:t>
      </w:r>
    </w:p>
    <w:p>
      <w:pPr>
        <w:spacing w:after="0" w:line="15" w:lineRule="exact"/>
        <w:rPr>
          <w:sz w:val="20"/>
          <w:szCs w:val="20"/>
          <w:color w:val="auto"/>
        </w:rPr>
      </w:pPr>
    </w:p>
    <w:p>
      <w:pPr>
        <w:ind w:left="180" w:right="200"/>
        <w:spacing w:after="0" w:line="293" w:lineRule="auto"/>
        <w:rPr>
          <w:sz w:val="20"/>
          <w:szCs w:val="20"/>
          <w:color w:val="auto"/>
        </w:rPr>
      </w:pPr>
      <w:r>
        <w:rPr>
          <w:rFonts w:ascii="Arial" w:cs="Arial" w:eastAsia="Arial" w:hAnsi="Arial"/>
          <w:sz w:val="18"/>
          <w:szCs w:val="18"/>
          <w:color w:val="auto"/>
        </w:rPr>
        <w:t>Home equity line of credit and other 1-4 family residential Condo residential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-333375</wp:posOffset>
                </wp:positionV>
                <wp:extent cx="3285490" cy="15240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16" o:spid="_x0000_s1141" style="position:absolute;margin-left:0pt;margin-top:-26.2499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111125</wp:posOffset>
                </wp:positionH>
                <wp:positionV relativeFrom="paragraph">
                  <wp:posOffset>-324485</wp:posOffset>
                </wp:positionV>
                <wp:extent cx="2367915" cy="13271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2715"/>
                        </a:xfrm>
                        <a:prstGeom prst="rect">
                          <a:avLst/>
                        </a:prstGeom>
                        <a:solidFill>
                          <a:srgbClr val="D2EEF5"/>
                        </a:solidFill>
                      </wps:spPr>
                      <wps:bodyPr/>
                    </wps:wsp>
                  </a:graphicData>
                </a:graphic>
              </wp:anchor>
            </w:drawing>
          </mc:Choice>
          <mc:Fallback>
            <w:pict>
              <v:rect id="Shape 117" o:spid="_x0000_s1142" style="position:absolute;margin-left:8.75pt;margin-top:-25.5499pt;width:186.45pt;height:10.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3285490" cy="14605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46050"/>
                        </a:xfrm>
                        <a:prstGeom prst="rect">
                          <a:avLst/>
                        </a:prstGeom>
                        <a:solidFill>
                          <a:srgbClr val="D2EEF5"/>
                        </a:solidFill>
                      </wps:spPr>
                      <wps:bodyPr/>
                    </wps:wsp>
                  </a:graphicData>
                </a:graphic>
              </wp:anchor>
            </w:drawing>
          </mc:Choice>
          <mc:Fallback>
            <w:pict>
              <v:rect id="Shape 118" o:spid="_x0000_s1143" style="position:absolute;margin-left:0pt;margin-top:-1.7999pt;width:258.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2505075" cy="15176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151765"/>
                        </a:xfrm>
                        <a:prstGeom prst="rect">
                          <a:avLst/>
                        </a:prstGeom>
                        <a:solidFill>
                          <a:srgbClr val="D2EEF5"/>
                        </a:solidFill>
                      </wps:spPr>
                      <wps:bodyPr/>
                    </wps:wsp>
                  </a:graphicData>
                </a:graphic>
              </wp:anchor>
            </w:drawing>
          </mc:Choice>
          <mc:Fallback>
            <w:pict>
              <v:rect id="Shape 119" o:spid="_x0000_s1144" style="position:absolute;margin-left:0pt;margin-top:-2.2499pt;width:197.2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 real estate: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3285490" cy="1524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20" o:spid="_x0000_s1145" style="position:absolute;margin-left:0pt;margin-top:1.9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Land and construction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144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1445"/>
                        </a:xfrm>
                        <a:prstGeom prst="rect">
                          <a:avLst/>
                        </a:prstGeom>
                        <a:solidFill>
                          <a:srgbClr val="D2EEF5"/>
                        </a:solidFill>
                      </wps:spPr>
                      <wps:bodyPr/>
                    </wps:wsp>
                  </a:graphicData>
                </a:graphic>
              </wp:anchor>
            </w:drawing>
          </mc:Choice>
          <mc:Fallback>
            <w:pict>
              <v:rect id="Shape 121" o:spid="_x0000_s1146" style="position:absolute;margin-left:8.75pt;margin-top:-9.5999pt;width:186.4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Multi-family residential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3285490" cy="1524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22" o:spid="_x0000_s1147" style="position:absolute;margin-left:0pt;margin-top:1.6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 commercial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144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1445"/>
                        </a:xfrm>
                        <a:prstGeom prst="rect">
                          <a:avLst/>
                        </a:prstGeom>
                        <a:solidFill>
                          <a:srgbClr val="D2EEF5"/>
                        </a:solidFill>
                      </wps:spPr>
                      <wps:bodyPr/>
                    </wps:wsp>
                  </a:graphicData>
                </a:graphic>
              </wp:anchor>
            </w:drawing>
          </mc:Choice>
          <mc:Fallback>
            <w:pict>
              <v:rect id="Shape 123" o:spid="_x0000_s1148" style="position:absolute;margin-left:8.75pt;margin-top:-9.5999pt;width:186.4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Commercial property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3285490" cy="1524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24" o:spid="_x0000_s1149" style="position:absolute;margin-left:0pt;margin-top:1.6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144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1445"/>
                        </a:xfrm>
                        <a:prstGeom prst="rect">
                          <a:avLst/>
                        </a:prstGeom>
                        <a:solidFill>
                          <a:srgbClr val="D2EEF5"/>
                        </a:solidFill>
                      </wps:spPr>
                      <wps:bodyPr/>
                    </wps:wsp>
                  </a:graphicData>
                </a:graphic>
              </wp:anchor>
            </w:drawing>
          </mc:Choice>
          <mc:Fallback>
            <w:pict>
              <v:rect id="Shape 125" o:spid="_x0000_s1150" style="position:absolute;margin-left:8.75pt;margin-top:-9.5999pt;width:186.4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3285490" cy="15176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1765"/>
                        </a:xfrm>
                        <a:prstGeom prst="rect">
                          <a:avLst/>
                        </a:prstGeom>
                        <a:solidFill>
                          <a:srgbClr val="D2EEF5"/>
                        </a:solidFill>
                      </wps:spPr>
                      <wps:bodyPr/>
                    </wps:wsp>
                  </a:graphicData>
                </a:graphic>
              </wp:anchor>
            </w:drawing>
          </mc:Choice>
          <mc:Fallback>
            <w:pict>
              <v:rect id="Shape 126" o:spid="_x0000_s1151" style="position:absolute;margin-left:0pt;margin-top:-10.0499pt;width:258.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-119380</wp:posOffset>
                </wp:positionV>
                <wp:extent cx="2453640" cy="13208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2080"/>
                        </a:xfrm>
                        <a:prstGeom prst="rect">
                          <a:avLst/>
                        </a:prstGeom>
                        <a:solidFill>
                          <a:srgbClr val="D2EEF5"/>
                        </a:solidFill>
                      </wps:spPr>
                      <wps:bodyPr/>
                    </wps:wsp>
                  </a:graphicData>
                </a:graphic>
              </wp:anchor>
            </w:drawing>
          </mc:Choice>
          <mc:Fallback>
            <w:pict>
              <v:rect id="Shape 127" o:spid="_x0000_s1152" style="position:absolute;margin-left:2pt;margin-top:-9.3999pt;width:193.2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3285490" cy="1524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28" o:spid="_x0000_s1153" style="position:absolute;margin-left:0pt;margin-top:1.6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Unsecured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144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1445"/>
                        </a:xfrm>
                        <a:prstGeom prst="rect">
                          <a:avLst/>
                        </a:prstGeom>
                        <a:solidFill>
                          <a:srgbClr val="D2EEF5"/>
                        </a:solidFill>
                      </wps:spPr>
                      <wps:bodyPr/>
                    </wps:wsp>
                  </a:graphicData>
                </a:graphic>
              </wp:anchor>
            </w:drawing>
          </mc:Choice>
          <mc:Fallback>
            <w:pict>
              <v:rect id="Shape 129" o:spid="_x0000_s1154" style="position:absolute;margin-left:8.75pt;margin-top:-9.5999pt;width:186.4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172720</wp:posOffset>
                </wp:positionV>
                <wp:extent cx="3285490" cy="15240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30" o:spid="_x0000_s1155" style="position:absolute;margin-left:0pt;margin-top:13.6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Correspondent banks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3285490" cy="1524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2EEF5"/>
                        </a:solidFill>
                      </wps:spPr>
                      <wps:bodyPr/>
                    </wps:wsp>
                  </a:graphicData>
                </a:graphic>
              </wp:anchor>
            </w:drawing>
          </mc:Choice>
          <mc:Fallback>
            <w:pict>
              <v:rect id="Shape 131" o:spid="_x0000_s1156" style="position:absolute;margin-left:0pt;margin-top:1.9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Consumer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-121920</wp:posOffset>
                </wp:positionV>
                <wp:extent cx="2453640" cy="13144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1445"/>
                        </a:xfrm>
                        <a:prstGeom prst="rect">
                          <a:avLst/>
                        </a:prstGeom>
                        <a:solidFill>
                          <a:srgbClr val="D2EEF5"/>
                        </a:solidFill>
                      </wps:spPr>
                      <wps:bodyPr/>
                    </wps:wsp>
                  </a:graphicData>
                </a:graphic>
              </wp:anchor>
            </w:drawing>
          </mc:Choice>
          <mc:Fallback>
            <w:pict>
              <v:rect id="Shape 132" o:spid="_x0000_s1157" style="position:absolute;margin-left:2pt;margin-top:-9.5999pt;width:193.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179070</wp:posOffset>
                </wp:positionV>
                <wp:extent cx="3285490" cy="15557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5575"/>
                        </a:xfrm>
                        <a:prstGeom prst="rect">
                          <a:avLst/>
                        </a:prstGeom>
                        <a:solidFill>
                          <a:srgbClr val="D2EEF5"/>
                        </a:solidFill>
                      </wps:spPr>
                      <wps:bodyPr/>
                    </wps:wsp>
                  </a:graphicData>
                </a:graphic>
              </wp:anchor>
            </w:drawing>
          </mc:Choice>
          <mc:Fallback>
            <w:pict>
              <v:rect id="Shape 133" o:spid="_x0000_s1158" style="position:absolute;margin-left:0pt;margin-top:14.1pt;width:258.7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175895</wp:posOffset>
                </wp:positionV>
                <wp:extent cx="25050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D2EEF5"/>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5pt" to="197.25pt,13.85pt" o:allowincell="f" strokecolor="#D2EEF5" strokeweight="0.4799pt"/>
            </w:pict>
          </mc:Fallback>
        </mc:AlternateConten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-119380</wp:posOffset>
                </wp:positionV>
                <wp:extent cx="2367915" cy="13081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810"/>
                        </a:xfrm>
                        <a:prstGeom prst="rect">
                          <a:avLst/>
                        </a:prstGeom>
                        <a:solidFill>
                          <a:srgbClr val="D2EEF5"/>
                        </a:solidFill>
                      </wps:spPr>
                      <wps:bodyPr/>
                    </wps:wsp>
                  </a:graphicData>
                </a:graphic>
              </wp:anchor>
            </w:drawing>
          </mc:Choice>
          <mc:Fallback>
            <w:pict>
              <v:rect id="Shape 135" o:spid="_x0000_s1160" style="position:absolute;margin-left:8.75pt;margin-top:-9.3999pt;width:186.4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Accruing</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rPr>
              <w:t>Past Due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rPr>
              <w:t>Past Due</w:t>
            </w:r>
          </w:p>
        </w:tc>
        <w:tc>
          <w:tcPr>
            <w:tcW w:w="10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rPr>
              <w:t>&gt; 90 Days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0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and Still</w:t>
            </w:r>
          </w:p>
        </w:tc>
        <w:tc>
          <w:tcPr>
            <w:tcW w:w="180" w:type="dxa"/>
            <w:vAlign w:val="bottom"/>
          </w:tcPr>
          <w:p>
            <w:pPr>
              <w:spacing w:after="0"/>
              <w:rPr>
                <w:sz w:val="17"/>
                <w:szCs w:val="17"/>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30-89 Days</w:t>
            </w:r>
          </w:p>
        </w:tc>
        <w:tc>
          <w:tcPr>
            <w:tcW w:w="10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Accruing</w:t>
            </w:r>
          </w:p>
        </w:tc>
        <w:tc>
          <w:tcPr>
            <w:tcW w:w="1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Accruing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b w:val="1"/>
                <w:bCs w:val="1"/>
                <w:color w:val="auto"/>
              </w:rPr>
              <w:t>Accrual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Total Loans</w:t>
            </w:r>
          </w:p>
        </w:tc>
        <w:tc>
          <w:tcPr>
            <w:tcW w:w="0" w:type="dxa"/>
            <w:vAlign w:val="bottom"/>
          </w:tcPr>
          <w:p>
            <w:pPr>
              <w:spacing w:after="0"/>
              <w:rPr>
                <w:sz w:val="1"/>
                <w:szCs w:val="1"/>
                <w:color w:val="auto"/>
              </w:rPr>
            </w:pPr>
          </w:p>
        </w:tc>
      </w:tr>
      <w:tr>
        <w:trPr>
          <w:trHeight w:val="214"/>
        </w:trPr>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shd w:val="clear" w:color="auto" w:fill="D2EEF5"/>
          </w:tcPr>
          <w:p>
            <w:pPr>
              <w:spacing w:after="0"/>
              <w:rPr>
                <w:sz w:val="18"/>
                <w:szCs w:val="18"/>
                <w:color w:val="auto"/>
              </w:rPr>
            </w:pPr>
          </w:p>
        </w:tc>
        <w:tc>
          <w:tcPr>
            <w:tcW w:w="920" w:type="dxa"/>
            <w:vAlign w:val="bottom"/>
            <w:tcBorders>
              <w:top w:val="single" w:sz="8" w:color="auto"/>
            </w:tcBorders>
            <w:shd w:val="clear" w:color="auto" w:fill="D2EEF5"/>
          </w:tcPr>
          <w:p>
            <w:pPr>
              <w:spacing w:after="0"/>
              <w:rPr>
                <w:sz w:val="18"/>
                <w:szCs w:val="18"/>
                <w:color w:val="auto"/>
              </w:rPr>
            </w:pPr>
          </w:p>
        </w:tc>
        <w:tc>
          <w:tcPr>
            <w:tcW w:w="180" w:type="dxa"/>
            <w:vAlign w:val="bottom"/>
            <w:tcBorders>
              <w:top w:val="single" w:sz="8" w:color="auto"/>
              <w:right w:val="single" w:sz="8" w:color="D2EEF5"/>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840" w:type="dxa"/>
            <w:vAlign w:val="bottom"/>
            <w:tcBorders>
              <w:top w:val="single" w:sz="8" w:color="auto"/>
            </w:tcBorders>
            <w:shd w:val="clear" w:color="auto" w:fill="D2EEF5"/>
          </w:tcPr>
          <w:p>
            <w:pPr>
              <w:spacing w:after="0"/>
              <w:rPr>
                <w:sz w:val="18"/>
                <w:szCs w:val="18"/>
                <w:color w:val="auto"/>
              </w:rPr>
            </w:pPr>
          </w:p>
        </w:tc>
        <w:tc>
          <w:tcPr>
            <w:tcW w:w="100" w:type="dxa"/>
            <w:vAlign w:val="bottom"/>
            <w:tcBorders>
              <w:top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340" w:type="dxa"/>
            <w:vAlign w:val="bottom"/>
            <w:tcBorders>
              <w:top w:val="single" w:sz="8" w:color="auto"/>
            </w:tcBorders>
            <w:shd w:val="clear" w:color="auto" w:fill="D2EEF5"/>
          </w:tcPr>
          <w:p>
            <w:pPr>
              <w:spacing w:after="0"/>
              <w:rPr>
                <w:sz w:val="18"/>
                <w:szCs w:val="18"/>
                <w:color w:val="auto"/>
              </w:rPr>
            </w:pPr>
          </w:p>
        </w:tc>
        <w:tc>
          <w:tcPr>
            <w:tcW w:w="320" w:type="dxa"/>
            <w:vAlign w:val="bottom"/>
            <w:tcBorders>
              <w:top w:val="single" w:sz="8" w:color="auto"/>
            </w:tcBorders>
            <w:shd w:val="clear" w:color="auto" w:fill="D2EEF5"/>
          </w:tcPr>
          <w:p>
            <w:pPr>
              <w:spacing w:after="0"/>
              <w:rPr>
                <w:sz w:val="18"/>
                <w:szCs w:val="18"/>
                <w:color w:val="auto"/>
              </w:rPr>
            </w:pPr>
          </w:p>
        </w:tc>
        <w:tc>
          <w:tcPr>
            <w:tcW w:w="100" w:type="dxa"/>
            <w:vAlign w:val="bottom"/>
            <w:tcBorders>
              <w:top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1040" w:type="dxa"/>
            <w:vAlign w:val="bottom"/>
            <w:tcBorders>
              <w:top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500" w:type="dxa"/>
            <w:vAlign w:val="bottom"/>
            <w:tcBorders>
              <w:top w:val="single" w:sz="8" w:color="auto"/>
            </w:tcBorders>
            <w:shd w:val="clear" w:color="auto" w:fill="D2EEF5"/>
          </w:tcPr>
          <w:p>
            <w:pPr>
              <w:spacing w:after="0"/>
              <w:rPr>
                <w:sz w:val="18"/>
                <w:szCs w:val="18"/>
                <w:color w:val="auto"/>
              </w:rPr>
            </w:pPr>
          </w:p>
        </w:tc>
        <w:tc>
          <w:tcPr>
            <w:tcW w:w="100" w:type="dxa"/>
            <w:vAlign w:val="bottom"/>
            <w:tcBorders>
              <w:top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1040" w:type="dxa"/>
            <w:vAlign w:val="bottom"/>
            <w:tcBorders>
              <w:top w:val="single" w:sz="8" w:color="auto"/>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1"/>
                <w:szCs w:val="21"/>
                <w:color w:val="auto"/>
              </w:rPr>
            </w:pPr>
          </w:p>
        </w:tc>
        <w:tc>
          <w:tcPr>
            <w:tcW w:w="1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559</w:t>
            </w:r>
          </w:p>
        </w:tc>
        <w:tc>
          <w:tcPr>
            <w:tcW w:w="260" w:type="dxa"/>
            <w:vAlign w:val="bottom"/>
            <w:tcBorders>
              <w:bottom w:val="single" w:sz="8" w:color="D2EEF5"/>
            </w:tcBorders>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260" w:type="dxa"/>
            <w:vAlign w:val="bottom"/>
            <w:tcBorders>
              <w:bottom w:val="single" w:sz="8" w:color="D2EEF5"/>
            </w:tcBorders>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155,842</w:t>
            </w:r>
          </w:p>
        </w:tc>
        <w:tc>
          <w:tcPr>
            <w:tcW w:w="180" w:type="dxa"/>
            <w:vAlign w:val="bottom"/>
            <w:tcBorders>
              <w:right w:val="single" w:sz="8" w:color="D2EEF5"/>
            </w:tcBorders>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156,553</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156,553</w:t>
            </w:r>
          </w:p>
        </w:tc>
        <w:tc>
          <w:tcPr>
            <w:tcW w:w="0" w:type="dxa"/>
            <w:vAlign w:val="bottom"/>
          </w:tcPr>
          <w:p>
            <w:pPr>
              <w:spacing w:after="0"/>
              <w:rPr>
                <w:sz w:val="1"/>
                <w:szCs w:val="1"/>
                <w:color w:val="auto"/>
              </w:rPr>
            </w:pPr>
          </w:p>
        </w:tc>
      </w:tr>
      <w:tr>
        <w:trPr>
          <w:trHeight w:val="240"/>
        </w:trPr>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43,572</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3,735</w:t>
            </w:r>
          </w:p>
        </w:tc>
        <w:tc>
          <w:tcPr>
            <w:tcW w:w="6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47,307</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47,307</w:t>
            </w:r>
          </w:p>
        </w:tc>
        <w:tc>
          <w:tcPr>
            <w:tcW w:w="0" w:type="dxa"/>
            <w:vAlign w:val="bottom"/>
          </w:tcPr>
          <w:p>
            <w:pPr>
              <w:spacing w:after="0"/>
              <w:rPr>
                <w:sz w:val="1"/>
                <w:szCs w:val="1"/>
                <w:color w:val="auto"/>
              </w:rPr>
            </w:pPr>
          </w:p>
        </w:tc>
      </w:tr>
      <w:tr>
        <w:trPr>
          <w:trHeight w:val="220"/>
        </w:trPr>
        <w:tc>
          <w:tcPr>
            <w:tcW w:w="4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199,973</w:t>
            </w:r>
          </w:p>
        </w:tc>
        <w:tc>
          <w:tcPr>
            <w:tcW w:w="180" w:type="dxa"/>
            <w:vAlign w:val="bottom"/>
            <w:tcBorders>
              <w:right w:val="single" w:sz="8" w:color="D2EEF5"/>
            </w:tcBorders>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340" w:type="dxa"/>
            <w:vAlign w:val="bottom"/>
            <w:shd w:val="clear" w:color="auto" w:fill="D2EEF5"/>
          </w:tcPr>
          <w:p>
            <w:pPr>
              <w:spacing w:after="0"/>
              <w:rPr>
                <w:sz w:val="19"/>
                <w:szCs w:val="19"/>
                <w:color w:val="auto"/>
              </w:rPr>
            </w:pPr>
          </w:p>
        </w:tc>
        <w:tc>
          <w:tcPr>
            <w:tcW w:w="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204,419</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204,419</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D2EEF5"/>
            </w:tcBorders>
          </w:tcPr>
          <w:p>
            <w:pPr>
              <w:spacing w:after="0"/>
              <w:rPr>
                <w:sz w:val="21"/>
                <w:szCs w:val="21"/>
                <w:color w:val="auto"/>
              </w:rPr>
            </w:pPr>
          </w:p>
        </w:tc>
        <w:tc>
          <w:tcPr>
            <w:tcW w:w="840" w:type="dxa"/>
            <w:vAlign w:val="bottom"/>
            <w:tcBorders>
              <w:bottom w:val="single" w:sz="8" w:color="D2EEF5"/>
            </w:tcBorders>
          </w:tcPr>
          <w:p>
            <w:pPr>
              <w:spacing w:after="0"/>
              <w:rPr>
                <w:sz w:val="21"/>
                <w:szCs w:val="21"/>
                <w:color w:val="auto"/>
              </w:rPr>
            </w:pP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spacing w:after="0"/>
              <w:rPr>
                <w:sz w:val="21"/>
                <w:szCs w:val="21"/>
                <w:color w:val="auto"/>
              </w:rPr>
            </w:pP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500" w:type="dxa"/>
            <w:vAlign w:val="bottom"/>
            <w:tcBorders>
              <w:bottom w:val="single" w:sz="8" w:color="D2EEF5"/>
            </w:tcBorders>
          </w:tcPr>
          <w:p>
            <w:pPr>
              <w:spacing w:after="0"/>
              <w:rPr>
                <w:sz w:val="21"/>
                <w:szCs w:val="21"/>
                <w:color w:val="auto"/>
              </w:rPr>
            </w:pP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33,710</w:t>
            </w:r>
          </w:p>
        </w:tc>
        <w:tc>
          <w:tcPr>
            <w:tcW w:w="180" w:type="dxa"/>
            <w:vAlign w:val="bottom"/>
            <w:tcBorders>
              <w:right w:val="single" w:sz="8" w:color="D2EEF5"/>
            </w:tcBorders>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33,710</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181,287</w:t>
            </w:r>
          </w:p>
        </w:tc>
        <w:tc>
          <w:tcPr>
            <w:tcW w:w="180" w:type="dxa"/>
            <w:vAlign w:val="bottom"/>
          </w:tcPr>
          <w:p>
            <w:pPr>
              <w:spacing w:after="0"/>
              <w:rPr>
                <w:sz w:val="21"/>
                <w:szCs w:val="21"/>
                <w:color w:val="auto"/>
              </w:rPr>
            </w:pPr>
          </w:p>
        </w:tc>
        <w:tc>
          <w:tcPr>
            <w:tcW w:w="140" w:type="dxa"/>
            <w:vAlign w:val="bottom"/>
            <w:tcBorders>
              <w:bottom w:val="single" w:sz="8" w:color="D2EEF5"/>
            </w:tcBorders>
          </w:tcPr>
          <w:p>
            <w:pPr>
              <w:spacing w:after="0"/>
              <w:rPr>
                <w:sz w:val="21"/>
                <w:szCs w:val="21"/>
                <w:color w:val="auto"/>
              </w:rPr>
            </w:pPr>
          </w:p>
        </w:tc>
        <w:tc>
          <w:tcPr>
            <w:tcW w:w="8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181,287</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50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181,287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58,106</w:t>
            </w:r>
          </w:p>
        </w:tc>
        <w:tc>
          <w:tcPr>
            <w:tcW w:w="180" w:type="dxa"/>
            <w:vAlign w:val="bottom"/>
            <w:tcBorders>
              <w:right w:val="single" w:sz="8" w:color="D2EEF5"/>
            </w:tcBorders>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58,106</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58,106</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772,569</w:t>
            </w:r>
          </w:p>
        </w:tc>
        <w:tc>
          <w:tcPr>
            <w:tcW w:w="180" w:type="dxa"/>
            <w:vAlign w:val="bottom"/>
          </w:tcPr>
          <w:p>
            <w:pPr>
              <w:spacing w:after="0"/>
              <w:rPr>
                <w:sz w:val="21"/>
                <w:szCs w:val="21"/>
                <w:color w:val="auto"/>
              </w:rPr>
            </w:pPr>
          </w:p>
        </w:tc>
        <w:tc>
          <w:tcPr>
            <w:tcW w:w="140" w:type="dxa"/>
            <w:vAlign w:val="bottom"/>
            <w:tcBorders>
              <w:bottom w:val="single" w:sz="8" w:color="D2EEF5"/>
            </w:tcBorders>
          </w:tcPr>
          <w:p>
            <w:pPr>
              <w:spacing w:after="0"/>
              <w:rPr>
                <w:sz w:val="21"/>
                <w:szCs w:val="21"/>
                <w:color w:val="auto"/>
              </w:rPr>
            </w:pPr>
          </w:p>
        </w:tc>
        <w:tc>
          <w:tcPr>
            <w:tcW w:w="94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1,890</w:t>
            </w: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774,459</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50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774,459</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right w:val="single" w:sz="8" w:color="D2EEF5"/>
            </w:tcBorders>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340" w:type="dxa"/>
            <w:vAlign w:val="bottom"/>
            <w:tcBorders>
              <w:bottom w:val="single" w:sz="8" w:color="auto"/>
            </w:tcBorders>
            <w:shd w:val="clear" w:color="auto" w:fill="D2EEF5"/>
          </w:tcPr>
          <w:p>
            <w:pPr>
              <w:spacing w:after="0"/>
              <w:rPr>
                <w:sz w:val="18"/>
                <w:szCs w:val="18"/>
                <w:color w:val="auto"/>
              </w:rPr>
            </w:pPr>
          </w:p>
        </w:tc>
        <w:tc>
          <w:tcPr>
            <w:tcW w:w="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4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4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1,045,703</w:t>
            </w:r>
          </w:p>
        </w:tc>
        <w:tc>
          <w:tcPr>
            <w:tcW w:w="180" w:type="dxa"/>
            <w:vAlign w:val="bottom"/>
          </w:tcPr>
          <w:p>
            <w:pPr>
              <w:spacing w:after="0"/>
              <w:rPr>
                <w:sz w:val="20"/>
                <w:szCs w:val="20"/>
                <w:color w:val="auto"/>
              </w:rPr>
            </w:pPr>
          </w:p>
        </w:tc>
        <w:tc>
          <w:tcPr>
            <w:tcW w:w="140" w:type="dxa"/>
            <w:vAlign w:val="bottom"/>
            <w:tcBorders>
              <w:bottom w:val="single" w:sz="8" w:color="D2EEF5"/>
            </w:tcBorders>
          </w:tcPr>
          <w:p>
            <w:pPr>
              <w:spacing w:after="0"/>
              <w:rPr>
                <w:sz w:val="20"/>
                <w:szCs w:val="20"/>
                <w:color w:val="auto"/>
              </w:rPr>
            </w:pPr>
          </w:p>
        </w:tc>
        <w:tc>
          <w:tcPr>
            <w:tcW w:w="94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1,890</w:t>
            </w:r>
          </w:p>
        </w:tc>
        <w:tc>
          <w:tcPr>
            <w:tcW w:w="6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340" w:type="dxa"/>
            <w:vAlign w:val="bottom"/>
            <w:tcBorders>
              <w:bottom w:val="single" w:sz="8" w:color="D2EEF5"/>
            </w:tcBorders>
          </w:tcPr>
          <w:p>
            <w:pPr>
              <w:spacing w:after="0"/>
              <w:rPr>
                <w:sz w:val="20"/>
                <w:szCs w:val="20"/>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1,047,593</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50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1,047,593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shd w:val="clear" w:color="auto" w:fill="D2EEF5"/>
          </w:tcPr>
          <w:p>
            <w:pPr>
              <w:spacing w:after="0"/>
              <w:rPr>
                <w:sz w:val="18"/>
                <w:szCs w:val="18"/>
                <w:color w:val="auto"/>
              </w:rPr>
            </w:pPr>
          </w:p>
        </w:tc>
        <w:tc>
          <w:tcPr>
            <w:tcW w:w="180" w:type="dxa"/>
            <w:vAlign w:val="bottom"/>
            <w:tcBorders>
              <w:right w:val="single" w:sz="8" w:color="D2EEF5"/>
            </w:tcBorders>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940" w:type="dxa"/>
            <w:vAlign w:val="bottom"/>
            <w:gridSpan w:val="2"/>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600" w:type="dxa"/>
            <w:vAlign w:val="bottom"/>
            <w:gridSpan w:val="2"/>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200,235</w:t>
            </w:r>
          </w:p>
        </w:tc>
        <w:tc>
          <w:tcPr>
            <w:tcW w:w="180" w:type="dxa"/>
            <w:vAlign w:val="bottom"/>
          </w:tcPr>
          <w:p>
            <w:pPr>
              <w:spacing w:after="0"/>
              <w:rPr>
                <w:sz w:val="21"/>
                <w:szCs w:val="21"/>
                <w:color w:val="auto"/>
              </w:rPr>
            </w:pPr>
          </w:p>
        </w:tc>
        <w:tc>
          <w:tcPr>
            <w:tcW w:w="140" w:type="dxa"/>
            <w:vAlign w:val="bottom"/>
            <w:tcBorders>
              <w:bottom w:val="single" w:sz="8" w:color="D2EEF5"/>
            </w:tcBorders>
          </w:tcPr>
          <w:p>
            <w:pPr>
              <w:spacing w:after="0"/>
              <w:rPr>
                <w:sz w:val="21"/>
                <w:szCs w:val="21"/>
                <w:color w:val="auto"/>
              </w:rPr>
            </w:pPr>
          </w:p>
        </w:tc>
        <w:tc>
          <w:tcPr>
            <w:tcW w:w="94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200,264</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60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200,732</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19,025</w:t>
            </w:r>
          </w:p>
        </w:tc>
        <w:tc>
          <w:tcPr>
            <w:tcW w:w="180" w:type="dxa"/>
            <w:vAlign w:val="bottom"/>
            <w:tcBorders>
              <w:bottom w:val="single" w:sz="8" w:color="auto"/>
              <w:right w:val="single" w:sz="8" w:color="D2EEF5"/>
            </w:tcBorders>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340" w:type="dxa"/>
            <w:vAlign w:val="bottom"/>
            <w:tcBorders>
              <w:bottom w:val="single" w:sz="8" w:color="auto"/>
            </w:tcBorders>
            <w:shd w:val="clear" w:color="auto" w:fill="D2EEF5"/>
          </w:tcPr>
          <w:p>
            <w:pPr>
              <w:spacing w:after="0"/>
              <w:rPr>
                <w:sz w:val="18"/>
                <w:szCs w:val="18"/>
                <w:color w:val="auto"/>
              </w:rPr>
            </w:pPr>
          </w:p>
        </w:tc>
        <w:tc>
          <w:tcPr>
            <w:tcW w:w="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4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19,025</w:t>
            </w: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EEF5"/>
          </w:tcPr>
          <w:p>
            <w:pPr>
              <w:spacing w:after="0"/>
              <w:rPr>
                <w:sz w:val="18"/>
                <w:szCs w:val="18"/>
                <w:color w:val="auto"/>
              </w:rPr>
            </w:pPr>
          </w:p>
        </w:tc>
        <w:tc>
          <w:tcPr>
            <w:tcW w:w="60" w:type="dxa"/>
            <w:vAlign w:val="bottom"/>
            <w:tcBorders>
              <w:bottom w:val="single" w:sz="8" w:color="D2EEF5"/>
            </w:tcBorders>
            <w:shd w:val="clear" w:color="auto" w:fill="D2EEF5"/>
          </w:tcPr>
          <w:p>
            <w:pPr>
              <w:spacing w:after="0"/>
              <w:rPr>
                <w:sz w:val="18"/>
                <w:szCs w:val="18"/>
                <w:color w:val="auto"/>
              </w:rPr>
            </w:pPr>
          </w:p>
        </w:tc>
        <w:tc>
          <w:tcPr>
            <w:tcW w:w="2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4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219,260</w:t>
            </w:r>
          </w:p>
        </w:tc>
        <w:tc>
          <w:tcPr>
            <w:tcW w:w="180" w:type="dxa"/>
            <w:vAlign w:val="bottom"/>
          </w:tcPr>
          <w:p>
            <w:pPr>
              <w:spacing w:after="0"/>
              <w:rPr>
                <w:sz w:val="20"/>
                <w:szCs w:val="20"/>
                <w:color w:val="auto"/>
              </w:rPr>
            </w:pPr>
          </w:p>
        </w:tc>
        <w:tc>
          <w:tcPr>
            <w:tcW w:w="140" w:type="dxa"/>
            <w:vAlign w:val="bottom"/>
            <w:tcBorders>
              <w:bottom w:val="single" w:sz="8" w:color="D2EEF5"/>
            </w:tcBorders>
          </w:tcPr>
          <w:p>
            <w:pPr>
              <w:spacing w:after="0"/>
              <w:rPr>
                <w:sz w:val="20"/>
                <w:szCs w:val="20"/>
                <w:color w:val="auto"/>
              </w:rPr>
            </w:pPr>
          </w:p>
        </w:tc>
        <w:tc>
          <w:tcPr>
            <w:tcW w:w="94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340" w:type="dxa"/>
            <w:vAlign w:val="bottom"/>
            <w:tcBorders>
              <w:bottom w:val="single" w:sz="8" w:color="D2EEF5"/>
            </w:tcBorders>
          </w:tcPr>
          <w:p>
            <w:pPr>
              <w:spacing w:after="0"/>
              <w:rPr>
                <w:sz w:val="20"/>
                <w:szCs w:val="20"/>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0"/>
                <w:szCs w:val="20"/>
                <w:color w:val="auto"/>
              </w:rPr>
            </w:pP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219,289</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60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219,757</w:t>
            </w:r>
          </w:p>
        </w:tc>
        <w:tc>
          <w:tcPr>
            <w:tcW w:w="0" w:type="dxa"/>
            <w:vAlign w:val="bottom"/>
          </w:tcPr>
          <w:p>
            <w:pPr>
              <w:spacing w:after="0"/>
              <w:rPr>
                <w:sz w:val="1"/>
                <w:szCs w:val="1"/>
                <w:color w:val="auto"/>
              </w:rPr>
            </w:pPr>
          </w:p>
        </w:tc>
      </w:tr>
      <w:tr>
        <w:trPr>
          <w:trHeight w:val="209"/>
        </w:trPr>
        <w:tc>
          <w:tcPr>
            <w:tcW w:w="4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40" w:type="dxa"/>
            <w:vAlign w:val="bottom"/>
            <w:shd w:val="clear" w:color="auto" w:fill="D2EEF5"/>
          </w:tcPr>
          <w:p>
            <w:pPr>
              <w:spacing w:after="0"/>
              <w:rPr>
                <w:sz w:val="18"/>
                <w:szCs w:val="18"/>
                <w:color w:val="auto"/>
              </w:rPr>
            </w:pPr>
          </w:p>
        </w:tc>
        <w:tc>
          <w:tcPr>
            <w:tcW w:w="960" w:type="dxa"/>
            <w:vAlign w:val="bottom"/>
            <w:gridSpan w:val="2"/>
            <w:shd w:val="clear" w:color="auto" w:fill="D2EEF5"/>
          </w:tcPr>
          <w:p>
            <w:pPr>
              <w:spacing w:after="0"/>
              <w:rPr>
                <w:sz w:val="18"/>
                <w:szCs w:val="18"/>
                <w:color w:val="auto"/>
              </w:rPr>
            </w:pPr>
          </w:p>
        </w:tc>
        <w:tc>
          <w:tcPr>
            <w:tcW w:w="180" w:type="dxa"/>
            <w:vAlign w:val="bottom"/>
            <w:tcBorders>
              <w:right w:val="single" w:sz="8" w:color="D2EEF5"/>
            </w:tcBorders>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50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114,945</w:t>
            </w:r>
          </w:p>
        </w:tc>
        <w:tc>
          <w:tcPr>
            <w:tcW w:w="180" w:type="dxa"/>
            <w:vAlign w:val="bottom"/>
          </w:tcPr>
          <w:p>
            <w:pPr>
              <w:spacing w:after="0"/>
              <w:rPr>
                <w:sz w:val="21"/>
                <w:szCs w:val="21"/>
                <w:color w:val="auto"/>
              </w:rPr>
            </w:pPr>
          </w:p>
        </w:tc>
        <w:tc>
          <w:tcPr>
            <w:tcW w:w="140" w:type="dxa"/>
            <w:vAlign w:val="bottom"/>
            <w:tcBorders>
              <w:bottom w:val="single" w:sz="8" w:color="D2EEF5"/>
            </w:tcBorders>
          </w:tcPr>
          <w:p>
            <w:pPr>
              <w:spacing w:after="0"/>
              <w:rPr>
                <w:sz w:val="21"/>
                <w:szCs w:val="21"/>
                <w:color w:val="auto"/>
              </w:rPr>
            </w:pPr>
          </w:p>
        </w:tc>
        <w:tc>
          <w:tcPr>
            <w:tcW w:w="8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340" w:type="dxa"/>
            <w:vAlign w:val="bottom"/>
            <w:tcBorders>
              <w:bottom w:val="single" w:sz="8" w:color="D2EEF5"/>
            </w:tcBorders>
          </w:tcPr>
          <w:p>
            <w:pPr>
              <w:spacing w:after="0"/>
              <w:rPr>
                <w:sz w:val="21"/>
                <w:szCs w:val="21"/>
                <w:color w:val="auto"/>
              </w:rPr>
            </w:pPr>
          </w:p>
        </w:tc>
        <w:tc>
          <w:tcPr>
            <w:tcW w:w="3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114,945</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50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EF5"/>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180" w:type="dxa"/>
            <w:vAlign w:val="bottom"/>
            <w:tcBorders>
              <w:bottom w:val="single" w:sz="8" w:color="D2EEF5"/>
            </w:tcBorders>
          </w:tcPr>
          <w:p>
            <w:pPr>
              <w:spacing w:after="0"/>
              <w:rPr>
                <w:sz w:val="21"/>
                <w:szCs w:val="21"/>
                <w:color w:val="auto"/>
              </w:rPr>
            </w:pPr>
          </w:p>
        </w:tc>
        <w:tc>
          <w:tcPr>
            <w:tcW w:w="1040" w:type="dxa"/>
            <w:vAlign w:val="bottom"/>
            <w:tcBorders>
              <w:bottom w:val="single" w:sz="8" w:color="D2EEF5"/>
            </w:tcBorders>
          </w:tcPr>
          <w:p>
            <w:pPr>
              <w:jc w:val="right"/>
              <w:ind w:right="10"/>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191,930</w:t>
            </w:r>
          </w:p>
        </w:tc>
        <w:tc>
          <w:tcPr>
            <w:tcW w:w="180" w:type="dxa"/>
            <w:vAlign w:val="bottom"/>
            <w:tcBorders>
              <w:right w:val="single" w:sz="8" w:color="D2EEF5"/>
            </w:tcBorders>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3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191,930</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40" w:type="dxa"/>
            <w:vAlign w:val="bottom"/>
            <w:shd w:val="clear" w:color="auto" w:fill="D2EEF5"/>
          </w:tcPr>
          <w:p>
            <w:pPr>
              <w:jc w:val="right"/>
              <w:ind w:right="10"/>
              <w:spacing w:after="0"/>
              <w:rPr>
                <w:sz w:val="20"/>
                <w:szCs w:val="20"/>
                <w:color w:val="auto"/>
              </w:rPr>
            </w:pPr>
            <w:r>
              <w:rPr>
                <w:rFonts w:ascii="Arial" w:cs="Arial" w:eastAsia="Arial" w:hAnsi="Arial"/>
                <w:sz w:val="18"/>
                <w:szCs w:val="18"/>
                <w:color w:val="auto"/>
              </w:rPr>
              <w:t>191,930</w:t>
            </w:r>
          </w:p>
        </w:tc>
        <w:tc>
          <w:tcPr>
            <w:tcW w:w="0" w:type="dxa"/>
            <w:vAlign w:val="bottom"/>
          </w:tcPr>
          <w:p>
            <w:pPr>
              <w:spacing w:after="0"/>
              <w:rPr>
                <w:sz w:val="1"/>
                <w:szCs w:val="1"/>
                <w:color w:val="auto"/>
              </w:rPr>
            </w:pPr>
          </w:p>
        </w:tc>
      </w:tr>
      <w:tr>
        <w:trPr>
          <w:trHeight w:val="268"/>
        </w:trPr>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1,771,811</w:t>
            </w:r>
          </w:p>
        </w:tc>
        <w:tc>
          <w:tcPr>
            <w:tcW w:w="180" w:type="dxa"/>
            <w:vAlign w:val="bottom"/>
            <w:tcBorders>
              <w:bottom w:val="single" w:sz="8" w:color="auto"/>
              <w:right w:val="single" w:sz="8" w:color="D2EEF5"/>
            </w:tcBorders>
          </w:tcPr>
          <w:p>
            <w:pPr>
              <w:spacing w:after="0"/>
              <w:rPr>
                <w:sz w:val="18"/>
                <w:szCs w:val="18"/>
                <w:color w:val="auto"/>
              </w:rPr>
            </w:pPr>
          </w:p>
        </w:tc>
        <w:tc>
          <w:tcPr>
            <w:tcW w:w="14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84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6,365</w:t>
            </w:r>
          </w:p>
        </w:tc>
        <w:tc>
          <w:tcPr>
            <w:tcW w:w="100" w:type="dxa"/>
            <w:vAlign w:val="bottom"/>
            <w:tcBorders>
              <w:top w:val="single" w:sz="8" w:color="D2EEF5"/>
              <w:bottom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340" w:type="dxa"/>
            <w:vAlign w:val="bottom"/>
            <w:tcBorders>
              <w:top w:val="single" w:sz="8" w:color="D2EEF5"/>
              <w:bottom w:val="single" w:sz="8" w:color="auto"/>
            </w:tcBorders>
            <w:shd w:val="clear" w:color="auto" w:fill="D2EEF5"/>
          </w:tcPr>
          <w:p>
            <w:pPr>
              <w:spacing w:after="0"/>
              <w:rPr>
                <w:sz w:val="18"/>
                <w:szCs w:val="18"/>
                <w:color w:val="auto"/>
              </w:rPr>
            </w:pPr>
          </w:p>
        </w:tc>
        <w:tc>
          <w:tcPr>
            <w:tcW w:w="32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2EEF5"/>
              <w:bottom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bottom w:val="single" w:sz="8" w:color="auto"/>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1040" w:type="dxa"/>
            <w:vAlign w:val="bottom"/>
            <w:tcBorders>
              <w:top w:val="single" w:sz="8" w:color="D2EEF5"/>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1,778,176</w:t>
            </w: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bottom w:val="single" w:sz="8" w:color="auto"/>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ind w:left="40"/>
              <w:spacing w:after="0"/>
              <w:rPr>
                <w:sz w:val="20"/>
                <w:szCs w:val="20"/>
                <w:color w:val="auto"/>
              </w:rPr>
            </w:pPr>
            <w:r>
              <w:rPr>
                <w:rFonts w:ascii="Arial" w:cs="Arial" w:eastAsia="Arial" w:hAnsi="Arial"/>
                <w:sz w:val="18"/>
                <w:szCs w:val="18"/>
                <w:color w:val="auto"/>
                <w:shd w:val="clear" w:color="auto" w:fill="D2EEF5"/>
              </w:rPr>
              <w:t>$</w:t>
            </w:r>
          </w:p>
        </w:tc>
        <w:tc>
          <w:tcPr>
            <w:tcW w:w="50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D2EEF5"/>
              <w:bottom w:val="single" w:sz="8" w:color="auto"/>
            </w:tcBorders>
            <w:shd w:val="clear" w:color="auto" w:fill="D2EEF5"/>
          </w:tcPr>
          <w:p>
            <w:pPr>
              <w:spacing w:after="0"/>
              <w:rPr>
                <w:sz w:val="18"/>
                <w:szCs w:val="18"/>
                <w:color w:val="auto"/>
              </w:rPr>
            </w:pP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bottom w:val="single" w:sz="8" w:color="auto"/>
            </w:tcBorders>
            <w:shd w:val="clear" w:color="auto" w:fill="D2EEF5"/>
          </w:tcPr>
          <w:p>
            <w:pPr>
              <w:spacing w:after="0"/>
              <w:rPr>
                <w:sz w:val="18"/>
                <w:szCs w:val="18"/>
                <w:color w:val="auto"/>
              </w:rPr>
            </w:pPr>
          </w:p>
        </w:tc>
        <w:tc>
          <w:tcPr>
            <w:tcW w:w="18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99"/>
                <w:shd w:val="clear" w:color="auto" w:fill="D2EEF5"/>
              </w:rPr>
              <w:t>$</w:t>
            </w:r>
          </w:p>
        </w:tc>
        <w:tc>
          <w:tcPr>
            <w:tcW w:w="1040" w:type="dxa"/>
            <w:vAlign w:val="bottom"/>
            <w:tcBorders>
              <w:top w:val="single" w:sz="8" w:color="D2EEF5"/>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shd w:val="clear" w:color="auto" w:fill="D2EEF5"/>
              </w:rPr>
              <w:t>1,778,644</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77" w:orient="portrait"/>
          <w:cols w:equalWidth="0" w:num="2">
            <w:col w:w="3220" w:space="720"/>
            <w:col w:w="6860"/>
          </w:cols>
          <w:pgMar w:left="720" w:top="355" w:right="720" w:bottom="0" w:gutter="0" w:footer="0" w:header="0"/>
          <w:type w:val="continuous"/>
        </w:sectPr>
      </w:pPr>
    </w:p>
    <w:p>
      <w:pPr>
        <w:spacing w:after="0" w:line="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were no loans over 90 days past due and accruing as of December 31,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Non-accrual Status</w:t>
      </w:r>
    </w:p>
    <w:p>
      <w:pPr>
        <w:spacing w:after="0" w:line="233"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includes the amortized cost basis of loans on non-accrual status and loans past due over 90 days and still accruing as of December 31, 2024 and December 31, 2023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December 31, 2024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Nonaccrual Loans</w:t>
            </w:r>
          </w:p>
        </w:tc>
        <w:tc>
          <w:tcPr>
            <w:tcW w:w="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Nonaccrual Loans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b w:val="1"/>
                <w:bCs w:val="1"/>
                <w:color w:val="auto"/>
              </w:rPr>
              <w:t>Loans Past Due</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With No Related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 Related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Over 90 Days and</w:t>
            </w:r>
          </w:p>
        </w:tc>
        <w:tc>
          <w:tcPr>
            <w:tcW w:w="0" w:type="dxa"/>
            <w:vAlign w:val="bottom"/>
          </w:tcPr>
          <w:p>
            <w:pPr>
              <w:spacing w:after="0"/>
              <w:rPr>
                <w:sz w:val="1"/>
                <w:szCs w:val="1"/>
                <w:color w:val="auto"/>
              </w:rPr>
            </w:pPr>
          </w:p>
        </w:tc>
      </w:tr>
      <w:tr>
        <w:trPr>
          <w:trHeight w:val="230"/>
        </w:trPr>
        <w:tc>
          <w:tcPr>
            <w:tcW w:w="140" w:type="dxa"/>
            <w:vAlign w:val="bottom"/>
            <w:tcBorders>
              <w:bottom w:val="single" w:sz="8" w:color="D2EEF5"/>
            </w:tcBorders>
          </w:tcPr>
          <w:p>
            <w:pPr>
              <w:spacing w:after="0"/>
              <w:rPr>
                <w:sz w:val="19"/>
                <w:szCs w:val="19"/>
                <w:color w:val="auto"/>
              </w:rPr>
            </w:pPr>
          </w:p>
        </w:tc>
        <w:tc>
          <w:tcPr>
            <w:tcW w:w="372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Allowance</w:t>
            </w: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Non-accruals</w:t>
            </w:r>
          </w:p>
        </w:tc>
        <w:tc>
          <w:tcPr>
            <w:tcW w:w="8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Still Accruing</w:t>
            </w:r>
          </w:p>
        </w:tc>
        <w:tc>
          <w:tcPr>
            <w:tcW w:w="0" w:type="dxa"/>
            <w:vAlign w:val="bottom"/>
          </w:tcPr>
          <w:p>
            <w:pPr>
              <w:spacing w:after="0"/>
              <w:rPr>
                <w:sz w:val="1"/>
                <w:szCs w:val="1"/>
                <w:color w:val="auto"/>
              </w:rPr>
            </w:pPr>
          </w:p>
        </w:tc>
      </w:tr>
      <w:tr>
        <w:trPr>
          <w:trHeight w:val="260"/>
        </w:trPr>
        <w:tc>
          <w:tcPr>
            <w:tcW w:w="140" w:type="dxa"/>
            <w:vAlign w:val="bottom"/>
            <w:tcBorders>
              <w:bottom w:val="single" w:sz="8" w:color="D2EEF5"/>
            </w:tcBorders>
            <w:shd w:val="clear" w:color="auto" w:fill="D2EEF5"/>
          </w:tcPr>
          <w:p>
            <w:pPr>
              <w:spacing w:after="0"/>
              <w:rPr>
                <w:sz w:val="22"/>
                <w:szCs w:val="22"/>
                <w:color w:val="auto"/>
              </w:rPr>
            </w:pPr>
          </w:p>
        </w:tc>
        <w:tc>
          <w:tcPr>
            <w:tcW w:w="37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right w:val="single" w:sz="8" w:color="D2EEF5"/>
            </w:tcBorders>
          </w:tcPr>
          <w:p>
            <w:pPr>
              <w:spacing w:after="0"/>
              <w:rPr>
                <w:sz w:val="22"/>
                <w:szCs w:val="22"/>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200" w:type="dxa"/>
            <w:vAlign w:val="bottom"/>
            <w:tcBorders>
              <w:bottom w:val="single" w:sz="8" w:color="D2EEF5"/>
            </w:tcBorders>
            <w:shd w:val="clear" w:color="auto" w:fill="D2EEF5"/>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2EEF5"/>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4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40" w:type="dxa"/>
            <w:vAlign w:val="bottom"/>
            <w:tcBorders>
              <w:bottom w:val="single" w:sz="8" w:color="D2EEF5"/>
            </w:tcBorders>
            <w:shd w:val="clear" w:color="auto" w:fill="D2EEF5"/>
          </w:tcPr>
          <w:p>
            <w:pPr>
              <w:spacing w:after="0"/>
              <w:rPr>
                <w:sz w:val="24"/>
                <w:szCs w:val="24"/>
                <w:color w:val="auto"/>
              </w:rPr>
            </w:pPr>
          </w:p>
        </w:tc>
        <w:tc>
          <w:tcPr>
            <w:tcW w:w="37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D2EEF5"/>
            </w:tcBorders>
            <w:shd w:val="clear" w:color="auto" w:fill="D2EEF5"/>
          </w:tcPr>
          <w:p>
            <w:pPr>
              <w:spacing w:after="0"/>
              <w:rPr>
                <w:sz w:val="24"/>
                <w:szCs w:val="24"/>
                <w:color w:val="auto"/>
              </w:rPr>
            </w:pPr>
          </w:p>
        </w:tc>
        <w:tc>
          <w:tcPr>
            <w:tcW w:w="1560" w:type="dxa"/>
            <w:vAlign w:val="bottom"/>
            <w:tcBorders>
              <w:bottom w:val="single" w:sz="8" w:color="D2EEF5"/>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D2EEF5"/>
            </w:tcBorders>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5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14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D2EEF5"/>
            </w:tcBorders>
            <w:shd w:val="clear" w:color="auto" w:fill="D2EEF5"/>
          </w:tcPr>
          <w:p>
            <w:pPr>
              <w:spacing w:after="0"/>
              <w:rPr>
                <w:sz w:val="24"/>
                <w:szCs w:val="24"/>
                <w:color w:val="auto"/>
              </w:rPr>
            </w:pPr>
          </w:p>
        </w:tc>
        <w:tc>
          <w:tcPr>
            <w:tcW w:w="140" w:type="dxa"/>
            <w:vAlign w:val="bottom"/>
            <w:tcBorders>
              <w:bottom w:val="single" w:sz="8" w:color="D2EEF5"/>
            </w:tcBorders>
            <w:shd w:val="clear" w:color="auto" w:fill="D2EEF5"/>
          </w:tcPr>
          <w:p>
            <w:pPr>
              <w:spacing w:after="0"/>
              <w:rPr>
                <w:sz w:val="24"/>
                <w:szCs w:val="24"/>
                <w:color w:val="auto"/>
              </w:rPr>
            </w:pPr>
          </w:p>
        </w:tc>
        <w:tc>
          <w:tcPr>
            <w:tcW w:w="154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2,393</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Nonaccrual Loans</w:t>
            </w:r>
          </w:p>
        </w:tc>
        <w:tc>
          <w:tcPr>
            <w:tcW w:w="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Nonaccrual Loans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b w:val="1"/>
                <w:bCs w:val="1"/>
                <w:color w:val="auto"/>
              </w:rPr>
              <w:t>Loans Past Due</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With No Related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 Related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Over 90 Days and</w:t>
            </w:r>
          </w:p>
        </w:tc>
        <w:tc>
          <w:tcPr>
            <w:tcW w:w="0" w:type="dxa"/>
            <w:vAlign w:val="bottom"/>
          </w:tcPr>
          <w:p>
            <w:pPr>
              <w:spacing w:after="0"/>
              <w:rPr>
                <w:sz w:val="1"/>
                <w:szCs w:val="1"/>
                <w:color w:val="auto"/>
              </w:rPr>
            </w:pPr>
          </w:p>
        </w:tc>
      </w:tr>
      <w:tr>
        <w:trPr>
          <w:trHeight w:val="227"/>
        </w:trPr>
        <w:tc>
          <w:tcPr>
            <w:tcW w:w="140" w:type="dxa"/>
            <w:vAlign w:val="bottom"/>
            <w:tcBorders>
              <w:bottom w:val="single" w:sz="8" w:color="D2EEF5"/>
            </w:tcBorders>
          </w:tcPr>
          <w:p>
            <w:pPr>
              <w:spacing w:after="0"/>
              <w:rPr>
                <w:sz w:val="19"/>
                <w:szCs w:val="19"/>
                <w:color w:val="auto"/>
              </w:rPr>
            </w:pPr>
          </w:p>
        </w:tc>
        <w:tc>
          <w:tcPr>
            <w:tcW w:w="372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Allowance</w:t>
            </w: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Non-accruals</w:t>
            </w:r>
          </w:p>
        </w:tc>
        <w:tc>
          <w:tcPr>
            <w:tcW w:w="8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Still Accruing</w:t>
            </w:r>
          </w:p>
        </w:tc>
        <w:tc>
          <w:tcPr>
            <w:tcW w:w="0" w:type="dxa"/>
            <w:vAlign w:val="bottom"/>
          </w:tcPr>
          <w:p>
            <w:pPr>
              <w:spacing w:after="0"/>
              <w:rPr>
                <w:sz w:val="1"/>
                <w:szCs w:val="1"/>
                <w:color w:val="auto"/>
              </w:rPr>
            </w:pPr>
          </w:p>
        </w:tc>
      </w:tr>
      <w:tr>
        <w:trPr>
          <w:trHeight w:val="234"/>
        </w:trPr>
        <w:tc>
          <w:tcPr>
            <w:tcW w:w="140" w:type="dxa"/>
            <w:vAlign w:val="bottom"/>
            <w:tcBorders>
              <w:bottom w:val="single" w:sz="8" w:color="D2EEF5"/>
            </w:tcBorders>
            <w:shd w:val="clear" w:color="auto" w:fill="D2EEF5"/>
          </w:tcPr>
          <w:p>
            <w:pPr>
              <w:spacing w:after="0"/>
              <w:rPr>
                <w:sz w:val="20"/>
                <w:szCs w:val="20"/>
                <w:color w:val="auto"/>
              </w:rPr>
            </w:pPr>
          </w:p>
        </w:tc>
        <w:tc>
          <w:tcPr>
            <w:tcW w:w="37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D2EEF5"/>
            </w:tcBorders>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D2EEF5"/>
            </w:tcBorders>
            <w:gridSpan w:val="2"/>
            <w:shd w:val="clear" w:color="auto" w:fill="D2EEF5"/>
          </w:tcPr>
          <w:p>
            <w:pPr>
              <w:spacing w:after="0"/>
              <w:rPr>
                <w:sz w:val="20"/>
                <w:szCs w:val="20"/>
                <w:color w:val="auto"/>
              </w:rPr>
            </w:pPr>
          </w:p>
        </w:tc>
        <w:tc>
          <w:tcPr>
            <w:tcW w:w="20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D2EEF5"/>
            </w:tcBorders>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468</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Accrued interest receivable is excluded from the estimate of credit losses. There was no interest income recognized attributable to non-accrual loans outstanding during the years ended December 31, 2024 and 2023. Interest income 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type w:val="continuous"/>
        </w:sectPr>
      </w:pPr>
    </w:p>
    <w:bookmarkStart w:id="104" w:name="page105"/>
    <w:bookmarkEnd w:id="104"/>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loans for the year ended December 31, 2024 and 2023, would have been approximately $84 thousand and $40 thousand, respectively, had these loans performed in accordance with their original terms.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Collateral-Dependent Loans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 loan is collateral dependent when the borrower is experiencing financial difficulty and repayment of the loan is expected to be provided substantially through the sale or operation of the collateral. There were two collateral dependent loans as of December 31, 2024 and no collateral dependent loans as of December 31, 2023.</w:t>
      </w:r>
    </w:p>
    <w:p>
      <w:pPr>
        <w:spacing w:after="0" w:line="17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following table includes the amortized cost basis of collateral dependent loans related to borrowers experiencing financial difficulty by type of collateral as of December 31,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As of December 31, 2024</w:t>
            </w:r>
          </w:p>
        </w:tc>
        <w:tc>
          <w:tcPr>
            <w:tcW w:w="560" w:type="dxa"/>
            <w:vAlign w:val="bottom"/>
            <w:tcBorders>
              <w:bottom w:val="single" w:sz="8" w:color="auto"/>
            </w:tcBorders>
          </w:tcPr>
          <w:p>
            <w:pPr>
              <w:spacing w:after="0"/>
              <w:rPr>
                <w:sz w:val="19"/>
                <w:szCs w:val="19"/>
                <w:color w:val="auto"/>
              </w:rPr>
            </w:pPr>
          </w:p>
        </w:tc>
      </w:tr>
      <w:tr>
        <w:trPr>
          <w:trHeight w:val="340"/>
        </w:trPr>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9"/>
              </w:rPr>
              <w:t>Collateral type</w:t>
            </w: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94"/>
        </w:trPr>
        <w:tc>
          <w:tcPr>
            <w:tcW w:w="4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rPr>
              <w:t>Boat</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Specific Reserves</w:t>
            </w:r>
          </w:p>
        </w:tc>
        <w:tc>
          <w:tcPr>
            <w:tcW w:w="560" w:type="dxa"/>
            <w:vAlign w:val="bottom"/>
            <w:tcBorders>
              <w:bottom w:val="single" w:sz="8" w:color="auto"/>
            </w:tcBorders>
          </w:tcPr>
          <w:p>
            <w:pPr>
              <w:spacing w:after="0"/>
              <w:rPr>
                <w:sz w:val="24"/>
                <w:szCs w:val="24"/>
                <w:color w:val="auto"/>
              </w:rPr>
            </w:pPr>
          </w:p>
        </w:tc>
      </w:tr>
      <w:tr>
        <w:trPr>
          <w:trHeight w:val="220"/>
        </w:trPr>
        <w:tc>
          <w:tcPr>
            <w:tcW w:w="4380" w:type="dxa"/>
            <w:vAlign w:val="bottom"/>
          </w:tcPr>
          <w:p>
            <w:pPr>
              <w:ind w:left="40"/>
              <w:spacing w:after="0"/>
              <w:rPr>
                <w:sz w:val="20"/>
                <w:szCs w:val="20"/>
                <w:color w:val="auto"/>
              </w:rPr>
            </w:pPr>
            <w:r>
              <w:rPr>
                <w:rFonts w:ascii="Arial" w:cs="Arial" w:eastAsia="Arial" w:hAnsi="Arial"/>
                <w:sz w:val="18"/>
                <w:szCs w:val="18"/>
                <w:color w:val="auto"/>
              </w:rPr>
              <w:t>Consumer and other loans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1,990</w:t>
            </w: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4380" w:type="dxa"/>
            <w:vAlign w:val="bottom"/>
            <w:tcBorders>
              <w:top w:val="single" w:sz="8" w:color="D2EEF5"/>
            </w:tcBorders>
            <w:shd w:val="clear" w:color="auto" w:fill="D2EEF5"/>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060" w:type="dxa"/>
            <w:vAlign w:val="bottom"/>
            <w:tcBorders>
              <w:top w:val="single" w:sz="8" w:color="auto"/>
              <w:bottom w:val="single" w:sz="8" w:color="auto"/>
            </w:tcBorders>
            <w:shd w:val="clear" w:color="auto" w:fill="D2EEF5"/>
          </w:tcPr>
          <w:p>
            <w:pPr>
              <w:spacing w:after="0"/>
              <w:rPr>
                <w:sz w:val="20"/>
                <w:szCs w:val="20"/>
                <w:color w:val="auto"/>
              </w:rPr>
            </w:pPr>
          </w:p>
        </w:tc>
        <w:tc>
          <w:tcPr>
            <w:tcW w:w="940" w:type="dxa"/>
            <w:vAlign w:val="bottom"/>
            <w:tcBorders>
              <w:top w:val="single" w:sz="8" w:color="auto"/>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1,990</w:t>
            </w:r>
          </w:p>
        </w:tc>
        <w:tc>
          <w:tcPr>
            <w:tcW w:w="4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tcBorders>
            <w:shd w:val="clear" w:color="auto" w:fill="D2EEF5"/>
          </w:tcPr>
          <w:p>
            <w:pPr>
              <w:spacing w:after="0"/>
              <w:rPr>
                <w:sz w:val="20"/>
                <w:szCs w:val="20"/>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2440" w:type="dxa"/>
            <w:vAlign w:val="bottom"/>
            <w:tcBorders>
              <w:top w:val="single" w:sz="8" w:color="auto"/>
              <w:bottom w:val="single" w:sz="8" w:color="auto"/>
            </w:tcBorders>
            <w:shd w:val="clear" w:color="auto" w:fill="D2EEF5"/>
          </w:tcPr>
          <w:p>
            <w:pPr>
              <w:spacing w:after="0"/>
              <w:rPr>
                <w:sz w:val="20"/>
                <w:szCs w:val="20"/>
                <w:color w:val="auto"/>
              </w:rPr>
            </w:pPr>
          </w:p>
        </w:tc>
        <w:tc>
          <w:tcPr>
            <w:tcW w:w="560" w:type="dxa"/>
            <w:vAlign w:val="bottom"/>
            <w:tcBorders>
              <w:top w:val="single" w:sz="8" w:color="auto"/>
              <w:bottom w:val="single" w:sz="8" w:color="auto"/>
            </w:tcBorders>
            <w:shd w:val="clear" w:color="auto" w:fill="D2EEF5"/>
          </w:tcPr>
          <w:p>
            <w:pPr>
              <w:jc w:val="right"/>
              <w:ind w:right="10"/>
              <w:spacing w:after="0"/>
              <w:rPr>
                <w:sz w:val="20"/>
                <w:szCs w:val="20"/>
                <w:color w:val="auto"/>
              </w:rPr>
            </w:pPr>
            <w:r>
              <w:rPr>
                <w:rFonts w:ascii="Arial" w:cs="Arial" w:eastAsia="Arial" w:hAnsi="Arial"/>
                <w:sz w:val="18"/>
                <w:szCs w:val="18"/>
                <w:color w:val="auto"/>
              </w:rPr>
              <w:t>651</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Modifications to Borrowers Experiencing Financial Difficulties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 newly restructured loans, by type of modification, which occurred during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December 31, 2023 (dollars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9"/>
          </w:tcPr>
          <w:p>
            <w:pPr>
              <w:jc w:val="right"/>
              <w:ind w:right="360"/>
              <w:spacing w:after="0"/>
              <w:rPr>
                <w:sz w:val="20"/>
                <w:szCs w:val="20"/>
                <w:color w:val="auto"/>
              </w:rPr>
            </w:pPr>
            <w:r>
              <w:rPr>
                <w:rFonts w:ascii="Arial" w:cs="Arial" w:eastAsia="Arial" w:hAnsi="Arial"/>
                <w:sz w:val="16"/>
                <w:szCs w:val="16"/>
                <w:b w:val="1"/>
                <w:bCs w:val="1"/>
                <w:color w:val="auto"/>
              </w:rPr>
              <w:t>Recorded Investment Prior to Modification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9"/>
          </w:tcPr>
          <w:p>
            <w:pPr>
              <w:jc w:val="right"/>
              <w:ind w:right="500"/>
              <w:spacing w:after="0"/>
              <w:rPr>
                <w:sz w:val="20"/>
                <w:szCs w:val="20"/>
                <w:color w:val="auto"/>
              </w:rPr>
            </w:pPr>
            <w:r>
              <w:rPr>
                <w:rFonts w:ascii="Arial" w:cs="Arial" w:eastAsia="Arial" w:hAnsi="Arial"/>
                <w:sz w:val="16"/>
                <w:szCs w:val="16"/>
                <w:b w:val="1"/>
                <w:bCs w:val="1"/>
                <w:color w:val="auto"/>
              </w:rPr>
              <w:t>Recorded Investment After Modification</w:t>
            </w:r>
          </w:p>
        </w:tc>
        <w:tc>
          <w:tcPr>
            <w:tcW w:w="0" w:type="dxa"/>
            <w:vAlign w:val="bottom"/>
          </w:tcPr>
          <w:p>
            <w:pPr>
              <w:spacing w:after="0"/>
              <w:rPr>
                <w:sz w:val="1"/>
                <w:szCs w:val="1"/>
                <w:color w:val="auto"/>
              </w:rPr>
            </w:pPr>
          </w:p>
        </w:tc>
      </w:tr>
      <w:tr>
        <w:trPr>
          <w:trHeight w:val="55"/>
        </w:trPr>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Loans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Loans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0" w:type="dxa"/>
            <w:vAlign w:val="bottom"/>
          </w:tcPr>
          <w:p>
            <w:pPr>
              <w:spacing w:after="0"/>
              <w:rPr>
                <w:sz w:val="1"/>
                <w:szCs w:val="1"/>
                <w:color w:val="auto"/>
              </w:rPr>
            </w:pPr>
          </w:p>
        </w:tc>
      </w:tr>
      <w:tr>
        <w:trPr>
          <w:trHeight w:val="55"/>
        </w:trPr>
        <w:tc>
          <w:tcPr>
            <w:tcW w:w="2400" w:type="dxa"/>
            <w:vAlign w:val="bottom"/>
            <w:gridSpan w:val="2"/>
            <w:vMerge w:val="restart"/>
          </w:tcPr>
          <w:p>
            <w:pPr>
              <w:spacing w:after="0"/>
              <w:rPr>
                <w:sz w:val="20"/>
                <w:szCs w:val="20"/>
                <w:color w:val="auto"/>
              </w:rPr>
            </w:pPr>
            <w:r>
              <w:rPr>
                <w:rFonts w:ascii="Arial" w:cs="Arial" w:eastAsia="Arial" w:hAnsi="Arial"/>
                <w:sz w:val="16"/>
                <w:szCs w:val="16"/>
                <w:color w:val="auto"/>
              </w:rPr>
              <w:t>Commercial and industrial</w:t>
            </w:r>
          </w:p>
        </w:tc>
        <w:tc>
          <w:tcPr>
            <w:tcW w:w="11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400" w:type="dxa"/>
            <w:vAlign w:val="bottom"/>
            <w:gridSpan w:val="2"/>
            <w:vMerge w:val="continue"/>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468</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20"/>
        </w:trPr>
        <w:tc>
          <w:tcPr>
            <w:tcW w:w="238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2EEF5"/>
            </w:tcBorders>
            <w:shd w:val="clear" w:color="auto" w:fill="D2EEF5"/>
          </w:tcPr>
          <w:p>
            <w:pPr>
              <w:spacing w:after="0"/>
              <w:rPr>
                <w:sz w:val="19"/>
                <w:szCs w:val="19"/>
                <w:color w:val="auto"/>
              </w:rPr>
            </w:pPr>
          </w:p>
        </w:tc>
        <w:tc>
          <w:tcPr>
            <w:tcW w:w="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468</w:t>
            </w:r>
          </w:p>
        </w:tc>
        <w:tc>
          <w:tcPr>
            <w:tcW w:w="20" w:type="dxa"/>
            <w:vAlign w:val="bottom"/>
            <w:tcBorders>
              <w:bottom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468</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bottom w:val="single" w:sz="8" w:color="auto"/>
            </w:tcBorders>
            <w:shd w:val="clear" w:color="auto" w:fill="D2EEF5"/>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468</w:t>
            </w:r>
          </w:p>
        </w:tc>
        <w:tc>
          <w:tcPr>
            <w:tcW w:w="20" w:type="dxa"/>
            <w:vAlign w:val="bottom"/>
            <w:tcBorders>
              <w:top w:val="single" w:sz="8" w:color="D2EEF5"/>
              <w:bottom w:val="single" w:sz="8" w:color="auto"/>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shd w:val="clear" w:color="auto" w:fill="D2EEF5"/>
              </w:rPr>
              <w:t>$</w:t>
            </w: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9"/>
          </w:tcPr>
          <w:p>
            <w:pPr>
              <w:jc w:val="right"/>
              <w:ind w:right="360"/>
              <w:spacing w:after="0"/>
              <w:rPr>
                <w:sz w:val="20"/>
                <w:szCs w:val="20"/>
                <w:color w:val="auto"/>
              </w:rPr>
            </w:pPr>
            <w:r>
              <w:rPr>
                <w:rFonts w:ascii="Arial" w:cs="Arial" w:eastAsia="Arial" w:hAnsi="Arial"/>
                <w:sz w:val="16"/>
                <w:szCs w:val="16"/>
                <w:b w:val="1"/>
                <w:bCs w:val="1"/>
                <w:color w:val="auto"/>
              </w:rPr>
              <w:t>Recorded Investment Prior to Modification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9"/>
          </w:tcPr>
          <w:p>
            <w:pPr>
              <w:jc w:val="right"/>
              <w:ind w:right="500"/>
              <w:spacing w:after="0"/>
              <w:rPr>
                <w:sz w:val="20"/>
                <w:szCs w:val="20"/>
                <w:color w:val="auto"/>
              </w:rPr>
            </w:pPr>
            <w:r>
              <w:rPr>
                <w:rFonts w:ascii="Arial" w:cs="Arial" w:eastAsia="Arial" w:hAnsi="Arial"/>
                <w:sz w:val="16"/>
                <w:szCs w:val="16"/>
                <w:b w:val="1"/>
                <w:bCs w:val="1"/>
                <w:color w:val="auto"/>
              </w:rPr>
              <w:t>Recorded Investment After Modification</w:t>
            </w:r>
          </w:p>
        </w:tc>
        <w:tc>
          <w:tcPr>
            <w:tcW w:w="0" w:type="dxa"/>
            <w:vAlign w:val="bottom"/>
          </w:tcPr>
          <w:p>
            <w:pPr>
              <w:spacing w:after="0"/>
              <w:rPr>
                <w:sz w:val="1"/>
                <w:szCs w:val="1"/>
                <w:color w:val="auto"/>
              </w:rPr>
            </w:pPr>
          </w:p>
        </w:tc>
      </w:tr>
      <w:tr>
        <w:trPr>
          <w:trHeight w:val="55"/>
        </w:trPr>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Loans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Loans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4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400" w:type="dxa"/>
            <w:vAlign w:val="bottom"/>
            <w:tcBorders>
              <w:top w:val="single" w:sz="8" w:color="D2EEF5"/>
              <w:bottom w:val="single" w:sz="8" w:color="D2EEF5"/>
            </w:tcBorders>
            <w:gridSpan w:val="2"/>
            <w:shd w:val="clear" w:color="auto" w:fill="D2EEF5"/>
          </w:tcPr>
          <w:p>
            <w:pPr>
              <w:spacing w:after="0"/>
              <w:rPr>
                <w:sz w:val="20"/>
                <w:szCs w:val="20"/>
                <w:color w:val="auto"/>
              </w:rPr>
            </w:pPr>
            <w:r>
              <w:rPr>
                <w:rFonts w:ascii="Arial" w:cs="Arial" w:eastAsia="Arial" w:hAnsi="Arial"/>
                <w:sz w:val="16"/>
                <w:szCs w:val="16"/>
                <w:color w:val="auto"/>
              </w:rPr>
              <w:t>Commercial and industrial</w:t>
            </w:r>
          </w:p>
        </w:tc>
        <w:tc>
          <w:tcPr>
            <w:tcW w:w="1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top w:val="single" w:sz="8" w:color="D2EEF5"/>
              <w:bottom w:val="single" w:sz="8" w:color="D2EEF5"/>
            </w:tcBorders>
            <w:shd w:val="clear" w:color="auto" w:fill="D2EEF5"/>
          </w:tcPr>
          <w:p>
            <w:pPr>
              <w:spacing w:after="0"/>
              <w:rPr>
                <w:sz w:val="17"/>
                <w:szCs w:val="17"/>
                <w:color w:val="auto"/>
              </w:rPr>
            </w:pPr>
          </w:p>
        </w:tc>
        <w:tc>
          <w:tcPr>
            <w:tcW w:w="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650</w:t>
            </w:r>
          </w:p>
        </w:tc>
        <w:tc>
          <w:tcPr>
            <w:tcW w:w="20" w:type="dxa"/>
            <w:vAlign w:val="bottom"/>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20" w:type="dxa"/>
            <w:vAlign w:val="bottom"/>
            <w:tcBorders>
              <w:top w:val="single" w:sz="8" w:color="D2EEF5"/>
              <w:bottom w:val="single" w:sz="8" w:color="D2EEF5"/>
            </w:tcBorders>
            <w:shd w:val="clear" w:color="auto" w:fill="D2EEF5"/>
          </w:tcPr>
          <w:p>
            <w:pPr>
              <w:spacing w:after="0"/>
              <w:rPr>
                <w:sz w:val="17"/>
                <w:szCs w:val="17"/>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650</w:t>
            </w:r>
          </w:p>
        </w:tc>
        <w:tc>
          <w:tcPr>
            <w:tcW w:w="60" w:type="dxa"/>
            <w:vAlign w:val="bottom"/>
            <w:tcBorders>
              <w:top w:val="single" w:sz="8" w:color="D2EEF5"/>
              <w:bottom w:val="single" w:sz="8" w:color="D2EEF5"/>
            </w:tcBorders>
            <w:shd w:val="clear" w:color="auto" w:fill="D2EEF5"/>
          </w:tcPr>
          <w:p>
            <w:pPr>
              <w:spacing w:after="0"/>
              <w:rPr>
                <w:sz w:val="17"/>
                <w:szCs w:val="17"/>
                <w:color w:val="auto"/>
              </w:rPr>
            </w:pPr>
          </w:p>
        </w:tc>
        <w:tc>
          <w:tcPr>
            <w:tcW w:w="20" w:type="dxa"/>
            <w:vAlign w:val="bottom"/>
            <w:tcBorders>
              <w:top w:val="single" w:sz="8" w:color="D2EEF5"/>
              <w:bottom w:val="single" w:sz="8" w:color="D2EEF5"/>
            </w:tcBorders>
            <w:shd w:val="clear" w:color="auto" w:fill="D2EEF5"/>
          </w:tcPr>
          <w:p>
            <w:pPr>
              <w:spacing w:after="0"/>
              <w:rPr>
                <w:sz w:val="17"/>
                <w:szCs w:val="17"/>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top w:val="single" w:sz="8" w:color="D2EEF5"/>
              <w:bottom w:val="single" w:sz="8" w:color="D2EEF5"/>
            </w:tcBorders>
            <w:shd w:val="clear" w:color="auto" w:fill="D2EEF5"/>
          </w:tcPr>
          <w:p>
            <w:pPr>
              <w:spacing w:after="0"/>
              <w:rPr>
                <w:sz w:val="17"/>
                <w:szCs w:val="17"/>
                <w:color w:val="auto"/>
              </w:rPr>
            </w:pPr>
          </w:p>
        </w:tc>
        <w:tc>
          <w:tcPr>
            <w:tcW w:w="2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auto"/>
            </w:tcBorders>
            <w:shd w:val="clear" w:color="auto" w:fill="D2EEF5"/>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650</w:t>
            </w:r>
          </w:p>
        </w:tc>
        <w:tc>
          <w:tcPr>
            <w:tcW w:w="60" w:type="dxa"/>
            <w:vAlign w:val="bottom"/>
            <w:tcBorders>
              <w:top w:val="single" w:sz="8" w:color="D2EEF5"/>
              <w:bottom w:val="single" w:sz="8" w:color="D2EEF5"/>
            </w:tcBorders>
            <w:gridSpan w:val="2"/>
            <w:shd w:val="clear" w:color="auto" w:fill="D2EEF5"/>
          </w:tcPr>
          <w:p>
            <w:pPr>
              <w:spacing w:after="0"/>
              <w:rPr>
                <w:sz w:val="17"/>
                <w:szCs w:val="17"/>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w w:val="89"/>
                <w:shd w:val="clear" w:color="auto" w:fill="D2EEF5"/>
              </w:rPr>
              <w:t>$</w:t>
            </w: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650</w:t>
            </w:r>
          </w:p>
        </w:tc>
        <w:tc>
          <w:tcPr>
            <w:tcW w:w="2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650</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26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650</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had one new modification to borrowers experiencing financial difficulties for the year ended December 31, 2024. The Company had two new modifications to borrowers experiencing financial difficulties for the year ended December 31, 2023.</w:t>
      </w:r>
    </w:p>
    <w:p>
      <w:pPr>
        <w:spacing w:after="0" w:line="167" w:lineRule="exact"/>
        <w:rPr>
          <w:sz w:val="20"/>
          <w:szCs w:val="20"/>
          <w:color w:val="auto"/>
        </w:rPr>
      </w:pPr>
    </w:p>
    <w:p>
      <w:pPr>
        <w:ind w:left="720" w:hanging="72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Company enters into leases in the normal course of business primarily for banking centers and back-office operations. As of December 31, 2024,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dates.</w:t>
      </w: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05" w:name="page106"/>
    <w:bookmarkEnd w:id="105"/>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8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16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most of the Company’s leases do not provide an implicit rate, the incremental borrowing rate based on the information available at commencement date is used. The Company’s incremental borrowing rate is based on the FHLB advances rate matching or nearing the lease term.</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ROU assets and lease liabilities as of December 31, 2024 and 2023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Borders>
              <w:bottom w:val="single" w:sz="8" w:color="D2EEF5"/>
            </w:tcBorders>
          </w:tcPr>
          <w:p>
            <w:pPr>
              <w:spacing w:after="0"/>
              <w:rPr>
                <w:sz w:val="19"/>
                <w:szCs w:val="19"/>
                <w:color w:val="auto"/>
              </w:rPr>
            </w:pPr>
          </w:p>
        </w:tc>
        <w:tc>
          <w:tcPr>
            <w:tcW w:w="33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0"/>
        </w:trPr>
        <w:tc>
          <w:tcPr>
            <w:tcW w:w="480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ROU assets:</w:t>
            </w:r>
          </w:p>
        </w:tc>
        <w:tc>
          <w:tcPr>
            <w:tcW w:w="33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r>
      <w:tr>
        <w:trPr>
          <w:trHeight w:val="240"/>
        </w:trPr>
        <w:tc>
          <w:tcPr>
            <w:tcW w:w="48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11,423</w:t>
            </w:r>
          </w:p>
        </w:tc>
      </w:tr>
      <w:tr>
        <w:trPr>
          <w:trHeight w:val="240"/>
        </w:trPr>
        <w:tc>
          <w:tcPr>
            <w:tcW w:w="4800" w:type="dxa"/>
            <w:vAlign w:val="bottom"/>
            <w:shd w:val="clear" w:color="auto" w:fill="D2EEF5"/>
          </w:tcPr>
          <w:p>
            <w:pPr>
              <w:spacing w:after="0"/>
              <w:rPr>
                <w:sz w:val="20"/>
                <w:szCs w:val="20"/>
                <w:color w:val="auto"/>
              </w:rPr>
            </w:pPr>
          </w:p>
        </w:tc>
        <w:tc>
          <w:tcPr>
            <w:tcW w:w="33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20" w:type="dxa"/>
            <w:vAlign w:val="bottom"/>
            <w:shd w:val="clear" w:color="auto" w:fill="D2EEF5"/>
          </w:tcPr>
          <w:p>
            <w:pPr>
              <w:spacing w:after="0"/>
              <w:rPr>
                <w:sz w:val="20"/>
                <w:szCs w:val="20"/>
                <w:color w:val="auto"/>
              </w:rPr>
            </w:pPr>
          </w:p>
        </w:tc>
      </w:tr>
      <w:tr>
        <w:trPr>
          <w:trHeight w:val="240"/>
        </w:trPr>
        <w:tc>
          <w:tcPr>
            <w:tcW w:w="480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4800" w:type="dxa"/>
            <w:vAlign w:val="bottom"/>
            <w:shd w:val="clear" w:color="auto" w:fill="D2EEF5"/>
          </w:tcPr>
          <w:p>
            <w:pPr>
              <w:ind w:left="140"/>
              <w:spacing w:after="0"/>
              <w:rPr>
                <w:sz w:val="20"/>
                <w:szCs w:val="20"/>
                <w:color w:val="auto"/>
              </w:rPr>
            </w:pPr>
            <w:r>
              <w:rPr>
                <w:rFonts w:ascii="Arial" w:cs="Arial" w:eastAsia="Arial" w:hAnsi="Arial"/>
                <w:sz w:val="18"/>
                <w:szCs w:val="18"/>
                <w:color w:val="auto"/>
              </w:rPr>
              <w:t>Operating leases</w:t>
            </w:r>
          </w:p>
        </w:tc>
        <w:tc>
          <w:tcPr>
            <w:tcW w:w="33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8,451</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11,423</w:t>
            </w:r>
          </w:p>
        </w:tc>
      </w:tr>
    </w:tbl>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weighted average remaining lease term and weighted average discount rate as of December 31,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Borders>
              <w:bottom w:val="single" w:sz="8" w:color="D2EEF5"/>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D2EEF5"/>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0"/>
        </w:trPr>
        <w:tc>
          <w:tcPr>
            <w:tcW w:w="806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3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340" w:type="dxa"/>
            <w:vAlign w:val="bottom"/>
            <w:shd w:val="clear" w:color="auto" w:fill="D2EEF5"/>
          </w:tcPr>
          <w:p>
            <w:pPr>
              <w:spacing w:after="0"/>
              <w:rPr>
                <w:sz w:val="19"/>
                <w:szCs w:val="19"/>
                <w:color w:val="auto"/>
              </w:rPr>
            </w:pPr>
          </w:p>
        </w:tc>
      </w:tr>
      <w:tr>
        <w:trPr>
          <w:trHeight w:val="240"/>
        </w:trPr>
        <w:tc>
          <w:tcPr>
            <w:tcW w:w="80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tcPr>
          <w:p>
            <w:pPr>
              <w:ind w:left="760"/>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20"/>
                <w:szCs w:val="20"/>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6.35</w:t>
            </w:r>
          </w:p>
        </w:tc>
      </w:tr>
      <w:tr>
        <w:trPr>
          <w:trHeight w:val="240"/>
        </w:trPr>
        <w:tc>
          <w:tcPr>
            <w:tcW w:w="8060" w:type="dxa"/>
            <w:vAlign w:val="bottom"/>
            <w:shd w:val="clear" w:color="auto" w:fill="D2EEF5"/>
          </w:tcPr>
          <w:p>
            <w:pPr>
              <w:spacing w:after="0"/>
              <w:rPr>
                <w:sz w:val="20"/>
                <w:szCs w:val="20"/>
                <w:color w:val="auto"/>
              </w:rPr>
            </w:pPr>
          </w:p>
        </w:tc>
        <w:tc>
          <w:tcPr>
            <w:tcW w:w="13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340" w:type="dxa"/>
            <w:vAlign w:val="bottom"/>
            <w:shd w:val="clear" w:color="auto" w:fill="D2EEF5"/>
          </w:tcPr>
          <w:p>
            <w:pPr>
              <w:spacing w:after="0"/>
              <w:rPr>
                <w:sz w:val="20"/>
                <w:szCs w:val="20"/>
                <w:color w:val="auto"/>
              </w:rPr>
            </w:pPr>
          </w:p>
        </w:tc>
      </w:tr>
      <w:tr>
        <w:trPr>
          <w:trHeight w:val="240"/>
        </w:trPr>
        <w:tc>
          <w:tcPr>
            <w:tcW w:w="806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0"/>
        </w:trPr>
        <w:tc>
          <w:tcPr>
            <w:tcW w:w="8060" w:type="dxa"/>
            <w:vAlign w:val="bottom"/>
            <w:shd w:val="clear" w:color="auto" w:fill="D2EEF5"/>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D2EEF5"/>
          </w:tcPr>
          <w:p>
            <w:pPr>
              <w:ind w:left="76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D2EEF5"/>
          </w:tcPr>
          <w:p>
            <w:pPr>
              <w:spacing w:after="0"/>
              <w:rPr>
                <w:sz w:val="20"/>
                <w:szCs w:val="20"/>
                <w:color w:val="auto"/>
              </w:rPr>
            </w:pPr>
          </w:p>
        </w:tc>
        <w:tc>
          <w:tcPr>
            <w:tcW w:w="1340" w:type="dxa"/>
            <w:vAlign w:val="bottom"/>
            <w:shd w:val="clear" w:color="auto" w:fill="D2EEF5"/>
          </w:tcPr>
          <w:p>
            <w:pPr>
              <w:ind w:left="780"/>
              <w:spacing w:after="0"/>
              <w:rPr>
                <w:sz w:val="20"/>
                <w:szCs w:val="20"/>
                <w:color w:val="auto"/>
              </w:rPr>
            </w:pPr>
            <w:r>
              <w:rPr>
                <w:rFonts w:ascii="Arial" w:cs="Arial" w:eastAsia="Arial" w:hAnsi="Arial"/>
                <w:sz w:val="18"/>
                <w:szCs w:val="18"/>
                <w:color w:val="auto"/>
              </w:rPr>
              <w:t>2.94%</w:t>
            </w:r>
          </w:p>
        </w:tc>
      </w:tr>
    </w:tbl>
    <w:p>
      <w:pPr>
        <w:spacing w:after="0" w:line="20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Future lease payment obligations and a reconciliation to lease liability as of December 31, 2024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3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3,312</w:t>
            </w:r>
          </w:p>
        </w:tc>
      </w:tr>
      <w:tr>
        <w:trPr>
          <w:trHeight w:val="240"/>
        </w:trPr>
        <w:tc>
          <w:tcPr>
            <w:tcW w:w="8360" w:type="dxa"/>
            <w:vAlign w:val="bottom"/>
            <w:gridSpan w:val="2"/>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2,383</w:t>
            </w:r>
          </w:p>
        </w:tc>
      </w:tr>
      <w:tr>
        <w:trPr>
          <w:trHeight w:val="240"/>
        </w:trPr>
        <w:tc>
          <w:tcPr>
            <w:tcW w:w="83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951</w:t>
            </w:r>
          </w:p>
        </w:tc>
      </w:tr>
      <w:tr>
        <w:trPr>
          <w:trHeight w:val="240"/>
        </w:trPr>
        <w:tc>
          <w:tcPr>
            <w:tcW w:w="8360" w:type="dxa"/>
            <w:vAlign w:val="bottom"/>
            <w:gridSpan w:val="2"/>
          </w:tcPr>
          <w:p>
            <w:pPr>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40"/>
        </w:trPr>
        <w:tc>
          <w:tcPr>
            <w:tcW w:w="83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478</w:t>
            </w:r>
          </w:p>
        </w:tc>
      </w:tr>
      <w:tr>
        <w:trPr>
          <w:trHeight w:val="240"/>
        </w:trPr>
        <w:tc>
          <w:tcPr>
            <w:tcW w:w="836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r>
      <w:tr>
        <w:trPr>
          <w:trHeight w:val="220"/>
        </w:trPr>
        <w:tc>
          <w:tcPr>
            <w:tcW w:w="140" w:type="dxa"/>
            <w:vAlign w:val="bottom"/>
            <w:shd w:val="clear" w:color="auto" w:fill="D2EEF5"/>
          </w:tcPr>
          <w:p>
            <w:pPr>
              <w:spacing w:after="0"/>
              <w:rPr>
                <w:sz w:val="19"/>
                <w:szCs w:val="19"/>
                <w:color w:val="auto"/>
              </w:rPr>
            </w:pPr>
          </w:p>
        </w:tc>
        <w:tc>
          <w:tcPr>
            <w:tcW w:w="8220" w:type="dxa"/>
            <w:vAlign w:val="bottom"/>
            <w:shd w:val="clear" w:color="auto" w:fill="D2EEF5"/>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10,125</w:t>
            </w:r>
          </w:p>
        </w:tc>
      </w:tr>
      <w:tr>
        <w:trPr>
          <w:trHeight w:val="240"/>
        </w:trPr>
        <w:tc>
          <w:tcPr>
            <w:tcW w:w="836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Less: interest component</w:t>
            </w: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D2EEF5"/>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r>
      <w:tr>
        <w:trPr>
          <w:trHeight w:val="237"/>
        </w:trPr>
        <w:tc>
          <w:tcPr>
            <w:tcW w:w="140" w:type="dxa"/>
            <w:vAlign w:val="bottom"/>
            <w:shd w:val="clear" w:color="auto" w:fill="D2EEF5"/>
          </w:tcPr>
          <w:p>
            <w:pPr>
              <w:spacing w:after="0"/>
              <w:rPr>
                <w:sz w:val="20"/>
                <w:szCs w:val="20"/>
                <w:color w:val="auto"/>
              </w:rPr>
            </w:pPr>
          </w:p>
        </w:tc>
        <w:tc>
          <w:tcPr>
            <w:tcW w:w="8220" w:type="dxa"/>
            <w:vAlign w:val="bottom"/>
            <w:shd w:val="clear" w:color="auto" w:fill="D2EEF5"/>
          </w:tcPr>
          <w:p>
            <w:pPr>
              <w:spacing w:after="0"/>
              <w:rPr>
                <w:sz w:val="20"/>
                <w:szCs w:val="20"/>
                <w:color w:val="auto"/>
              </w:rPr>
            </w:pPr>
            <w:r>
              <w:rPr>
                <w:rFonts w:ascii="Arial" w:cs="Arial" w:eastAsia="Arial" w:hAnsi="Arial"/>
                <w:sz w:val="18"/>
                <w:szCs w:val="18"/>
                <w:color w:val="auto"/>
              </w:rPr>
              <w:t>Total lease liability</w:t>
            </w:r>
          </w:p>
        </w:tc>
        <w:tc>
          <w:tcPr>
            <w:tcW w:w="20" w:type="dxa"/>
            <w:vAlign w:val="bottom"/>
            <w:tcBorders>
              <w:bottom w:val="single" w:sz="8" w:color="auto"/>
            </w:tcBorders>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8,451</w:t>
            </w:r>
          </w:p>
        </w:tc>
      </w:tr>
      <w:tr>
        <w:trPr>
          <w:trHeight w:val="20"/>
        </w:trPr>
        <w:tc>
          <w:tcPr>
            <w:tcW w:w="1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06" w:name="page107"/>
    <w:bookmarkEnd w:id="106"/>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PREMISES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premises and equipment are presented below as of December 31, 2024 and 2023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8"/>
        </w:trPr>
        <w:tc>
          <w:tcPr>
            <w:tcW w:w="8100" w:type="dxa"/>
            <w:vAlign w:val="bottom"/>
            <w:shd w:val="clear" w:color="auto" w:fill="D2EEF5"/>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972</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8"/>
                <w:szCs w:val="18"/>
                <w:color w:val="auto"/>
              </w:rPr>
              <w:t>Building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8"/>
        </w:trPr>
        <w:tc>
          <w:tcPr>
            <w:tcW w:w="8100" w:type="dxa"/>
            <w:vAlign w:val="bottom"/>
            <w:shd w:val="clear" w:color="auto" w:fill="D2EEF5"/>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9,137</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10,584</w:t>
            </w:r>
          </w:p>
        </w:tc>
        <w:tc>
          <w:tcPr>
            <w:tcW w:w="6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10,457</w:t>
            </w:r>
          </w:p>
        </w:tc>
        <w:tc>
          <w:tcPr>
            <w:tcW w:w="0" w:type="dxa"/>
            <w:vAlign w:val="bottom"/>
          </w:tcPr>
          <w:p>
            <w:pPr>
              <w:spacing w:after="0"/>
              <w:rPr>
                <w:sz w:val="1"/>
                <w:szCs w:val="1"/>
                <w:color w:val="auto"/>
              </w:rPr>
            </w:pPr>
          </w:p>
        </w:tc>
      </w:tr>
      <w:tr>
        <w:trPr>
          <w:trHeight w:val="200"/>
        </w:trPr>
        <w:tc>
          <w:tcPr>
            <w:tcW w:w="8100" w:type="dxa"/>
            <w:vAlign w:val="bottom"/>
          </w:tcPr>
          <w:p>
            <w:pPr>
              <w:ind w:left="140"/>
              <w:spacing w:after="0" w:line="200" w:lineRule="exact"/>
              <w:rPr>
                <w:sz w:val="20"/>
                <w:szCs w:val="20"/>
                <w:color w:val="auto"/>
              </w:rPr>
            </w:pPr>
            <w:r>
              <w:rPr>
                <w:rFonts w:ascii="Arial" w:cs="Arial" w:eastAsia="Arial" w:hAnsi="Arial"/>
                <w:sz w:val="18"/>
                <w:szCs w:val="18"/>
                <w:color w:val="auto"/>
              </w:rPr>
              <w:t>Premises and equipment, gross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27,268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26,954</w:t>
            </w:r>
          </w:p>
        </w:tc>
        <w:tc>
          <w:tcPr>
            <w:tcW w:w="0" w:type="dxa"/>
            <w:vAlign w:val="bottom"/>
          </w:tcPr>
          <w:p>
            <w:pPr>
              <w:spacing w:after="0"/>
              <w:rPr>
                <w:sz w:val="1"/>
                <w:szCs w:val="1"/>
                <w:color w:val="auto"/>
              </w:rPr>
            </w:pPr>
          </w:p>
        </w:tc>
      </w:tr>
      <w:tr>
        <w:trPr>
          <w:trHeight w:val="228"/>
        </w:trPr>
        <w:tc>
          <w:tcPr>
            <w:tcW w:w="8100" w:type="dxa"/>
            <w:vAlign w:val="bottom"/>
            <w:shd w:val="clear" w:color="auto" w:fill="D2EEF5"/>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8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(22,705)</w:t>
            </w: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8"/>
                <w:szCs w:val="18"/>
                <w:color w:val="auto"/>
              </w:rPr>
              <w:t>Premises and equipment, net</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00" w:type="dxa"/>
            <w:vAlign w:val="bottom"/>
            <w:vMerge w:val="continue"/>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60" w:type="dxa"/>
            <w:vAlign w:val="bottom"/>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Depreciation and amortization expense was $587 thousand and $590 thousand for the years ended December 31, 2024 and 2023, respectively.</w:t>
      </w:r>
    </w:p>
    <w:p>
      <w:pPr>
        <w:spacing w:after="0" w:line="144" w:lineRule="exact"/>
        <w:rPr>
          <w:sz w:val="20"/>
          <w:szCs w:val="20"/>
          <w:color w:val="auto"/>
        </w:rPr>
      </w:pPr>
    </w:p>
    <w:p>
      <w:pPr>
        <w:ind w:left="540" w:hanging="540"/>
        <w:spacing w:after="0"/>
        <w:tabs>
          <w:tab w:leader="none" w:pos="54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Company’s provision for income taxes is presented in the following table for the years ended December 31, 2024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0"/>
        </w:trPr>
        <w:tc>
          <w:tcPr>
            <w:tcW w:w="71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Current:</w:t>
            </w:r>
          </w:p>
        </w:tc>
        <w:tc>
          <w:tcPr>
            <w:tcW w:w="1200" w:type="dxa"/>
            <w:vAlign w:val="bottom"/>
            <w:shd w:val="clear" w:color="auto" w:fill="D2EEF5"/>
          </w:tcPr>
          <w:p>
            <w:pPr>
              <w:spacing w:after="0"/>
              <w:rPr>
                <w:sz w:val="19"/>
                <w:szCs w:val="19"/>
                <w:color w:val="auto"/>
              </w:rPr>
            </w:pPr>
          </w:p>
        </w:tc>
        <w:tc>
          <w:tcPr>
            <w:tcW w:w="6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spacing w:after="0"/>
              <w:rPr>
                <w:sz w:val="19"/>
                <w:szCs w:val="19"/>
                <w:color w:val="auto"/>
              </w:rPr>
            </w:pP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D2EEF5"/>
          </w:tcPr>
          <w:p>
            <w:pPr>
              <w:spacing w:after="0"/>
              <w:rPr>
                <w:sz w:val="21"/>
                <w:szCs w:val="21"/>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shd w:val="clear" w:color="auto" w:fill="D2EEF5"/>
          </w:tcPr>
          <w:p>
            <w:pPr>
              <w:spacing w:after="0"/>
              <w:rPr>
                <w:sz w:val="21"/>
                <w:szCs w:val="21"/>
                <w:color w:val="auto"/>
              </w:rPr>
            </w:pPr>
          </w:p>
        </w:tc>
        <w:tc>
          <w:tcPr>
            <w:tcW w:w="400" w:type="dxa"/>
            <w:vAlign w:val="bottom"/>
            <w:tcBorders>
              <w:bottom w:val="single" w:sz="8" w:color="auto"/>
            </w:tcBorders>
            <w:shd w:val="clear" w:color="auto" w:fill="D2EEF5"/>
          </w:tcPr>
          <w:p>
            <w:pPr>
              <w:spacing w:after="0"/>
              <w:rPr>
                <w:sz w:val="21"/>
                <w:szCs w:val="21"/>
                <w:color w:val="auto"/>
              </w:rPr>
            </w:pP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7100" w:type="dxa"/>
            <w:vAlign w:val="bottom"/>
            <w:gridSpan w:val="2"/>
          </w:tcPr>
          <w:p>
            <w:pPr>
              <w:spacing w:after="0" w:line="205" w:lineRule="exact"/>
              <w:rPr>
                <w:sz w:val="20"/>
                <w:szCs w:val="20"/>
                <w:color w:val="auto"/>
              </w:rPr>
            </w:pPr>
            <w:r>
              <w:rPr>
                <w:rFonts w:ascii="Arial" w:cs="Arial" w:eastAsia="Arial" w:hAnsi="Arial"/>
                <w:sz w:val="18"/>
                <w:szCs w:val="18"/>
                <w:color w:val="auto"/>
              </w:rPr>
              <w:t>Total current</w:t>
            </w:r>
          </w:p>
        </w:tc>
        <w:tc>
          <w:tcPr>
            <w:tcW w:w="1200" w:type="dxa"/>
            <w:vAlign w:val="bottom"/>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r>
      <w:tr>
        <w:trPr>
          <w:trHeight w:val="240"/>
        </w:trPr>
        <w:tc>
          <w:tcPr>
            <w:tcW w:w="71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Deferred:</w:t>
            </w:r>
          </w:p>
        </w:tc>
        <w:tc>
          <w:tcPr>
            <w:tcW w:w="1200" w:type="dxa"/>
            <w:vAlign w:val="bottom"/>
            <w:shd w:val="clear" w:color="auto" w:fill="D2EEF5"/>
          </w:tcPr>
          <w:p>
            <w:pPr>
              <w:spacing w:after="0"/>
              <w:rPr>
                <w:sz w:val="20"/>
                <w:szCs w:val="20"/>
                <w:color w:val="auto"/>
              </w:rPr>
            </w:pPr>
          </w:p>
        </w:tc>
        <w:tc>
          <w:tcPr>
            <w:tcW w:w="6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400" w:type="dxa"/>
            <w:vAlign w:val="bottom"/>
            <w:shd w:val="clear" w:color="auto" w:fill="D2EEF5"/>
          </w:tcPr>
          <w:p>
            <w:pPr>
              <w:spacing w:after="0"/>
              <w:rPr>
                <w:sz w:val="20"/>
                <w:szCs w:val="20"/>
                <w:color w:val="auto"/>
              </w:rPr>
            </w:pPr>
          </w:p>
        </w:tc>
        <w:tc>
          <w:tcPr>
            <w:tcW w:w="1420" w:type="dxa"/>
            <w:vAlign w:val="bottom"/>
            <w:shd w:val="clear" w:color="auto" w:fill="D2EEF5"/>
          </w:tcPr>
          <w:p>
            <w:pPr>
              <w:spacing w:after="0"/>
              <w:rPr>
                <w:sz w:val="20"/>
                <w:szCs w:val="20"/>
                <w:color w:val="auto"/>
              </w:rPr>
            </w:pP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4,121</w:t>
            </w:r>
          </w:p>
        </w:tc>
      </w:tr>
      <w:tr>
        <w:trPr>
          <w:trHeight w:val="243"/>
        </w:trPr>
        <w:tc>
          <w:tcPr>
            <w:tcW w:w="71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D2EEF5"/>
          </w:tcPr>
          <w:p>
            <w:pPr>
              <w:spacing w:after="0"/>
              <w:rPr>
                <w:sz w:val="21"/>
                <w:szCs w:val="21"/>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Borders>
              <w:bottom w:val="single" w:sz="8" w:color="D2EEF5"/>
            </w:tcBorders>
            <w:shd w:val="clear" w:color="auto" w:fill="D2EEF5"/>
          </w:tcPr>
          <w:p>
            <w:pPr>
              <w:spacing w:after="0"/>
              <w:rPr>
                <w:sz w:val="21"/>
                <w:szCs w:val="21"/>
                <w:color w:val="auto"/>
              </w:rPr>
            </w:pPr>
          </w:p>
        </w:tc>
        <w:tc>
          <w:tcPr>
            <w:tcW w:w="400" w:type="dxa"/>
            <w:vAlign w:val="bottom"/>
            <w:tcBorders>
              <w:bottom w:val="single" w:sz="8" w:color="auto"/>
            </w:tcBorders>
            <w:shd w:val="clear" w:color="auto" w:fill="D2EEF5"/>
          </w:tcPr>
          <w:p>
            <w:pPr>
              <w:spacing w:after="0"/>
              <w:rPr>
                <w:sz w:val="21"/>
                <w:szCs w:val="21"/>
                <w:color w:val="auto"/>
              </w:rPr>
            </w:pP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1,130</w:t>
            </w:r>
          </w:p>
        </w:tc>
      </w:tr>
      <w:tr>
        <w:trPr>
          <w:trHeight w:val="205"/>
        </w:trPr>
        <w:tc>
          <w:tcPr>
            <w:tcW w:w="7100" w:type="dxa"/>
            <w:vAlign w:val="bottom"/>
            <w:tcBorders>
              <w:bottom w:val="single" w:sz="8" w:color="D2EEF5"/>
            </w:tcBorders>
            <w:gridSpan w:val="2"/>
          </w:tcPr>
          <w:p>
            <w:pPr>
              <w:spacing w:after="0" w:line="205" w:lineRule="exact"/>
              <w:rPr>
                <w:sz w:val="20"/>
                <w:szCs w:val="20"/>
                <w:color w:val="auto"/>
              </w:rPr>
            </w:pPr>
            <w:r>
              <w:rPr>
                <w:rFonts w:ascii="Arial" w:cs="Arial" w:eastAsia="Arial" w:hAnsi="Arial"/>
                <w:sz w:val="18"/>
                <w:szCs w:val="18"/>
                <w:color w:val="auto"/>
              </w:rPr>
              <w:t>Total deferred</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7,803</w:t>
            </w:r>
          </w:p>
        </w:tc>
        <w:tc>
          <w:tcPr>
            <w:tcW w:w="60" w:type="dxa"/>
            <w:vAlign w:val="bottom"/>
            <w:tcBorders>
              <w:bottom w:val="single" w:sz="8" w:color="D2EE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5,251</w:t>
            </w:r>
          </w:p>
        </w:tc>
      </w:tr>
      <w:tr>
        <w:trPr>
          <w:trHeight w:val="229"/>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Total tax expense</w:t>
            </w:r>
          </w:p>
        </w:tc>
        <w:tc>
          <w:tcPr>
            <w:tcW w:w="1200" w:type="dxa"/>
            <w:vAlign w:val="bottom"/>
            <w:shd w:val="clear" w:color="auto" w:fill="D2EEF5"/>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7,803</w:t>
            </w: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5,251</w:t>
            </w: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actual income tax expense for the years ended December 31, 2024 and 2023 differs from the statutory tax expense for the year (computed by applying the U.S. federal corporate tax rate of 21% for 2024 and 21% for 2023 to income before provision for income taxes)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Borders>
              <w:bottom w:val="single" w:sz="8" w:color="D2EEF5"/>
            </w:tcBorders>
          </w:tcPr>
          <w:p>
            <w:pPr>
              <w:spacing w:after="0"/>
              <w:rPr>
                <w:sz w:val="19"/>
                <w:szCs w:val="19"/>
                <w:color w:val="auto"/>
              </w:rPr>
            </w:pPr>
          </w:p>
        </w:tc>
        <w:tc>
          <w:tcPr>
            <w:tcW w:w="694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08"/>
        </w:trPr>
        <w:tc>
          <w:tcPr>
            <w:tcW w:w="710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Federal taxes at statutory rate</w:t>
            </w:r>
          </w:p>
        </w:tc>
        <w:tc>
          <w:tcPr>
            <w:tcW w:w="1200" w:type="dxa"/>
            <w:vAlign w:val="bottom"/>
            <w:shd w:val="clear" w:color="auto" w:fill="D2EEF5"/>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6,820</w:t>
            </w:r>
          </w:p>
        </w:tc>
        <w:tc>
          <w:tcPr>
            <w:tcW w:w="60" w:type="dxa"/>
            <w:vAlign w:val="bottom"/>
            <w:shd w:val="clear" w:color="auto" w:fill="D2EEF5"/>
          </w:tcPr>
          <w:p>
            <w:pPr>
              <w:spacing w:after="0"/>
              <w:rPr>
                <w:sz w:val="18"/>
                <w:szCs w:val="18"/>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4,577</w:t>
            </w:r>
          </w:p>
        </w:tc>
      </w:tr>
      <w:tr>
        <w:trPr>
          <w:trHeight w:val="228"/>
        </w:trPr>
        <w:tc>
          <w:tcPr>
            <w:tcW w:w="7100" w:type="dxa"/>
            <w:vAlign w:val="bottom"/>
            <w:gridSpan w:val="3"/>
          </w:tcPr>
          <w:p>
            <w:pPr>
              <w:spacing w:after="0"/>
              <w:rPr>
                <w:sz w:val="20"/>
                <w:szCs w:val="20"/>
                <w:color w:val="auto"/>
              </w:rPr>
            </w:pPr>
            <w:r>
              <w:rPr>
                <w:rFonts w:ascii="Arial" w:cs="Arial" w:eastAsia="Arial" w:hAnsi="Arial"/>
                <w:sz w:val="18"/>
                <w:szCs w:val="18"/>
                <w:color w:val="auto"/>
              </w:rPr>
              <w:t>State income taxes, net of federal tax benefit</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8"/>
        </w:trPr>
        <w:tc>
          <w:tcPr>
            <w:tcW w:w="710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Bank owned life insurance</w:t>
            </w:r>
          </w:p>
        </w:tc>
        <w:tc>
          <w:tcPr>
            <w:tcW w:w="1200" w:type="dxa"/>
            <w:vAlign w:val="bottom"/>
            <w:shd w:val="clear" w:color="auto" w:fill="D2EEF5"/>
          </w:tcPr>
          <w:p>
            <w:pPr>
              <w:spacing w:after="0"/>
              <w:rPr>
                <w:sz w:val="19"/>
                <w:szCs w:val="19"/>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(273)</w:t>
            </w:r>
          </w:p>
        </w:tc>
      </w:tr>
      <w:tr>
        <w:trPr>
          <w:trHeight w:val="228"/>
        </w:trPr>
        <w:tc>
          <w:tcPr>
            <w:tcW w:w="710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40" w:type="dxa"/>
            <w:vAlign w:val="bottom"/>
            <w:shd w:val="clear" w:color="auto" w:fill="D2EEF5"/>
          </w:tcPr>
          <w:p>
            <w:pPr>
              <w:spacing w:after="0"/>
              <w:rPr>
                <w:sz w:val="19"/>
                <w:szCs w:val="19"/>
                <w:color w:val="auto"/>
              </w:rPr>
            </w:pPr>
          </w:p>
        </w:tc>
        <w:tc>
          <w:tcPr>
            <w:tcW w:w="69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Total tax expense</w:t>
            </w:r>
          </w:p>
        </w:tc>
        <w:tc>
          <w:tcPr>
            <w:tcW w:w="1200" w:type="dxa"/>
            <w:vAlign w:val="bottom"/>
            <w:shd w:val="clear" w:color="auto" w:fill="D2EEF5"/>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7,803</w:t>
            </w: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5,251</w:t>
            </w:r>
          </w:p>
        </w:tc>
      </w:tr>
      <w:tr>
        <w:trPr>
          <w:trHeight w:val="20"/>
        </w:trPr>
        <w:tc>
          <w:tcPr>
            <w:tcW w:w="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07" w:name="page108"/>
    <w:bookmarkEnd w:id="107"/>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deferred tax assets and deferred tax liabilities as of December 31, 2024 and 2023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4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0"/>
        </w:trPr>
        <w:tc>
          <w:tcPr>
            <w:tcW w:w="710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Deferred tax assets:</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spacing w:after="0"/>
              <w:rPr>
                <w:sz w:val="19"/>
                <w:szCs w:val="19"/>
                <w:color w:val="auto"/>
              </w:rPr>
            </w:pP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9,276</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16,430</w:t>
            </w: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Allowance for credit losses</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6,100</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5,410</w:t>
            </w: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Lease liability</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Unrealized loss on available for sale securities</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15,200</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15,114</w:t>
            </w: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Depreciable property</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Equity compensation</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686</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630</w:t>
            </w: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Accruals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42"/>
        </w:trPr>
        <w:tc>
          <w:tcPr>
            <w:tcW w:w="710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shd w:val="clear" w:color="auto" w:fill="D2EEF5"/>
          </w:tcPr>
          <w:p>
            <w:pPr>
              <w:spacing w:after="0"/>
              <w:rPr>
                <w:sz w:val="21"/>
                <w:szCs w:val="21"/>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D2EEF5"/>
            </w:tcBorders>
            <w:shd w:val="clear" w:color="auto" w:fill="D2EEF5"/>
          </w:tcPr>
          <w:p>
            <w:pPr>
              <w:spacing w:after="0"/>
              <w:rPr>
                <w:sz w:val="21"/>
                <w:szCs w:val="21"/>
                <w:color w:val="auto"/>
              </w:rPr>
            </w:pPr>
          </w:p>
        </w:tc>
        <w:tc>
          <w:tcPr>
            <w:tcW w:w="40" w:type="dxa"/>
            <w:vAlign w:val="bottom"/>
            <w:tcBorders>
              <w:bottom w:val="single" w:sz="8" w:color="D2EEF5"/>
            </w:tcBorders>
            <w:shd w:val="clear" w:color="auto" w:fill="D2EEF5"/>
          </w:tcPr>
          <w:p>
            <w:pPr>
              <w:spacing w:after="0"/>
              <w:rPr>
                <w:sz w:val="21"/>
                <w:szCs w:val="21"/>
                <w:color w:val="auto"/>
              </w:rPr>
            </w:pPr>
          </w:p>
        </w:tc>
        <w:tc>
          <w:tcPr>
            <w:tcW w:w="400" w:type="dxa"/>
            <w:vAlign w:val="bottom"/>
            <w:tcBorders>
              <w:bottom w:val="single" w:sz="8" w:color="auto"/>
            </w:tcBorders>
            <w:shd w:val="clear" w:color="auto" w:fill="D2EEF5"/>
          </w:tcPr>
          <w:p>
            <w:pPr>
              <w:spacing w:after="0"/>
              <w:rPr>
                <w:sz w:val="21"/>
                <w:szCs w:val="21"/>
                <w:color w:val="auto"/>
              </w:rPr>
            </w:pP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w:t>
            </w:r>
          </w:p>
        </w:tc>
      </w:tr>
      <w:tr>
        <w:trPr>
          <w:trHeight w:val="206"/>
        </w:trPr>
        <w:tc>
          <w:tcPr>
            <w:tcW w:w="710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34,027</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41,074</w:t>
            </w:r>
          </w:p>
        </w:tc>
      </w:tr>
      <w:tr>
        <w:trPr>
          <w:trHeight w:val="228"/>
        </w:trPr>
        <w:tc>
          <w:tcPr>
            <w:tcW w:w="708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spacing w:after="0"/>
              <w:rPr>
                <w:sz w:val="19"/>
                <w:szCs w:val="19"/>
                <w:color w:val="auto"/>
              </w:rPr>
            </w:pPr>
          </w:p>
        </w:tc>
      </w:tr>
      <w:tr>
        <w:trPr>
          <w:trHeight w:val="240"/>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liability:</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Deferred loan cost</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(1,934)</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(553)</w:t>
            </w: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Lease right of use asset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Deferred expenses</w:t>
            </w:r>
          </w:p>
        </w:tc>
        <w:tc>
          <w:tcPr>
            <w:tcW w:w="116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(180)</w:t>
            </w:r>
          </w:p>
        </w:tc>
      </w:tr>
      <w:tr>
        <w:trPr>
          <w:trHeight w:val="228"/>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Cash flow hedge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8"/>
        </w:trPr>
        <w:tc>
          <w:tcPr>
            <w:tcW w:w="7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400" w:type="dxa"/>
            <w:vAlign w:val="bottom"/>
            <w:tcBorders>
              <w:bottom w:val="single" w:sz="8" w:color="auto"/>
            </w:tcBorders>
            <w:shd w:val="clear" w:color="auto" w:fill="D2EEF5"/>
          </w:tcPr>
          <w:p>
            <w:pPr>
              <w:spacing w:after="0"/>
              <w:rPr>
                <w:sz w:val="19"/>
                <w:szCs w:val="19"/>
                <w:color w:val="auto"/>
              </w:rPr>
            </w:pPr>
          </w:p>
        </w:tc>
        <w:tc>
          <w:tcPr>
            <w:tcW w:w="14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(79)</w:t>
            </w:r>
          </w:p>
        </w:tc>
      </w:tr>
      <w:tr>
        <w:trPr>
          <w:trHeight w:val="220"/>
        </w:trPr>
        <w:tc>
          <w:tcPr>
            <w:tcW w:w="71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(4,381)</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60"/>
        </w:trPr>
        <w:tc>
          <w:tcPr>
            <w:tcW w:w="7080" w:type="dxa"/>
            <w:vAlign w:val="bottom"/>
            <w:tcBorders>
              <w:bottom w:val="single" w:sz="8" w:color="D2EEF5"/>
            </w:tcBorders>
            <w:shd w:val="clear" w:color="auto" w:fill="D2EEF5"/>
          </w:tcPr>
          <w:p>
            <w:pPr>
              <w:spacing w:after="0"/>
              <w:rPr>
                <w:sz w:val="22"/>
                <w:szCs w:val="22"/>
                <w:color w:val="auto"/>
              </w:rPr>
            </w:pPr>
          </w:p>
        </w:tc>
        <w:tc>
          <w:tcPr>
            <w:tcW w:w="20" w:type="dxa"/>
            <w:vAlign w:val="bottom"/>
            <w:tcBorders>
              <w:bottom w:val="single" w:sz="8" w:color="D2EEF5"/>
            </w:tcBorders>
            <w:shd w:val="clear" w:color="auto" w:fill="D2EEF5"/>
          </w:tcPr>
          <w:p>
            <w:pPr>
              <w:spacing w:after="0"/>
              <w:rPr>
                <w:sz w:val="22"/>
                <w:szCs w:val="22"/>
                <w:color w:val="auto"/>
              </w:rPr>
            </w:pPr>
          </w:p>
        </w:tc>
        <w:tc>
          <w:tcPr>
            <w:tcW w:w="116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spacing w:after="0"/>
              <w:rPr>
                <w:sz w:val="22"/>
                <w:szCs w:val="22"/>
                <w:color w:val="auto"/>
              </w:rPr>
            </w:pPr>
          </w:p>
        </w:tc>
        <w:tc>
          <w:tcPr>
            <w:tcW w:w="20" w:type="dxa"/>
            <w:vAlign w:val="bottom"/>
            <w:tcBorders>
              <w:bottom w:val="single" w:sz="8" w:color="D2EEF5"/>
            </w:tcBorders>
            <w:shd w:val="clear" w:color="auto" w:fill="D2EEF5"/>
          </w:tcPr>
          <w:p>
            <w:pPr>
              <w:spacing w:after="0"/>
              <w:rPr>
                <w:sz w:val="22"/>
                <w:szCs w:val="22"/>
                <w:color w:val="auto"/>
              </w:rPr>
            </w:pPr>
          </w:p>
        </w:tc>
        <w:tc>
          <w:tcPr>
            <w:tcW w:w="40" w:type="dxa"/>
            <w:vAlign w:val="bottom"/>
            <w:tcBorders>
              <w:bottom w:val="single" w:sz="8" w:color="D2EEF5"/>
            </w:tcBorders>
            <w:shd w:val="clear" w:color="auto" w:fill="D2EEF5"/>
          </w:tcPr>
          <w:p>
            <w:pPr>
              <w:spacing w:after="0"/>
              <w:rPr>
                <w:sz w:val="22"/>
                <w:szCs w:val="22"/>
                <w:color w:val="auto"/>
              </w:rPr>
            </w:pPr>
          </w:p>
        </w:tc>
        <w:tc>
          <w:tcPr>
            <w:tcW w:w="400" w:type="dxa"/>
            <w:vAlign w:val="bottom"/>
            <w:tcBorders>
              <w:bottom w:val="single" w:sz="8" w:color="auto"/>
            </w:tcBorders>
            <w:shd w:val="clear" w:color="auto" w:fill="D2EEF5"/>
          </w:tcPr>
          <w:p>
            <w:pPr>
              <w:spacing w:after="0"/>
              <w:rPr>
                <w:sz w:val="22"/>
                <w:szCs w:val="22"/>
                <w:color w:val="auto"/>
              </w:rPr>
            </w:pPr>
          </w:p>
        </w:tc>
        <w:tc>
          <w:tcPr>
            <w:tcW w:w="1420" w:type="dxa"/>
            <w:vAlign w:val="bottom"/>
            <w:tcBorders>
              <w:bottom w:val="single" w:sz="8" w:color="auto"/>
            </w:tcBorders>
            <w:shd w:val="clear" w:color="auto" w:fill="D2EEF5"/>
          </w:tcPr>
          <w:p>
            <w:pPr>
              <w:spacing w:after="0"/>
              <w:rPr>
                <w:sz w:val="22"/>
                <w:szCs w:val="22"/>
                <w:color w:val="auto"/>
              </w:rPr>
            </w:pPr>
          </w:p>
        </w:tc>
      </w:tr>
      <w:tr>
        <w:trPr>
          <w:trHeight w:val="214"/>
        </w:trPr>
        <w:tc>
          <w:tcPr>
            <w:tcW w:w="71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29,646</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37,282</w:t>
            </w: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At December 31, 2024, the Company had approximately $32.7 million of Federal and $55.5 million of State net operating loss carryforwards expiring in various amounts from 2032 to 2036. If unused after 2036, their utilization is limited to future taxable earnings of the Company.</w:t>
      </w:r>
    </w:p>
    <w:p>
      <w:pPr>
        <w:spacing w:after="0" w:line="16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U.S. Federal jurisdiction and Florida are the major tax jurisdictions where the Company files income tax returns.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generally no longer subject to U.S. Federal or State examinations by tax authorities for years before 2021.</w:t>
      </w:r>
    </w:p>
    <w:p>
      <w:pPr>
        <w:spacing w:after="0" w:line="21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For the years ended December 31, 2024 and 2023, the Company did not have any unrecognized tax benefits as a result of tax positions taken during a prior period or during the current period. Additionally, no interest or penalties were recorded as a result of tax uncertainties.</w:t>
      </w:r>
    </w:p>
    <w:p>
      <w:pPr>
        <w:spacing w:after="0" w:line="164" w:lineRule="exact"/>
        <w:rPr>
          <w:sz w:val="20"/>
          <w:szCs w:val="20"/>
          <w:color w:val="auto"/>
        </w:rPr>
      </w:pPr>
    </w:p>
    <w:p>
      <w:pPr>
        <w:ind w:left="720" w:hanging="720"/>
        <w:spacing w:after="0"/>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deposits by type at December 31, 2024 and 2023 (in thousands):</w:t>
      </w:r>
    </w:p>
    <w:p>
      <w:pPr>
        <w:sectPr>
          <w:pgSz w:w="12240" w:h="15877"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 demand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142990" cy="14414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44145"/>
                        </a:xfrm>
                        <a:prstGeom prst="rect">
                          <a:avLst/>
                        </a:prstGeom>
                        <a:solidFill>
                          <a:srgbClr val="D2EEF5"/>
                        </a:solidFill>
                      </wps:spPr>
                      <wps:bodyPr/>
                    </wps:wsp>
                  </a:graphicData>
                </a:graphic>
              </wp:anchor>
            </w:drawing>
          </mc:Choice>
          <mc:Fallback>
            <w:pict>
              <v:rect id="Shape 140" o:spid="_x0000_s1165" style="position:absolute;margin-left:0pt;margin-top:-9.8499pt;width:483.7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51054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5400" cy="4763"/>
                        </a:xfrm>
                        <a:prstGeom prst="line">
                          <a:avLst/>
                        </a:prstGeom>
                        <a:solidFill>
                          <a:srgbClr val="FFFFFF"/>
                        </a:solidFill>
                        <a:ln w="6095">
                          <a:solidFill>
                            <a:srgbClr val="D2EEF5"/>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999pt" to="402pt,-10.1999pt" o:allowincell="f" strokecolor="#D2EEF5" strokeweight="0.4799pt"/>
            </w:pict>
          </mc:Fallback>
        </mc:AlternateConten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demand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142990" cy="15240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52400"/>
                        </a:xfrm>
                        <a:prstGeom prst="rect">
                          <a:avLst/>
                        </a:prstGeom>
                        <a:solidFill>
                          <a:srgbClr val="D2EEF5"/>
                        </a:solidFill>
                      </wps:spPr>
                      <wps:bodyPr/>
                    </wps:wsp>
                  </a:graphicData>
                </a:graphic>
              </wp:anchor>
            </w:drawing>
          </mc:Choice>
          <mc:Fallback>
            <w:pict>
              <v:rect id="Shape 142" o:spid="_x0000_s1167" style="position:absolute;margin-left:0pt;margin-top:1.25pt;width:483.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Savings and money market deposits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Time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6142990" cy="17399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73990"/>
                        </a:xfrm>
                        <a:prstGeom prst="rect">
                          <a:avLst/>
                        </a:prstGeom>
                        <a:solidFill>
                          <a:srgbClr val="D2EEF5"/>
                        </a:solidFill>
                      </wps:spPr>
                      <wps:bodyPr/>
                    </wps:wsp>
                  </a:graphicData>
                </a:graphic>
              </wp:anchor>
            </w:drawing>
          </mc:Choice>
          <mc:Fallback>
            <w:pict>
              <v:rect id="Shape 143" o:spid="_x0000_s1168" style="position:absolute;margin-left:0pt;margin-top:2.1pt;width:483.7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51054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5400" cy="4763"/>
                        </a:xfrm>
                        <a:prstGeom prst="line">
                          <a:avLst/>
                        </a:prstGeom>
                        <a:solidFill>
                          <a:srgbClr val="FFFFFF"/>
                        </a:solidFill>
                        <a:ln w="6095">
                          <a:solidFill>
                            <a:srgbClr val="D2EEF5"/>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402pt,1.75pt" o:allowincell="f" strokecolor="#D2EEF5" strokeweight="0.4799pt"/>
            </w:pict>
          </mc:Fallback>
        </mc:AlternateConten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85090</wp:posOffset>
                </wp:positionH>
                <wp:positionV relativeFrom="paragraph">
                  <wp:posOffset>-119380</wp:posOffset>
                </wp:positionV>
                <wp:extent cx="5020310" cy="13081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0310" cy="130810"/>
                        </a:xfrm>
                        <a:prstGeom prst="rect">
                          <a:avLst/>
                        </a:prstGeom>
                        <a:solidFill>
                          <a:srgbClr val="D2EEF5"/>
                        </a:solidFill>
                      </wps:spPr>
                      <wps:bodyPr/>
                    </wps:wsp>
                  </a:graphicData>
                </a:graphic>
              </wp:anchor>
            </w:drawing>
          </mc:Choice>
          <mc:Fallback>
            <w:pict>
              <v:rect id="Shape 145" o:spid="_x0000_s1170" style="position:absolute;margin-left:6.7pt;margin-top:-9.3999pt;width:395.3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575,159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552,762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50,648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47,702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1,048,272</w:t>
            </w: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1,180,809</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vMerge w:val="continue"/>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367,388</w:t>
            </w:r>
          </w:p>
        </w:tc>
        <w:tc>
          <w:tcPr>
            <w:tcW w:w="14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288,403</w:t>
            </w:r>
          </w:p>
        </w:tc>
        <w:tc>
          <w:tcPr>
            <w:tcW w:w="0" w:type="dxa"/>
            <w:vAlign w:val="bottom"/>
          </w:tcPr>
          <w:p>
            <w:pPr>
              <w:spacing w:after="0"/>
              <w:rPr>
                <w:sz w:val="1"/>
                <w:szCs w:val="1"/>
                <w:color w:val="auto"/>
              </w:rPr>
            </w:pPr>
          </w:p>
        </w:tc>
      </w:tr>
      <w:tr>
        <w:trPr>
          <w:trHeight w:val="59"/>
        </w:trPr>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restart"/>
            <w:shd w:val="clear" w:color="auto" w:fill="D2EEF5"/>
          </w:tcPr>
          <w:p>
            <w:pPr>
              <w:jc w:val="right"/>
              <w:spacing w:after="0"/>
              <w:rPr>
                <w:sz w:val="20"/>
                <w:szCs w:val="20"/>
                <w:color w:val="auto"/>
              </w:rPr>
            </w:pPr>
            <w:r>
              <w:rPr>
                <w:rFonts w:ascii="Arial" w:cs="Arial" w:eastAsia="Arial" w:hAnsi="Arial"/>
                <w:sz w:val="18"/>
                <w:szCs w:val="18"/>
                <w:color w:val="auto"/>
              </w:rPr>
              <w:t>1,937,139</w:t>
            </w:r>
          </w:p>
        </w:tc>
        <w:tc>
          <w:tcPr>
            <w:tcW w:w="0" w:type="dxa"/>
            <w:vAlign w:val="bottom"/>
          </w:tcPr>
          <w:p>
            <w:pPr>
              <w:spacing w:after="0"/>
              <w:rPr>
                <w:sz w:val="1"/>
                <w:szCs w:val="1"/>
                <w:color w:val="auto"/>
              </w:rPr>
            </w:pPr>
          </w:p>
        </w:tc>
      </w:tr>
      <w:tr>
        <w:trPr>
          <w:trHeight w:val="208"/>
        </w:trPr>
        <w:tc>
          <w:tcPr>
            <w:tcW w:w="20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2,174,004</w:t>
            </w:r>
          </w:p>
        </w:tc>
        <w:tc>
          <w:tcPr>
            <w:tcW w:w="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auto"/>
            </w:tcBorders>
            <w:vMerge w:val="continue"/>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77" w:orient="portrait"/>
          <w:cols w:equalWidth="0" w:num="2">
            <w:col w:w="7300" w:space="720"/>
            <w:col w:w="2780"/>
          </w:cols>
          <w:pgMar w:left="720" w:top="355" w:right="720" w:bottom="0" w:gutter="0" w:footer="0" w:header="0"/>
          <w:type w:val="continuous"/>
        </w:sectPr>
      </w:pPr>
    </w:p>
    <w:p>
      <w:pPr>
        <w:spacing w:after="0" w:line="11" w:lineRule="exact"/>
        <w:rPr>
          <w:sz w:val="20"/>
          <w:szCs w:val="20"/>
          <w:color w:val="auto"/>
        </w:rPr>
      </w:pPr>
    </w:p>
    <w:p>
      <w:pPr>
        <w:ind w:firstLine="360"/>
        <w:spacing w:after="0" w:line="280" w:lineRule="auto"/>
        <w:rPr>
          <w:sz w:val="20"/>
          <w:szCs w:val="20"/>
          <w:color w:val="auto"/>
        </w:rPr>
      </w:pPr>
      <w:r>
        <w:rPr>
          <w:rFonts w:ascii="Arial" w:cs="Arial" w:eastAsia="Arial" w:hAnsi="Arial"/>
          <w:sz w:val="20"/>
          <w:szCs w:val="20"/>
          <w:color w:val="auto"/>
        </w:rPr>
        <w:t>Time deposits exceeding the FDIC deposit insurance limit of $250 thousand per account at December 31, 2024 and 2023 were $94.0 million and $117.2 million, respectively.</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2024, the Company had $133.0 million in brokered CDs at a weighted average rate of 4.38%.</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Brokered CDs were 6.1% of total deposits at such date.</w:t>
      </w:r>
    </w:p>
    <w:p>
      <w:pPr>
        <w:spacing w:after="0" w:line="200" w:lineRule="exact"/>
        <w:rPr>
          <w:sz w:val="20"/>
          <w:szCs w:val="20"/>
          <w:color w:val="auto"/>
        </w:rPr>
      </w:pPr>
    </w:p>
    <w:p>
      <w:pPr>
        <w:spacing w:after="0" w:line="27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type w:val="continuous"/>
        </w:sectPr>
      </w:pPr>
    </w:p>
    <w:bookmarkStart w:id="108" w:name="page109"/>
    <w:bookmarkEnd w:id="10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3"/>
          </w:tcPr>
          <w:p>
            <w:pPr>
              <w:ind w:left="360"/>
              <w:spacing w:after="0"/>
              <w:rPr>
                <w:sz w:val="20"/>
                <w:szCs w:val="20"/>
                <w:color w:val="auto"/>
              </w:rPr>
            </w:pPr>
            <w:r>
              <w:rPr>
                <w:rFonts w:ascii="Arial" w:cs="Arial" w:eastAsia="Arial" w:hAnsi="Arial"/>
                <w:sz w:val="20"/>
                <w:szCs w:val="20"/>
                <w:color w:val="auto"/>
              </w:rPr>
              <w:t>As of December 31, 2023, the Company had $50.0 million of brokered CDs at weighted average rate</w:t>
            </w:r>
          </w:p>
        </w:tc>
        <w:tc>
          <w:tcPr>
            <w:tcW w:w="960" w:type="dxa"/>
            <w:vAlign w:val="bottom"/>
          </w:tcPr>
          <w:p>
            <w:pPr>
              <w:jc w:val="right"/>
              <w:spacing w:after="0"/>
              <w:rPr>
                <w:sz w:val="20"/>
                <w:szCs w:val="20"/>
                <w:color w:val="auto"/>
              </w:rPr>
            </w:pPr>
            <w:r>
              <w:rPr>
                <w:rFonts w:ascii="Arial" w:cs="Arial" w:eastAsia="Arial" w:hAnsi="Arial"/>
                <w:sz w:val="20"/>
                <w:szCs w:val="20"/>
                <w:color w:val="auto"/>
              </w:rPr>
              <w:t>of 4.98%.</w:t>
            </w:r>
          </w:p>
        </w:tc>
      </w:tr>
      <w:tr>
        <w:trPr>
          <w:trHeight w:val="270"/>
        </w:trPr>
        <w:tc>
          <w:tcPr>
            <w:tcW w:w="8360" w:type="dxa"/>
            <w:vAlign w:val="bottom"/>
          </w:tcPr>
          <w:p>
            <w:pPr>
              <w:spacing w:after="0"/>
              <w:rPr>
                <w:sz w:val="20"/>
                <w:szCs w:val="20"/>
                <w:color w:val="auto"/>
              </w:rPr>
            </w:pPr>
            <w:r>
              <w:rPr>
                <w:rFonts w:ascii="Arial" w:cs="Arial" w:eastAsia="Arial" w:hAnsi="Arial"/>
                <w:sz w:val="20"/>
                <w:szCs w:val="20"/>
                <w:color w:val="auto"/>
              </w:rPr>
              <w:t>Brokered CDs were 2.6% of total deposits at such date.</w:t>
            </w: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59"/>
        </w:trPr>
        <w:tc>
          <w:tcPr>
            <w:tcW w:w="8360" w:type="dxa"/>
            <w:vAlign w:val="bottom"/>
          </w:tcPr>
          <w:p>
            <w:pPr>
              <w:ind w:left="360"/>
              <w:spacing w:after="0"/>
              <w:rPr>
                <w:sz w:val="20"/>
                <w:szCs w:val="20"/>
                <w:color w:val="auto"/>
              </w:rPr>
            </w:pPr>
            <w:r>
              <w:rPr>
                <w:rFonts w:ascii="Arial" w:cs="Arial" w:eastAsia="Arial" w:hAnsi="Arial"/>
                <w:sz w:val="20"/>
                <w:szCs w:val="20"/>
                <w:color w:val="auto"/>
              </w:rPr>
              <w:t>At December 31, 2024, the scheduled maturities of time deposits were (in thousands):</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9"/>
        </w:trPr>
        <w:tc>
          <w:tcPr>
            <w:tcW w:w="8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0"/>
        </w:trPr>
        <w:tc>
          <w:tcPr>
            <w:tcW w:w="8360" w:type="dxa"/>
            <w:vAlign w:val="bottom"/>
            <w:shd w:val="clear" w:color="auto" w:fill="D2EEF5"/>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D2EEF5"/>
          </w:tcPr>
          <w:p>
            <w:pPr>
              <w:spacing w:after="0"/>
              <w:rPr>
                <w:sz w:val="20"/>
                <w:szCs w:val="20"/>
                <w:color w:val="auto"/>
              </w:rPr>
            </w:pPr>
          </w:p>
        </w:tc>
        <w:tc>
          <w:tcPr>
            <w:tcW w:w="1460" w:type="dxa"/>
            <w:vAlign w:val="bottom"/>
            <w:shd w:val="clear" w:color="auto" w:fill="D2EEF5"/>
          </w:tcPr>
          <w:p>
            <w:pPr>
              <w:jc w:val="right"/>
              <w:ind w:right="1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329,989</w:t>
            </w:r>
          </w:p>
        </w:tc>
      </w:tr>
      <w:tr>
        <w:trPr>
          <w:trHeight w:val="240"/>
        </w:trPr>
        <w:tc>
          <w:tcPr>
            <w:tcW w:w="836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35,215</w:t>
            </w:r>
          </w:p>
        </w:tc>
      </w:tr>
      <w:tr>
        <w:trPr>
          <w:trHeight w:val="240"/>
        </w:trPr>
        <w:tc>
          <w:tcPr>
            <w:tcW w:w="8360" w:type="dxa"/>
            <w:vAlign w:val="bottom"/>
            <w:shd w:val="clear" w:color="auto" w:fill="D2EEF5"/>
          </w:tcPr>
          <w:p>
            <w:pPr>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D2EEF5"/>
          </w:tcPr>
          <w:p>
            <w:pPr>
              <w:spacing w:after="0"/>
              <w:rPr>
                <w:sz w:val="20"/>
                <w:szCs w:val="20"/>
                <w:color w:val="auto"/>
              </w:rPr>
            </w:pPr>
          </w:p>
        </w:tc>
        <w:tc>
          <w:tcPr>
            <w:tcW w:w="1460" w:type="dxa"/>
            <w:vAlign w:val="bottom"/>
            <w:shd w:val="clear" w:color="auto" w:fill="D2EEF5"/>
          </w:tcPr>
          <w:p>
            <w:pPr>
              <w:spacing w:after="0"/>
              <w:rPr>
                <w:sz w:val="20"/>
                <w:szCs w:val="20"/>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1,628</w:t>
            </w:r>
          </w:p>
        </w:tc>
      </w:tr>
      <w:tr>
        <w:trPr>
          <w:trHeight w:val="240"/>
        </w:trPr>
        <w:tc>
          <w:tcPr>
            <w:tcW w:w="8360" w:type="dxa"/>
            <w:vAlign w:val="bottom"/>
          </w:tcPr>
          <w:p>
            <w:pPr>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40"/>
        </w:trPr>
        <w:tc>
          <w:tcPr>
            <w:tcW w:w="8360" w:type="dxa"/>
            <w:vAlign w:val="bottom"/>
            <w:shd w:val="clear" w:color="auto" w:fill="D2EEF5"/>
          </w:tcPr>
          <w:p>
            <w:pPr>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D2EEF5"/>
          </w:tcPr>
          <w:p>
            <w:pPr>
              <w:spacing w:after="0"/>
              <w:rPr>
                <w:sz w:val="20"/>
                <w:szCs w:val="20"/>
                <w:color w:val="auto"/>
              </w:rPr>
            </w:pPr>
          </w:p>
        </w:tc>
        <w:tc>
          <w:tcPr>
            <w:tcW w:w="1460" w:type="dxa"/>
            <w:vAlign w:val="bottom"/>
            <w:tcBorders>
              <w:bottom w:val="single" w:sz="8" w:color="auto"/>
            </w:tcBorders>
            <w:shd w:val="clear" w:color="auto" w:fill="D2EEF5"/>
          </w:tcPr>
          <w:p>
            <w:pPr>
              <w:spacing w:after="0"/>
              <w:rPr>
                <w:sz w:val="20"/>
                <w:szCs w:val="20"/>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434</w:t>
            </w:r>
          </w:p>
        </w:tc>
      </w:tr>
      <w:tr>
        <w:trPr>
          <w:trHeight w:val="237"/>
        </w:trPr>
        <w:tc>
          <w:tcPr>
            <w:tcW w:w="8360" w:type="dxa"/>
            <w:vAlign w:val="bottom"/>
          </w:tcPr>
          <w:p>
            <w:pPr>
              <w:spacing w:after="0"/>
              <w:rPr>
                <w:sz w:val="20"/>
                <w:szCs w:val="20"/>
                <w:color w:val="auto"/>
              </w:rPr>
            </w:pPr>
          </w:p>
        </w:tc>
        <w:tc>
          <w:tcPr>
            <w:tcW w:w="1480" w:type="dxa"/>
            <w:vAlign w:val="bottom"/>
            <w:tcBorders>
              <w:bottom w:val="single" w:sz="8" w:color="auto"/>
            </w:tcBorders>
            <w:gridSpan w:val="2"/>
          </w:tcPr>
          <w:p>
            <w:pPr>
              <w:jc w:val="right"/>
              <w:ind w:right="1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367,388</w:t>
            </w:r>
          </w:p>
        </w:tc>
      </w:tr>
      <w:tr>
        <w:trPr>
          <w:trHeight w:val="20"/>
        </w:trPr>
        <w:tc>
          <w:tcPr>
            <w:tcW w:w="8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At December 31, 2024 and 2023, the aggregate amount of demand deposits reclassified to loans as overdrafts was $403 thousand and $213 thousand, respectively.</w:t>
      </w:r>
    </w:p>
    <w:p>
      <w:pPr>
        <w:spacing w:after="0" w:line="147" w:lineRule="exact"/>
        <w:rPr>
          <w:sz w:val="20"/>
          <w:szCs w:val="20"/>
          <w:color w:val="auto"/>
        </w:rPr>
      </w:pPr>
    </w:p>
    <w:p>
      <w:pPr>
        <w:ind w:left="720" w:hanging="720"/>
        <w:spacing w:after="0"/>
        <w:tabs>
          <w:tab w:leader="none" w:pos="7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BORROWINGS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34290</wp:posOffset>
                </wp:positionV>
                <wp:extent cx="689356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7pt" to="541.4pt,2.7pt" o:allowincell="f" strokecolor="#000000" strokeweight="1.44pt"/>
            </w:pict>
          </mc:Fallback>
        </mc:AlternateContent>
      </w:r>
    </w:p>
    <w:p>
      <w:pPr>
        <w:spacing w:after="0" w:line="26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Borrowed funds consist of fixed-rate advances from the FHLB. At December 31, 2024, FHLB advances were $163.0 million and at December 31, 2023 were $183.0 million.</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outstanding FHLB advances at December 31, 2024 and 2023 (in thousands):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40pt,1.25pt" o:allowincell="f" strokecolor="#000000" strokeweight="0.4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80" w:type="dxa"/>
            <w:vAlign w:val="bottom"/>
            <w:tcBorders>
              <w:bottom w:val="single" w:sz="8" w:color="D2EEF5"/>
            </w:tcBorders>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80" w:type="dxa"/>
            <w:vAlign w:val="bottom"/>
            <w:tcBorders>
              <w:bottom w:val="single" w:sz="8" w:color="D2EEF5"/>
            </w:tcBorders>
          </w:tcPr>
          <w:p>
            <w:pPr>
              <w:spacing w:after="0"/>
              <w:rPr>
                <w:sz w:val="18"/>
                <w:szCs w:val="18"/>
                <w:color w:val="auto"/>
              </w:rPr>
            </w:pPr>
          </w:p>
        </w:tc>
        <w:tc>
          <w:tcPr>
            <w:tcW w:w="2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Maturity Date</w:t>
            </w:r>
          </w:p>
        </w:tc>
        <w:tc>
          <w:tcPr>
            <w:tcW w:w="8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Amount</w:t>
            </w:r>
          </w:p>
        </w:tc>
      </w:tr>
      <w:tr>
        <w:trPr>
          <w:trHeight w:val="22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2.05%</w:t>
            </w:r>
          </w:p>
        </w:tc>
        <w:tc>
          <w:tcPr>
            <w:tcW w:w="80" w:type="dxa"/>
            <w:vAlign w:val="bottom"/>
            <w:shd w:val="clear" w:color="auto" w:fill="D2EEF5"/>
          </w:tcPr>
          <w:p>
            <w:pPr>
              <w:spacing w:after="0"/>
              <w:rPr>
                <w:sz w:val="19"/>
                <w:szCs w:val="19"/>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19"/>
                <w:szCs w:val="19"/>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March 27, 2025</w:t>
            </w: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10,000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July 18, 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6,000</w:t>
            </w:r>
          </w:p>
        </w:tc>
      </w:tr>
      <w:tr>
        <w:trPr>
          <w:trHeight w:val="24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3.76%</w:t>
            </w:r>
          </w:p>
        </w:tc>
        <w:tc>
          <w:tcPr>
            <w:tcW w:w="80" w:type="dxa"/>
            <w:vAlign w:val="bottom"/>
            <w:shd w:val="clear" w:color="auto" w:fill="D2EEF5"/>
          </w:tcPr>
          <w:p>
            <w:pPr>
              <w:spacing w:after="0"/>
              <w:rPr>
                <w:sz w:val="20"/>
                <w:szCs w:val="20"/>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20"/>
                <w:szCs w:val="20"/>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January 24, 2028</w:t>
            </w: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11,000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April 25, 2028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50,000</w:t>
            </w:r>
          </w:p>
        </w:tc>
      </w:tr>
      <w:tr>
        <w:trPr>
          <w:trHeight w:val="24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3.68%</w:t>
            </w:r>
          </w:p>
        </w:tc>
        <w:tc>
          <w:tcPr>
            <w:tcW w:w="80" w:type="dxa"/>
            <w:vAlign w:val="bottom"/>
            <w:shd w:val="clear" w:color="auto" w:fill="D2EEF5"/>
          </w:tcPr>
          <w:p>
            <w:pPr>
              <w:spacing w:after="0"/>
              <w:rPr>
                <w:sz w:val="20"/>
                <w:szCs w:val="20"/>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20"/>
                <w:szCs w:val="20"/>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September 13, 2027</w:t>
            </w:r>
          </w:p>
        </w:tc>
        <w:tc>
          <w:tcPr>
            <w:tcW w:w="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21,000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March 23, 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20,000</w:t>
            </w:r>
          </w:p>
        </w:tc>
      </w:tr>
      <w:tr>
        <w:trPr>
          <w:trHeight w:val="232"/>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4.65%</w:t>
            </w:r>
          </w:p>
        </w:tc>
        <w:tc>
          <w:tcPr>
            <w:tcW w:w="80" w:type="dxa"/>
            <w:vAlign w:val="bottom"/>
            <w:shd w:val="clear" w:color="auto" w:fill="D2EEF5"/>
          </w:tcPr>
          <w:p>
            <w:pPr>
              <w:spacing w:after="0"/>
              <w:rPr>
                <w:sz w:val="20"/>
                <w:szCs w:val="20"/>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20"/>
                <w:szCs w:val="20"/>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February 13, 2025</w:t>
            </w:r>
          </w:p>
        </w:tc>
        <w:tc>
          <w:tcPr>
            <w:tcW w:w="80" w:type="dxa"/>
            <w:vAlign w:val="bottom"/>
            <w:shd w:val="clear" w:color="auto" w:fill="D2EEF5"/>
          </w:tcPr>
          <w:p>
            <w:pPr>
              <w:spacing w:after="0"/>
              <w:rPr>
                <w:sz w:val="20"/>
                <w:szCs w:val="20"/>
                <w:color w:val="auto"/>
              </w:rPr>
            </w:pPr>
          </w:p>
        </w:tc>
        <w:tc>
          <w:tcPr>
            <w:tcW w:w="220" w:type="dxa"/>
            <w:vAlign w:val="bottom"/>
            <w:tcBorders>
              <w:bottom w:val="single" w:sz="8" w:color="auto"/>
            </w:tcBorders>
            <w:shd w:val="clear" w:color="auto" w:fill="D2EEF5"/>
          </w:tcPr>
          <w:p>
            <w:pPr>
              <w:spacing w:after="0"/>
              <w:rPr>
                <w:sz w:val="20"/>
                <w:szCs w:val="20"/>
                <w:color w:val="auto"/>
              </w:rPr>
            </w:pPr>
          </w:p>
        </w:tc>
        <w:tc>
          <w:tcPr>
            <w:tcW w:w="2560" w:type="dxa"/>
            <w:vAlign w:val="bottom"/>
            <w:tcBorders>
              <w:bottom w:val="single" w:sz="8" w:color="auto"/>
            </w:tcBorders>
            <w:shd w:val="clear" w:color="auto" w:fill="D2EEF5"/>
          </w:tcPr>
          <w:p>
            <w:pPr>
              <w:jc w:val="right"/>
              <w:ind w:right="50"/>
              <w:spacing w:after="0"/>
              <w:rPr>
                <w:sz w:val="20"/>
                <w:szCs w:val="20"/>
                <w:color w:val="auto"/>
              </w:rPr>
            </w:pPr>
            <w:r>
              <w:rPr>
                <w:rFonts w:ascii="Arial" w:cs="Arial" w:eastAsia="Arial" w:hAnsi="Arial"/>
                <w:sz w:val="18"/>
                <w:szCs w:val="18"/>
                <w:color w:val="auto"/>
              </w:rPr>
              <w:t>45,000</w:t>
            </w:r>
          </w:p>
        </w:tc>
      </w:tr>
      <w:tr>
        <w:trPr>
          <w:trHeight w:val="243"/>
        </w:trPr>
        <w:tc>
          <w:tcPr>
            <w:tcW w:w="2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163,000</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68580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540pt,1.35pt" o:allowincell="f" strokecolor="#000000" strokeweight="0.479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80" w:type="dxa"/>
            <w:vAlign w:val="bottom"/>
            <w:tcBorders>
              <w:bottom w:val="single" w:sz="8" w:color="D2EEF5"/>
            </w:tcBorders>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80" w:type="dxa"/>
            <w:vAlign w:val="bottom"/>
            <w:tcBorders>
              <w:bottom w:val="single" w:sz="8" w:color="D2EEF5"/>
            </w:tcBorders>
          </w:tcPr>
          <w:p>
            <w:pPr>
              <w:spacing w:after="0"/>
              <w:rPr>
                <w:sz w:val="18"/>
                <w:szCs w:val="18"/>
                <w:color w:val="auto"/>
              </w:rPr>
            </w:pPr>
          </w:p>
        </w:tc>
        <w:tc>
          <w:tcPr>
            <w:tcW w:w="2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Maturity Date</w:t>
            </w:r>
          </w:p>
        </w:tc>
        <w:tc>
          <w:tcPr>
            <w:tcW w:w="60" w:type="dxa"/>
            <w:vAlign w:val="bottom"/>
            <w:tcBorders>
              <w:bottom w:val="single" w:sz="8" w:color="D2EEF5"/>
            </w:tcBorders>
          </w:tcPr>
          <w:p>
            <w:pPr>
              <w:spacing w:after="0"/>
              <w:rPr>
                <w:sz w:val="18"/>
                <w:szCs w:val="18"/>
                <w:color w:val="auto"/>
              </w:rPr>
            </w:pPr>
          </w:p>
        </w:tc>
        <w:tc>
          <w:tcPr>
            <w:tcW w:w="2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Amount</w:t>
            </w:r>
          </w:p>
        </w:tc>
      </w:tr>
      <w:tr>
        <w:trPr>
          <w:trHeight w:val="22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1.04%</w:t>
            </w:r>
          </w:p>
        </w:tc>
        <w:tc>
          <w:tcPr>
            <w:tcW w:w="80" w:type="dxa"/>
            <w:vAlign w:val="bottom"/>
            <w:shd w:val="clear" w:color="auto" w:fill="D2EEF5"/>
          </w:tcPr>
          <w:p>
            <w:pPr>
              <w:spacing w:after="0"/>
              <w:rPr>
                <w:sz w:val="19"/>
                <w:szCs w:val="19"/>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19"/>
                <w:szCs w:val="19"/>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July 30, 2024</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5,000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July 18,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6,000</w:t>
            </w:r>
          </w:p>
        </w:tc>
      </w:tr>
      <w:tr>
        <w:trPr>
          <w:trHeight w:val="24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2.05%</w:t>
            </w:r>
          </w:p>
        </w:tc>
        <w:tc>
          <w:tcPr>
            <w:tcW w:w="80" w:type="dxa"/>
            <w:vAlign w:val="bottom"/>
            <w:shd w:val="clear" w:color="auto" w:fill="D2EEF5"/>
          </w:tcPr>
          <w:p>
            <w:pPr>
              <w:spacing w:after="0"/>
              <w:rPr>
                <w:sz w:val="20"/>
                <w:szCs w:val="20"/>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20"/>
                <w:szCs w:val="20"/>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March 27, 2025</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10,000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January 24, 2028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11,000</w:t>
            </w:r>
          </w:p>
        </w:tc>
      </w:tr>
      <w:tr>
        <w:trPr>
          <w:trHeight w:val="240"/>
        </w:trPr>
        <w:tc>
          <w:tcPr>
            <w:tcW w:w="260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3.77%</w:t>
            </w:r>
          </w:p>
        </w:tc>
        <w:tc>
          <w:tcPr>
            <w:tcW w:w="80" w:type="dxa"/>
            <w:vAlign w:val="bottom"/>
            <w:shd w:val="clear" w:color="auto" w:fill="D2EEF5"/>
          </w:tcPr>
          <w:p>
            <w:pPr>
              <w:spacing w:after="0"/>
              <w:rPr>
                <w:sz w:val="20"/>
                <w:szCs w:val="20"/>
                <w:color w:val="auto"/>
              </w:rPr>
            </w:pPr>
          </w:p>
        </w:tc>
        <w:tc>
          <w:tcPr>
            <w:tcW w:w="258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2EEF5"/>
          </w:tcPr>
          <w:p>
            <w:pPr>
              <w:spacing w:after="0"/>
              <w:rPr>
                <w:sz w:val="20"/>
                <w:szCs w:val="20"/>
                <w:color w:val="auto"/>
              </w:rPr>
            </w:pPr>
          </w:p>
        </w:tc>
        <w:tc>
          <w:tcPr>
            <w:tcW w:w="26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April 25, 2028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256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rPr>
              <w:t>50,000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December 26,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101,000</w:t>
            </w:r>
          </w:p>
        </w:tc>
      </w:tr>
      <w:tr>
        <w:trPr>
          <w:trHeight w:val="237"/>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183,000</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8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On January 12, 2024, the Company borrowed $80.0 million at a rate of 4.81%, maturing on January 10, 2025, under the BTFP program. Subsequently, the Company paid off $80.0 million in borrowings under the BTFP program during the third quarter 2024. The original maturity of this borrowing under the BTFP program was January 2025, and there are no remaining borrowings by the Company under this program.</w:t>
      </w: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09" w:name="page110"/>
    <w:bookmarkEnd w:id="10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4" w:lineRule="exact"/>
        <w:rPr>
          <w:sz w:val="20"/>
          <w:szCs w:val="20"/>
          <w:color w:val="auto"/>
        </w:rPr>
      </w:pPr>
    </w:p>
    <w:p>
      <w:pPr>
        <w:ind w:left="720" w:hanging="720"/>
        <w:spacing w:after="0"/>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EQUITY BASED AND OTHER COMPENSATION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401(k) Plan</w:t>
      </w:r>
    </w:p>
    <w:p>
      <w:pPr>
        <w:spacing w:after="0" w:line="235" w:lineRule="exact"/>
        <w:rPr>
          <w:sz w:val="20"/>
          <w:szCs w:val="20"/>
          <w:color w:val="auto"/>
        </w:rPr>
      </w:pPr>
    </w:p>
    <w:p>
      <w:pPr>
        <w:jc w:val="both"/>
        <w:ind w:right="40" w:firstLine="360"/>
        <w:spacing w:after="0" w:line="250" w:lineRule="auto"/>
        <w:rPr>
          <w:sz w:val="20"/>
          <w:szCs w:val="20"/>
          <w:color w:val="auto"/>
        </w:rPr>
      </w:pPr>
      <w:r>
        <w:rPr>
          <w:rFonts w:ascii="Arial" w:cs="Arial" w:eastAsia="Arial" w:hAnsi="Arial"/>
          <w:sz w:val="20"/>
          <w:szCs w:val="20"/>
          <w:color w:val="auto"/>
        </w:rPr>
        <w:t>The Company has an 401(k) plan (the “Plan”) covering substantially all eligible employees. The Plan includes a provision that the employer may contribute to the accounts of eligible employees for whom a salary deferral is made. The Company contributed $354 thousand and $ 306 thousand to the Plan during the years ended December 31, 2024 and 2023, respectively; the contributions are included under salaries and employee benefits in the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5" w:lineRule="exact"/>
        <w:rPr>
          <w:sz w:val="20"/>
          <w:szCs w:val="20"/>
          <w:color w:val="auto"/>
        </w:rPr>
      </w:pPr>
    </w:p>
    <w:p>
      <w:pPr>
        <w:jc w:val="both"/>
        <w:ind w:right="40" w:firstLine="361"/>
        <w:spacing w:after="0" w:line="244" w:lineRule="auto"/>
        <w:rPr>
          <w:sz w:val="20"/>
          <w:szCs w:val="20"/>
          <w:color w:val="auto"/>
        </w:rPr>
      </w:pPr>
      <w:r>
        <w:rPr>
          <w:rFonts w:ascii="Arial" w:cs="Arial" w:eastAsia="Arial" w:hAnsi="Arial"/>
          <w:sz w:val="20"/>
          <w:szCs w:val="20"/>
          <w:color w:val="auto"/>
        </w:rPr>
        <w:t>In 2015, the Company's stockholders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and, in no event shall an option be exercisable after the expiration of 10 years from the grant date. The 2015 Option Plan had a 10-year life and initially would have terminated in 2025. In July 2020, the stockholders of the Company approved the amendment of the 2015 Option plan to authorize the issuance of an additional 3,000,000 shares of common stock and extending the life of the plan 5 additional years, terminating in 2030. The authorized shares, after being adjusted to reflect the 1 for 5 reverse stock split, totaled 1,000,000 shares. In December 2021, the shareholders of the Company approved the amendment of the 2015 Option Plan to authorize the issuance of an additional 1,400,000 shares of common stock as well as the ability to issue restricted stock grants (up to 600,000 shares) for a total of 2,400,000 shares.</w:t>
      </w:r>
    </w:p>
    <w:p>
      <w:pPr>
        <w:spacing w:after="0" w:line="189" w:lineRule="exact"/>
        <w:rPr>
          <w:sz w:val="20"/>
          <w:szCs w:val="20"/>
          <w:color w:val="auto"/>
        </w:rPr>
      </w:pPr>
    </w:p>
    <w:p>
      <w:pPr>
        <w:jc w:val="both"/>
        <w:ind w:right="40" w:firstLine="360"/>
        <w:spacing w:after="0" w:line="280" w:lineRule="auto"/>
        <w:rPr>
          <w:sz w:val="20"/>
          <w:szCs w:val="20"/>
          <w:color w:val="auto"/>
        </w:rPr>
      </w:pPr>
      <w:r>
        <w:rPr>
          <w:rFonts w:ascii="Arial" w:cs="Arial" w:eastAsia="Arial" w:hAnsi="Arial"/>
          <w:sz w:val="20"/>
          <w:szCs w:val="20"/>
          <w:color w:val="auto"/>
        </w:rPr>
        <w:t>At December 31, 2024, there were 996,436 shares available for grant under the 2015 Option Plan. At December 31, 2023, there were 1,160,564 shares available for grant under the 2015 Option Plan.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35" w:lineRule="exact"/>
        <w:rPr>
          <w:sz w:val="20"/>
          <w:szCs w:val="20"/>
          <w:color w:val="auto"/>
        </w:rPr>
      </w:pPr>
    </w:p>
    <w:p>
      <w:pPr>
        <w:jc w:val="both"/>
        <w:ind w:right="40" w:firstLine="361"/>
        <w:spacing w:after="0" w:line="250" w:lineRule="auto"/>
        <w:rPr>
          <w:sz w:val="20"/>
          <w:szCs w:val="20"/>
          <w:color w:val="auto"/>
        </w:rPr>
      </w:pPr>
      <w:r>
        <w:rPr>
          <w:rFonts w:ascii="Arial" w:cs="Arial" w:eastAsia="Arial" w:hAnsi="Arial"/>
          <w:sz w:val="20"/>
          <w:szCs w:val="20"/>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Stock-based compensation expense is based on awards that the Company expects will ultimately vest, reduced by estimated forfeitures. Estimated forfeitures consider the voluntary termination trends as well as actual option forfeitures.</w:t>
      </w:r>
    </w:p>
    <w:p>
      <w:pPr>
        <w:spacing w:after="0" w:line="183" w:lineRule="exact"/>
        <w:rPr>
          <w:sz w:val="20"/>
          <w:szCs w:val="20"/>
          <w:color w:val="auto"/>
        </w:rPr>
      </w:pPr>
    </w:p>
    <w:p>
      <w:pPr>
        <w:jc w:val="both"/>
        <w:ind w:right="40" w:firstLine="360"/>
        <w:spacing w:after="0" w:line="253" w:lineRule="auto"/>
        <w:rPr>
          <w:sz w:val="20"/>
          <w:szCs w:val="20"/>
          <w:color w:val="auto"/>
        </w:rPr>
      </w:pPr>
      <w:r>
        <w:rPr>
          <w:rFonts w:ascii="Arial" w:cs="Arial" w:eastAsia="Arial" w:hAnsi="Arial"/>
          <w:sz w:val="20"/>
          <w:szCs w:val="20"/>
          <w:color w:val="auto"/>
        </w:rPr>
        <w:t>The compensation expense is reported under salaries and employee benefits in the accompanying Consolidated Statements of Operations. Compensation expense totaling $278 thousand was recognized for the year ended December 31, 2024 and $459 thousand for the year ended December 31, 2023. There was no related tax benefit for the years ended December 31, 2024 and 2023.</w:t>
      </w:r>
    </w:p>
    <w:p>
      <w:pPr>
        <w:spacing w:after="0" w:line="180" w:lineRule="exact"/>
        <w:rPr>
          <w:sz w:val="20"/>
          <w:szCs w:val="20"/>
          <w:color w:val="auto"/>
        </w:rPr>
      </w:pPr>
    </w:p>
    <w:p>
      <w:pPr>
        <w:jc w:val="both"/>
        <w:ind w:right="40" w:firstLine="360"/>
        <w:spacing w:after="0" w:line="282" w:lineRule="auto"/>
        <w:rPr>
          <w:sz w:val="20"/>
          <w:szCs w:val="20"/>
          <w:color w:val="auto"/>
        </w:rPr>
      </w:pPr>
      <w:r>
        <w:rPr>
          <w:rFonts w:ascii="Arial" w:cs="Arial" w:eastAsia="Arial" w:hAnsi="Arial"/>
          <w:sz w:val="20"/>
          <w:szCs w:val="20"/>
          <w:color w:val="auto"/>
        </w:rPr>
        <w:t>Unrecognized compensation cost remaining on stock-based compensation totaled $10 thousand and $342 thousand for the years ended December 31, 2024 and 2023, respectively.</w:t>
      </w:r>
    </w:p>
    <w:p>
      <w:pPr>
        <w:spacing w:after="0" w:line="149" w:lineRule="exact"/>
        <w:rPr>
          <w:sz w:val="20"/>
          <w:szCs w:val="20"/>
          <w:color w:val="auto"/>
        </w:rPr>
      </w:pPr>
    </w:p>
    <w:p>
      <w:pPr>
        <w:jc w:val="both"/>
        <w:ind w:right="40" w:firstLine="360"/>
        <w:spacing w:after="0" w:line="261" w:lineRule="auto"/>
        <w:rPr>
          <w:sz w:val="20"/>
          <w:szCs w:val="20"/>
          <w:color w:val="auto"/>
        </w:rPr>
      </w:pPr>
      <w:r>
        <w:rPr>
          <w:rFonts w:ascii="Arial" w:cs="Arial" w:eastAsia="Arial" w:hAnsi="Arial"/>
          <w:sz w:val="20"/>
          <w:szCs w:val="20"/>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were no options granted in 2024.</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For the fair value of options granted in 2023, the following were the assumptions: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Assumption</w:t>
            </w:r>
          </w:p>
        </w:tc>
        <w:tc>
          <w:tcPr>
            <w:tcW w:w="76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2023</w:t>
            </w:r>
          </w:p>
        </w:tc>
      </w:tr>
      <w:tr>
        <w:trPr>
          <w:trHeight w:val="220"/>
        </w:trPr>
        <w:tc>
          <w:tcPr>
            <w:tcW w:w="312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8"/>
                <w:szCs w:val="18"/>
                <w:color w:val="auto"/>
                <w:w w:val="99"/>
              </w:rPr>
              <w:t>Risk-free interest rate</w:t>
            </w:r>
          </w:p>
        </w:tc>
        <w:tc>
          <w:tcPr>
            <w:tcW w:w="8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D2EEF5"/>
            </w:tcBorders>
            <w:shd w:val="clear" w:color="auto" w:fill="D2EEF5"/>
          </w:tcPr>
          <w:p>
            <w:pPr>
              <w:spacing w:after="0"/>
              <w:rPr>
                <w:sz w:val="19"/>
                <w:szCs w:val="19"/>
                <w:color w:val="auto"/>
              </w:rPr>
            </w:pPr>
          </w:p>
        </w:tc>
        <w:tc>
          <w:tcPr>
            <w:tcW w:w="750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8"/>
                <w:szCs w:val="18"/>
                <w:color w:val="auto"/>
              </w:rPr>
              <w:t>3.53%</w:t>
            </w:r>
          </w:p>
        </w:tc>
      </w:tr>
      <w:tr>
        <w:trPr>
          <w:trHeight w:val="240"/>
        </w:trPr>
        <w:tc>
          <w:tcPr>
            <w:tcW w:w="32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Expected term</w:t>
            </w:r>
          </w:p>
        </w:tc>
        <w:tc>
          <w:tcPr>
            <w:tcW w:w="140" w:type="dxa"/>
            <w:vAlign w:val="bottom"/>
          </w:tcPr>
          <w:p>
            <w:pPr>
              <w:spacing w:after="0"/>
              <w:rPr>
                <w:sz w:val="20"/>
                <w:szCs w:val="20"/>
                <w:color w:val="auto"/>
              </w:rPr>
            </w:pPr>
          </w:p>
        </w:tc>
        <w:tc>
          <w:tcPr>
            <w:tcW w:w="7500" w:type="dxa"/>
            <w:vAlign w:val="bottom"/>
          </w:tcPr>
          <w:p>
            <w:pPr>
              <w:jc w:val="center"/>
              <w:spacing w:after="0"/>
              <w:rPr>
                <w:sz w:val="20"/>
                <w:szCs w:val="20"/>
                <w:color w:val="auto"/>
              </w:rPr>
            </w:pPr>
            <w:r>
              <w:rPr>
                <w:rFonts w:ascii="Arial" w:cs="Arial" w:eastAsia="Arial" w:hAnsi="Arial"/>
                <w:sz w:val="18"/>
                <w:szCs w:val="18"/>
                <w:color w:val="auto"/>
                <w:w w:val="99"/>
              </w:rPr>
              <w:t>10years</w:t>
            </w:r>
          </w:p>
        </w:tc>
      </w:tr>
      <w:tr>
        <w:trPr>
          <w:trHeight w:val="240"/>
        </w:trPr>
        <w:tc>
          <w:tcPr>
            <w:tcW w:w="3120" w:type="dxa"/>
            <w:vAlign w:val="bottom"/>
            <w:shd w:val="clear" w:color="auto" w:fill="D2EEF5"/>
          </w:tcPr>
          <w:p>
            <w:pPr>
              <w:jc w:val="center"/>
              <w:spacing w:after="0"/>
              <w:rPr>
                <w:sz w:val="20"/>
                <w:szCs w:val="20"/>
                <w:color w:val="auto"/>
              </w:rPr>
            </w:pPr>
            <w:r>
              <w:rPr>
                <w:rFonts w:ascii="Arial" w:cs="Arial" w:eastAsia="Arial" w:hAnsi="Arial"/>
                <w:sz w:val="18"/>
                <w:szCs w:val="18"/>
                <w:color w:val="auto"/>
              </w:rPr>
              <w:t>Expected stock price volatility</w:t>
            </w: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7500" w:type="dxa"/>
            <w:vAlign w:val="bottom"/>
            <w:shd w:val="clear" w:color="auto" w:fill="D2EEF5"/>
          </w:tcPr>
          <w:p>
            <w:pPr>
              <w:jc w:val="center"/>
              <w:spacing w:after="0"/>
              <w:rPr>
                <w:sz w:val="20"/>
                <w:szCs w:val="20"/>
                <w:color w:val="auto"/>
              </w:rPr>
            </w:pPr>
            <w:r>
              <w:rPr>
                <w:rFonts w:ascii="Arial" w:cs="Arial" w:eastAsia="Arial" w:hAnsi="Arial"/>
                <w:sz w:val="18"/>
                <w:szCs w:val="18"/>
                <w:color w:val="auto"/>
                <w:w w:val="99"/>
              </w:rPr>
              <w:t>10%</w:t>
            </w:r>
          </w:p>
        </w:tc>
      </w:tr>
      <w:tr>
        <w:trPr>
          <w:trHeight w:val="245"/>
        </w:trPr>
        <w:tc>
          <w:tcPr>
            <w:tcW w:w="32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Dividend yield</w:t>
            </w:r>
          </w:p>
        </w:tc>
        <w:tc>
          <w:tcPr>
            <w:tcW w:w="7640" w:type="dxa"/>
            <w:vAlign w:val="bottom"/>
            <w:gridSpan w:val="2"/>
          </w:tcPr>
          <w:p>
            <w:pPr>
              <w:jc w:val="center"/>
              <w:ind w:left="3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tabs>
          <w:tab w:leader="none" w:pos="360" w:val="left"/>
          <w:tab w:leader="none" w:pos="20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40"/>
          </w:cols>
          <w:pgMar w:left="720" w:top="355" w:right="680" w:bottom="0" w:gutter="0" w:footer="0" w:header="0"/>
        </w:sectPr>
      </w:pPr>
    </w:p>
    <w:bookmarkStart w:id="110" w:name="page111"/>
    <w:bookmarkEnd w:id="110"/>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 summary of stock options for the years ended December 31, 2024 and 2023:</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Aggregate Intrinsic</w:t>
            </w:r>
          </w:p>
        </w:tc>
      </w:tr>
      <w:tr>
        <w:trPr>
          <w:trHeight w:val="209"/>
        </w:trPr>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Weighted Average</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 (in</w:t>
            </w:r>
          </w:p>
        </w:tc>
      </w:tr>
      <w:tr>
        <w:trPr>
          <w:trHeight w:val="227"/>
        </w:trPr>
        <w:tc>
          <w:tcPr>
            <w:tcW w:w="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Stock Options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Exercise Price</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Contractual Years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thousands)</w:t>
            </w:r>
          </w:p>
        </w:tc>
      </w:tr>
      <w:tr>
        <w:trPr>
          <w:trHeight w:val="220"/>
        </w:trPr>
        <w:tc>
          <w:tcPr>
            <w:tcW w:w="346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Balance at January 1, 2024</w:t>
            </w:r>
          </w:p>
        </w:tc>
        <w:tc>
          <w:tcPr>
            <w:tcW w:w="1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947,167</w:t>
            </w:r>
          </w:p>
        </w:tc>
        <w:tc>
          <w:tcPr>
            <w:tcW w:w="4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Borders>
              <w:top w:val="single" w:sz="8" w:color="D2EEF5"/>
            </w:tcBorders>
            <w:shd w:val="clear" w:color="auto" w:fill="D2EEF5"/>
          </w:tcPr>
          <w:p>
            <w:pPr>
              <w:spacing w:after="0"/>
              <w:rPr>
                <w:sz w:val="19"/>
                <w:szCs w:val="19"/>
                <w:color w:val="auto"/>
              </w:rPr>
            </w:pPr>
          </w:p>
        </w:tc>
        <w:tc>
          <w:tcPr>
            <w:tcW w:w="16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1500" w:type="dxa"/>
            <w:vAlign w:val="bottom"/>
            <w:tcBorders>
              <w:top w:val="single" w:sz="8" w:color="auto"/>
            </w:tcBorders>
            <w:shd w:val="clear" w:color="auto" w:fill="D2EEF5"/>
          </w:tcPr>
          <w:p>
            <w:pPr>
              <w:spacing w:after="0"/>
              <w:rPr>
                <w:sz w:val="19"/>
                <w:szCs w:val="19"/>
                <w:color w:val="auto"/>
              </w:rPr>
            </w:pPr>
          </w:p>
        </w:tc>
      </w:tr>
      <w:tr>
        <w:trPr>
          <w:trHeight w:val="254"/>
        </w:trPr>
        <w:tc>
          <w:tcPr>
            <w:tcW w:w="140" w:type="dxa"/>
            <w:vAlign w:val="bottom"/>
            <w:tcBorders>
              <w:bottom w:val="single" w:sz="8" w:color="D2EEF5"/>
            </w:tcBorders>
          </w:tcPr>
          <w:p>
            <w:pPr>
              <w:spacing w:after="0"/>
              <w:rPr>
                <w:sz w:val="22"/>
                <w:szCs w:val="22"/>
                <w:color w:val="auto"/>
              </w:rPr>
            </w:pPr>
          </w:p>
        </w:tc>
        <w:tc>
          <w:tcPr>
            <w:tcW w:w="332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Granted</w:t>
            </w:r>
          </w:p>
        </w:tc>
        <w:tc>
          <w:tcPr>
            <w:tcW w:w="1700" w:type="dxa"/>
            <w:vAlign w:val="bottom"/>
            <w:tcBorders>
              <w:bottom w:val="single" w:sz="8" w:color="D2EEF5"/>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tcPr>
          <w:p>
            <w:pPr>
              <w:spacing w:after="0"/>
              <w:rPr>
                <w:sz w:val="22"/>
                <w:szCs w:val="22"/>
                <w:color w:val="auto"/>
              </w:rPr>
            </w:pPr>
          </w:p>
        </w:tc>
        <w:tc>
          <w:tcPr>
            <w:tcW w:w="1660" w:type="dxa"/>
            <w:vAlign w:val="bottom"/>
            <w:tcBorders>
              <w:bottom w:val="single" w:sz="8" w:color="D2EEF5"/>
            </w:tcBorders>
          </w:tcPr>
          <w:p>
            <w:pPr>
              <w:spacing w:after="0"/>
              <w:rPr>
                <w:sz w:val="22"/>
                <w:szCs w:val="22"/>
                <w:color w:val="auto"/>
              </w:rPr>
            </w:pPr>
          </w:p>
        </w:tc>
        <w:tc>
          <w:tcPr>
            <w:tcW w:w="80" w:type="dxa"/>
            <w:vAlign w:val="bottom"/>
            <w:tcBorders>
              <w:bottom w:val="single" w:sz="8" w:color="D2EEF5"/>
            </w:tcBorders>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500" w:type="dxa"/>
            <w:vAlign w:val="bottom"/>
            <w:tcBorders>
              <w:bottom w:val="single" w:sz="8" w:color="D2EEF5"/>
            </w:tcBorders>
          </w:tcPr>
          <w:p>
            <w:pPr>
              <w:spacing w:after="0"/>
              <w:rPr>
                <w:sz w:val="22"/>
                <w:szCs w:val="22"/>
                <w:color w:val="auto"/>
              </w:rPr>
            </w:pPr>
          </w:p>
        </w:tc>
      </w:tr>
      <w:tr>
        <w:trPr>
          <w:trHeight w:val="206"/>
        </w:trPr>
        <w:tc>
          <w:tcPr>
            <w:tcW w:w="140" w:type="dxa"/>
            <w:vAlign w:val="bottom"/>
            <w:shd w:val="clear" w:color="auto" w:fill="D2EEF5"/>
          </w:tcPr>
          <w:p>
            <w:pPr>
              <w:spacing w:after="0"/>
              <w:rPr>
                <w:sz w:val="17"/>
                <w:szCs w:val="17"/>
                <w:color w:val="auto"/>
              </w:rPr>
            </w:pPr>
          </w:p>
        </w:tc>
        <w:tc>
          <w:tcPr>
            <w:tcW w:w="3320" w:type="dxa"/>
            <w:vAlign w:val="bottom"/>
            <w:shd w:val="clear" w:color="auto" w:fill="D2EEF5"/>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(122,000)</w:t>
            </w:r>
          </w:p>
        </w:tc>
        <w:tc>
          <w:tcPr>
            <w:tcW w:w="4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D2EEF5"/>
          </w:tcPr>
          <w:p>
            <w:pPr>
              <w:spacing w:after="0"/>
              <w:rPr>
                <w:sz w:val="17"/>
                <w:szCs w:val="17"/>
                <w:color w:val="auto"/>
              </w:rPr>
            </w:pPr>
          </w:p>
        </w:tc>
        <w:tc>
          <w:tcPr>
            <w:tcW w:w="166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r>
      <w:tr>
        <w:trPr>
          <w:trHeight w:val="268"/>
        </w:trPr>
        <w:tc>
          <w:tcPr>
            <w:tcW w:w="14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6"/>
        </w:trPr>
        <w:tc>
          <w:tcPr>
            <w:tcW w:w="346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Balance at December 31, 2024</w:t>
            </w:r>
          </w:p>
        </w:tc>
        <w:tc>
          <w:tcPr>
            <w:tcW w:w="16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725,167</w:t>
            </w:r>
          </w:p>
        </w:tc>
        <w:tc>
          <w:tcPr>
            <w:tcW w:w="40" w:type="dxa"/>
            <w:vAlign w:val="bottom"/>
            <w:tcBorders>
              <w:top w:val="single" w:sz="8" w:color="D2EEF5"/>
            </w:tcBorders>
            <w:shd w:val="clear" w:color="auto" w:fill="D2EEF5"/>
          </w:tcPr>
          <w:p>
            <w:pPr>
              <w:spacing w:after="0"/>
              <w:rPr>
                <w:sz w:val="17"/>
                <w:szCs w:val="17"/>
                <w:color w:val="auto"/>
              </w:rPr>
            </w:pPr>
          </w:p>
        </w:tc>
        <w:tc>
          <w:tcPr>
            <w:tcW w:w="40" w:type="dxa"/>
            <w:vAlign w:val="bottom"/>
            <w:tcBorders>
              <w:top w:val="single" w:sz="8" w:color="D2EEF5"/>
            </w:tcBorders>
            <w:shd w:val="clear" w:color="auto" w:fill="D2EEF5"/>
          </w:tcPr>
          <w:p>
            <w:pPr>
              <w:spacing w:after="0"/>
              <w:rPr>
                <w:sz w:val="17"/>
                <w:szCs w:val="17"/>
                <w:color w:val="auto"/>
              </w:rPr>
            </w:pPr>
          </w:p>
        </w:tc>
        <w:tc>
          <w:tcPr>
            <w:tcW w:w="16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top w:val="single" w:sz="8" w:color="D2EEF5"/>
            </w:tcBorders>
            <w:shd w:val="clear" w:color="auto" w:fill="D2EEF5"/>
          </w:tcPr>
          <w:p>
            <w:pPr>
              <w:spacing w:after="0"/>
              <w:rPr>
                <w:sz w:val="17"/>
                <w:szCs w:val="17"/>
                <w:color w:val="auto"/>
              </w:rPr>
            </w:pPr>
          </w:p>
        </w:tc>
        <w:tc>
          <w:tcPr>
            <w:tcW w:w="166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D2EEF5"/>
            </w:tcBorders>
            <w:shd w:val="clear" w:color="auto" w:fill="D2EEF5"/>
          </w:tcPr>
          <w:p>
            <w:pPr>
              <w:spacing w:after="0"/>
              <w:rPr>
                <w:sz w:val="17"/>
                <w:szCs w:val="17"/>
                <w:color w:val="auto"/>
              </w:rPr>
            </w:pPr>
          </w:p>
        </w:tc>
        <w:tc>
          <w:tcPr>
            <w:tcW w:w="180" w:type="dxa"/>
            <w:vAlign w:val="bottom"/>
            <w:tcBorders>
              <w:top w:val="single" w:sz="8" w:color="D2EEF5"/>
            </w:tcBorders>
            <w:shd w:val="clear" w:color="auto" w:fill="D2EEF5"/>
          </w:tcPr>
          <w:p>
            <w:pPr>
              <w:spacing w:after="0"/>
              <w:rPr>
                <w:sz w:val="17"/>
                <w:szCs w:val="17"/>
                <w:color w:val="auto"/>
              </w:rPr>
            </w:pPr>
          </w:p>
        </w:tc>
        <w:tc>
          <w:tcPr>
            <w:tcW w:w="1500" w:type="dxa"/>
            <w:vAlign w:val="bottom"/>
            <w:tcBorders>
              <w:top w:val="single" w:sz="8" w:color="D2EEF5"/>
            </w:tcBorders>
            <w:shd w:val="clear" w:color="auto" w:fill="D2EEF5"/>
          </w:tcPr>
          <w:p>
            <w:pPr>
              <w:spacing w:after="0"/>
              <w:rPr>
                <w:sz w:val="17"/>
                <w:szCs w:val="17"/>
                <w:color w:val="auto"/>
              </w:rPr>
            </w:pPr>
          </w:p>
        </w:tc>
      </w:tr>
      <w:tr>
        <w:trPr>
          <w:trHeight w:val="20"/>
        </w:trPr>
        <w:tc>
          <w:tcPr>
            <w:tcW w:w="346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4"/>
        </w:trPr>
        <w:tc>
          <w:tcPr>
            <w:tcW w:w="3460" w:type="dxa"/>
            <w:vAlign w:val="bottom"/>
            <w:gridSpan w:val="2"/>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r>
      <w:tr>
        <w:trPr>
          <w:trHeight w:val="240"/>
        </w:trPr>
        <w:tc>
          <w:tcPr>
            <w:tcW w:w="34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Exercisable at December 31, 2024</w:t>
            </w: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720,499</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10.85</w:t>
            </w:r>
          </w:p>
        </w:tc>
        <w:tc>
          <w:tcPr>
            <w:tcW w:w="60" w:type="dxa"/>
            <w:vAlign w:val="bottom"/>
            <w:shd w:val="clear" w:color="auto" w:fill="D2EEF5"/>
          </w:tcPr>
          <w:p>
            <w:pPr>
              <w:spacing w:after="0"/>
              <w:rPr>
                <w:sz w:val="20"/>
                <w:szCs w:val="20"/>
                <w:color w:val="auto"/>
              </w:rPr>
            </w:pP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4,972</w:t>
            </w:r>
          </w:p>
        </w:tc>
      </w:tr>
      <w:tr>
        <w:trPr>
          <w:trHeight w:val="254"/>
        </w:trPr>
        <w:tc>
          <w:tcPr>
            <w:tcW w:w="3460" w:type="dxa"/>
            <w:vAlign w:val="bottom"/>
            <w:tcBorders>
              <w:bottom w:val="single" w:sz="8" w:color="D2EEF5"/>
            </w:tcBorders>
            <w:gridSpan w:val="2"/>
          </w:tcPr>
          <w:p>
            <w:pPr>
              <w:spacing w:after="0"/>
              <w:rPr>
                <w:sz w:val="22"/>
                <w:szCs w:val="22"/>
                <w:color w:val="auto"/>
              </w:rPr>
            </w:pPr>
          </w:p>
        </w:tc>
        <w:tc>
          <w:tcPr>
            <w:tcW w:w="166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gridSpan w:val="2"/>
          </w:tcPr>
          <w:p>
            <w:pPr>
              <w:spacing w:after="0"/>
              <w:rPr>
                <w:sz w:val="22"/>
                <w:szCs w:val="22"/>
                <w:color w:val="auto"/>
              </w:rPr>
            </w:pPr>
          </w:p>
        </w:tc>
        <w:tc>
          <w:tcPr>
            <w:tcW w:w="1520" w:type="dxa"/>
            <w:vAlign w:val="bottom"/>
            <w:tcBorders>
              <w:bottom w:val="single" w:sz="8" w:color="D2EEF5"/>
            </w:tcBorders>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1660" w:type="dxa"/>
            <w:vAlign w:val="bottom"/>
            <w:tcBorders>
              <w:bottom w:val="single" w:sz="8" w:color="D2EEF5"/>
            </w:tcBorders>
          </w:tcPr>
          <w:p>
            <w:pPr>
              <w:spacing w:after="0"/>
              <w:rPr>
                <w:sz w:val="22"/>
                <w:szCs w:val="22"/>
                <w:color w:val="auto"/>
              </w:rPr>
            </w:pPr>
          </w:p>
        </w:tc>
        <w:tc>
          <w:tcPr>
            <w:tcW w:w="80" w:type="dxa"/>
            <w:vAlign w:val="bottom"/>
            <w:tcBorders>
              <w:bottom w:val="single" w:sz="8" w:color="D2EEF5"/>
            </w:tcBorders>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500" w:type="dxa"/>
            <w:vAlign w:val="bottom"/>
            <w:tcBorders>
              <w:bottom w:val="single" w:sz="8" w:color="D2EEF5"/>
            </w:tcBorders>
          </w:tcPr>
          <w:p>
            <w:pPr>
              <w:spacing w:after="0"/>
              <w:rPr>
                <w:sz w:val="22"/>
                <w:szCs w:val="22"/>
                <w:color w:val="auto"/>
              </w:rPr>
            </w:pPr>
          </w:p>
        </w:tc>
      </w:tr>
      <w:tr>
        <w:trPr>
          <w:trHeight w:val="206"/>
        </w:trPr>
        <w:tc>
          <w:tcPr>
            <w:tcW w:w="34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Balance at January 1, 2023</w:t>
            </w: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965,667</w:t>
            </w:r>
          </w:p>
        </w:tc>
        <w:tc>
          <w:tcPr>
            <w:tcW w:w="4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D2EEF5"/>
          </w:tcPr>
          <w:p>
            <w:pPr>
              <w:spacing w:after="0"/>
              <w:rPr>
                <w:sz w:val="17"/>
                <w:szCs w:val="17"/>
                <w:color w:val="auto"/>
              </w:rPr>
            </w:pP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r>
      <w:tr>
        <w:trPr>
          <w:trHeight w:val="254"/>
        </w:trPr>
        <w:tc>
          <w:tcPr>
            <w:tcW w:w="140" w:type="dxa"/>
            <w:vAlign w:val="bottom"/>
            <w:tcBorders>
              <w:bottom w:val="single" w:sz="8" w:color="D2EEF5"/>
            </w:tcBorders>
          </w:tcPr>
          <w:p>
            <w:pPr>
              <w:spacing w:after="0"/>
              <w:rPr>
                <w:sz w:val="22"/>
                <w:szCs w:val="22"/>
                <w:color w:val="auto"/>
              </w:rPr>
            </w:pPr>
          </w:p>
        </w:tc>
        <w:tc>
          <w:tcPr>
            <w:tcW w:w="332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Granted</w:t>
            </w:r>
          </w:p>
        </w:tc>
        <w:tc>
          <w:tcPr>
            <w:tcW w:w="166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bottom w:val="single" w:sz="8" w:color="D2EEF5"/>
            </w:tcBorders>
          </w:tcPr>
          <w:p>
            <w:pPr>
              <w:spacing w:after="0"/>
              <w:rPr>
                <w:sz w:val="22"/>
                <w:szCs w:val="22"/>
                <w:color w:val="auto"/>
              </w:rPr>
            </w:pPr>
          </w:p>
        </w:tc>
        <w:tc>
          <w:tcPr>
            <w:tcW w:w="1660" w:type="dxa"/>
            <w:vAlign w:val="bottom"/>
            <w:tcBorders>
              <w:bottom w:val="single" w:sz="8" w:color="D2EEF5"/>
            </w:tcBorders>
          </w:tcPr>
          <w:p>
            <w:pPr>
              <w:spacing w:after="0"/>
              <w:rPr>
                <w:sz w:val="22"/>
                <w:szCs w:val="22"/>
                <w:color w:val="auto"/>
              </w:rPr>
            </w:pPr>
          </w:p>
        </w:tc>
        <w:tc>
          <w:tcPr>
            <w:tcW w:w="80" w:type="dxa"/>
            <w:vAlign w:val="bottom"/>
            <w:tcBorders>
              <w:bottom w:val="single" w:sz="8" w:color="D2EEF5"/>
            </w:tcBorders>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500" w:type="dxa"/>
            <w:vAlign w:val="bottom"/>
            <w:tcBorders>
              <w:bottom w:val="single" w:sz="8" w:color="D2EEF5"/>
            </w:tcBorders>
          </w:tcPr>
          <w:p>
            <w:pPr>
              <w:spacing w:after="0"/>
              <w:rPr>
                <w:sz w:val="22"/>
                <w:szCs w:val="22"/>
                <w:color w:val="auto"/>
              </w:rPr>
            </w:pPr>
          </w:p>
        </w:tc>
      </w:tr>
      <w:tr>
        <w:trPr>
          <w:trHeight w:val="206"/>
        </w:trPr>
        <w:tc>
          <w:tcPr>
            <w:tcW w:w="140" w:type="dxa"/>
            <w:vAlign w:val="bottom"/>
            <w:shd w:val="clear" w:color="auto" w:fill="D2EEF5"/>
          </w:tcPr>
          <w:p>
            <w:pPr>
              <w:spacing w:after="0"/>
              <w:rPr>
                <w:sz w:val="17"/>
                <w:szCs w:val="17"/>
                <w:color w:val="auto"/>
              </w:rPr>
            </w:pPr>
          </w:p>
        </w:tc>
        <w:tc>
          <w:tcPr>
            <w:tcW w:w="3320" w:type="dxa"/>
            <w:vAlign w:val="bottom"/>
            <w:shd w:val="clear" w:color="auto" w:fill="D2EEF5"/>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D2EEF5"/>
          </w:tcPr>
          <w:p>
            <w:pPr>
              <w:spacing w:after="0"/>
              <w:rPr>
                <w:sz w:val="17"/>
                <w:szCs w:val="17"/>
                <w:color w:val="auto"/>
              </w:rPr>
            </w:pPr>
          </w:p>
        </w:tc>
        <w:tc>
          <w:tcPr>
            <w:tcW w:w="166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500" w:type="dxa"/>
            <w:vAlign w:val="bottom"/>
            <w:shd w:val="clear" w:color="auto" w:fill="D2EEF5"/>
          </w:tcPr>
          <w:p>
            <w:pPr>
              <w:spacing w:after="0"/>
              <w:rPr>
                <w:sz w:val="17"/>
                <w:szCs w:val="17"/>
                <w:color w:val="auto"/>
              </w:rPr>
            </w:pPr>
          </w:p>
        </w:tc>
      </w:tr>
      <w:tr>
        <w:trPr>
          <w:trHeight w:val="268"/>
        </w:trPr>
        <w:tc>
          <w:tcPr>
            <w:tcW w:w="14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(16,000)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346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Balance at December 31, 2023</w:t>
            </w:r>
          </w:p>
        </w:tc>
        <w:tc>
          <w:tcPr>
            <w:tcW w:w="16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947,167</w:t>
            </w:r>
          </w:p>
        </w:tc>
        <w:tc>
          <w:tcPr>
            <w:tcW w:w="40" w:type="dxa"/>
            <w:vAlign w:val="bottom"/>
            <w:tcBorders>
              <w:top w:val="single" w:sz="8" w:color="D2EEF5"/>
            </w:tcBorders>
            <w:shd w:val="clear" w:color="auto" w:fill="D2EEF5"/>
          </w:tcPr>
          <w:p>
            <w:pPr>
              <w:spacing w:after="0"/>
              <w:rPr>
                <w:sz w:val="18"/>
                <w:szCs w:val="18"/>
                <w:color w:val="auto"/>
              </w:rPr>
            </w:pPr>
          </w:p>
        </w:tc>
        <w:tc>
          <w:tcPr>
            <w:tcW w:w="40" w:type="dxa"/>
            <w:vAlign w:val="bottom"/>
            <w:tcBorders>
              <w:top w:val="single" w:sz="8" w:color="D2EEF5"/>
            </w:tcBorders>
            <w:shd w:val="clear" w:color="auto" w:fill="D2EEF5"/>
          </w:tcPr>
          <w:p>
            <w:pPr>
              <w:spacing w:after="0"/>
              <w:rPr>
                <w:sz w:val="18"/>
                <w:szCs w:val="18"/>
                <w:color w:val="auto"/>
              </w:rPr>
            </w:pPr>
          </w:p>
        </w:tc>
        <w:tc>
          <w:tcPr>
            <w:tcW w:w="16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Borders>
              <w:top w:val="single" w:sz="8" w:color="D2EEF5"/>
            </w:tcBorders>
            <w:shd w:val="clear" w:color="auto" w:fill="D2EEF5"/>
          </w:tcPr>
          <w:p>
            <w:pPr>
              <w:spacing w:after="0"/>
              <w:rPr>
                <w:sz w:val="18"/>
                <w:szCs w:val="18"/>
                <w:color w:val="auto"/>
              </w:rPr>
            </w:pPr>
          </w:p>
        </w:tc>
        <w:tc>
          <w:tcPr>
            <w:tcW w:w="166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D2EEF5"/>
            </w:tcBorders>
            <w:shd w:val="clear" w:color="auto" w:fill="D2EEF5"/>
          </w:tcPr>
          <w:p>
            <w:pPr>
              <w:spacing w:after="0"/>
              <w:rPr>
                <w:sz w:val="18"/>
                <w:szCs w:val="18"/>
                <w:color w:val="auto"/>
              </w:rPr>
            </w:pPr>
          </w:p>
        </w:tc>
        <w:tc>
          <w:tcPr>
            <w:tcW w:w="1500" w:type="dxa"/>
            <w:vAlign w:val="bottom"/>
            <w:tcBorders>
              <w:top w:val="single" w:sz="8" w:color="D2EEF5"/>
            </w:tcBorders>
            <w:shd w:val="clear" w:color="auto" w:fill="D2EEF5"/>
          </w:tcPr>
          <w:p>
            <w:pPr>
              <w:spacing w:after="0"/>
              <w:rPr>
                <w:sz w:val="18"/>
                <w:szCs w:val="18"/>
                <w:color w:val="auto"/>
              </w:rPr>
            </w:pPr>
          </w:p>
        </w:tc>
      </w:tr>
      <w:tr>
        <w:trPr>
          <w:trHeight w:val="20"/>
        </w:trPr>
        <w:tc>
          <w:tcPr>
            <w:tcW w:w="346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4"/>
        </w:trPr>
        <w:tc>
          <w:tcPr>
            <w:tcW w:w="3460" w:type="dxa"/>
            <w:vAlign w:val="bottom"/>
            <w:gridSpan w:val="2"/>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r>
      <w:tr>
        <w:trPr>
          <w:trHeight w:val="240"/>
        </w:trPr>
        <w:tc>
          <w:tcPr>
            <w:tcW w:w="34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Exercisable at December 31, 2023</w:t>
            </w: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758,000</w:t>
            </w:r>
          </w:p>
        </w:tc>
        <w:tc>
          <w:tcPr>
            <w:tcW w:w="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10.71</w:t>
            </w:r>
          </w:p>
        </w:tc>
        <w:tc>
          <w:tcPr>
            <w:tcW w:w="60" w:type="dxa"/>
            <w:vAlign w:val="bottom"/>
            <w:shd w:val="clear" w:color="auto" w:fill="D2EEF5"/>
          </w:tcPr>
          <w:p>
            <w:pPr>
              <w:spacing w:after="0"/>
              <w:rPr>
                <w:sz w:val="20"/>
                <w:szCs w:val="20"/>
                <w:color w:val="auto"/>
              </w:rPr>
            </w:pPr>
          </w:p>
        </w:tc>
        <w:tc>
          <w:tcPr>
            <w:tcW w:w="16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1,195</w:t>
            </w:r>
          </w:p>
        </w:tc>
      </w:tr>
    </w:tbl>
    <w:p>
      <w:pPr>
        <w:spacing w:after="0" w:line="200" w:lineRule="exact"/>
        <w:rPr>
          <w:sz w:val="20"/>
          <w:szCs w:val="20"/>
          <w:color w:val="auto"/>
        </w:rPr>
      </w:pPr>
    </w:p>
    <w:p>
      <w:pPr>
        <w:spacing w:after="0" w:line="2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aggregate intrinsic value in the table above represents the total pre-tax intrinsic value of exercisable options at the dates presented (the difference between the valuation of the Company’s stock and the exercise price, multiplied by the number of options considered in-the-money) that would have been received by the option holders had all option holders exercised their options.</w:t>
      </w:r>
    </w:p>
    <w:p>
      <w:pPr>
        <w:spacing w:after="0" w:line="18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weighted average per share fair value of options granted for the year ended December 31, 2023, was $3.91; there were no grants in 2024.</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2024 , the Company issued 277,922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 However, out of the 277,922 shares of Class A common stock issued pursuant restricted stock awards in 2024, 150,000 shares issued in October 2024 had a modified vesting period. The 150,000 shares vested 33% of the award in a period of two months in 2024, and 67% remaining will vest in the next 2 years.</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2023 , the Company issued 242,713 shares of Class A common stock to employees and directors as restricted stock awards pursuant to the Company's 2015 Option Plan. Awards under the 2015 Option Plan may not be sold or otherwise transferred until certain restrictions have lapsed.</w:t>
      </w:r>
    </w:p>
    <w:p>
      <w:pPr>
        <w:spacing w:after="0" w:line="17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total share- based compensation expense for these awards is determined based on the market price of the Company's common stock as of the date of grant applied to the total number of shares granted and is amortized straight line over the vesting period which is generally three years unless the Board of Directors approves a different vesting schedule for the grants. As of December 31, 2024, unearned share-based compensation expense associated with these awards totaled $4.3 million.</w:t>
      </w:r>
    </w:p>
    <w:p>
      <w:pPr>
        <w:spacing w:after="0" w:line="18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Compensation expense totaling $1.9 million was recognized for the year ended December 31, 2024 and reported under salaries and benefits in the accompanying Consolidated Statement of Operations. Compensation expense totaling $553 thousand was recognized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1" w:name="page112"/>
    <w:bookmarkEnd w:id="111"/>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 summary of restricted stock awards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Weighted Average Grant Date</w:t>
            </w:r>
          </w:p>
        </w:tc>
      </w:tr>
      <w:tr>
        <w:trPr>
          <w:trHeight w:val="230"/>
        </w:trPr>
        <w:tc>
          <w:tcPr>
            <w:tcW w:w="4840" w:type="dxa"/>
            <w:vAlign w:val="bottom"/>
          </w:tcPr>
          <w:p>
            <w:pPr>
              <w:spacing w:after="0"/>
              <w:rPr>
                <w:sz w:val="19"/>
                <w:szCs w:val="19"/>
                <w:color w:val="auto"/>
              </w:rPr>
            </w:pPr>
          </w:p>
        </w:tc>
        <w:tc>
          <w:tcPr>
            <w:tcW w:w="2660" w:type="dxa"/>
            <w:vAlign w:val="bottom"/>
            <w:gridSpan w:val="2"/>
          </w:tcPr>
          <w:p>
            <w:pPr>
              <w:ind w:left="600"/>
              <w:spacing w:after="0"/>
              <w:rPr>
                <w:sz w:val="20"/>
                <w:szCs w:val="20"/>
                <w:color w:val="auto"/>
              </w:rPr>
            </w:pPr>
            <w:r>
              <w:rPr>
                <w:rFonts w:ascii="Arial" w:cs="Arial" w:eastAsia="Arial" w:hAnsi="Arial"/>
                <w:sz w:val="18"/>
                <w:szCs w:val="18"/>
                <w:b w:val="1"/>
                <w:bCs w:val="1"/>
                <w:color w:val="auto"/>
              </w:rPr>
              <w:t>Restricted Stock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right"/>
              <w:ind w:right="890"/>
              <w:spacing w:after="0"/>
              <w:rPr>
                <w:sz w:val="20"/>
                <w:szCs w:val="20"/>
                <w:color w:val="auto"/>
              </w:rPr>
            </w:pPr>
            <w:r>
              <w:rPr>
                <w:rFonts w:ascii="Arial" w:cs="Arial" w:eastAsia="Arial" w:hAnsi="Arial"/>
                <w:sz w:val="18"/>
                <w:szCs w:val="18"/>
                <w:b w:val="1"/>
                <w:bCs w:val="1"/>
                <w:color w:val="auto"/>
              </w:rPr>
              <w:t>Fair Value</w:t>
            </w:r>
          </w:p>
        </w:tc>
      </w:tr>
      <w:tr>
        <w:trPr>
          <w:trHeight w:val="220"/>
        </w:trPr>
        <w:tc>
          <w:tcPr>
            <w:tcW w:w="48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Balance at January 1, 2024</w:t>
            </w:r>
          </w:p>
        </w:tc>
        <w:tc>
          <w:tcPr>
            <w:tcW w:w="2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218,422</w:t>
            </w:r>
          </w:p>
        </w:tc>
        <w:tc>
          <w:tcPr>
            <w:tcW w:w="2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12.19</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277,922</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40"/>
        </w:trPr>
        <w:tc>
          <w:tcPr>
            <w:tcW w:w="4840" w:type="dxa"/>
            <w:vAlign w:val="bottom"/>
            <w:shd w:val="clear" w:color="auto" w:fill="D2EEF5"/>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(8,625)</w:t>
            </w:r>
          </w:p>
        </w:tc>
        <w:tc>
          <w:tcPr>
            <w:tcW w:w="20" w:type="dxa"/>
            <w:vAlign w:val="bottom"/>
            <w:shd w:val="clear" w:color="auto" w:fill="D2EEF5"/>
          </w:tcPr>
          <w:p>
            <w:pPr>
              <w:spacing w:after="0"/>
              <w:rPr>
                <w:sz w:val="20"/>
                <w:szCs w:val="20"/>
                <w:color w:val="auto"/>
              </w:rPr>
            </w:pPr>
          </w:p>
        </w:tc>
        <w:tc>
          <w:tcPr>
            <w:tcW w:w="16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12.63</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Vested</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(85,643)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34"/>
        </w:trPr>
        <w:tc>
          <w:tcPr>
            <w:tcW w:w="48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Balance at December 31, 2024</w:t>
            </w:r>
          </w:p>
        </w:tc>
        <w:tc>
          <w:tcPr>
            <w:tcW w:w="26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402,076</w:t>
            </w:r>
          </w:p>
        </w:tc>
        <w:tc>
          <w:tcPr>
            <w:tcW w:w="20" w:type="dxa"/>
            <w:vAlign w:val="bottom"/>
            <w:tcBorders>
              <w:top w:val="single" w:sz="8" w:color="D2EEF5"/>
            </w:tcBorders>
            <w:shd w:val="clear" w:color="auto" w:fill="D2EEF5"/>
          </w:tcPr>
          <w:p>
            <w:pPr>
              <w:spacing w:after="0"/>
              <w:rPr>
                <w:sz w:val="20"/>
                <w:szCs w:val="20"/>
                <w:color w:val="auto"/>
              </w:rPr>
            </w:pPr>
          </w:p>
        </w:tc>
        <w:tc>
          <w:tcPr>
            <w:tcW w:w="40" w:type="dxa"/>
            <w:vAlign w:val="bottom"/>
            <w:tcBorders>
              <w:top w:val="single" w:sz="8" w:color="D2EEF5"/>
            </w:tcBorders>
            <w:shd w:val="clear" w:color="auto" w:fill="D2EEF5"/>
          </w:tcPr>
          <w:p>
            <w:pPr>
              <w:spacing w:after="0"/>
              <w:rPr>
                <w:sz w:val="20"/>
                <w:szCs w:val="20"/>
                <w:color w:val="auto"/>
              </w:rPr>
            </w:pPr>
          </w:p>
        </w:tc>
        <w:tc>
          <w:tcPr>
            <w:tcW w:w="12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13.31</w:t>
            </w:r>
          </w:p>
        </w:tc>
      </w:tr>
      <w:tr>
        <w:trPr>
          <w:trHeight w:val="20"/>
        </w:trPr>
        <w:tc>
          <w:tcPr>
            <w:tcW w:w="48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Weighted Average Grant Date</w:t>
            </w:r>
          </w:p>
        </w:tc>
      </w:tr>
      <w:tr>
        <w:trPr>
          <w:trHeight w:val="227"/>
        </w:trPr>
        <w:tc>
          <w:tcPr>
            <w:tcW w:w="4840" w:type="dxa"/>
            <w:vAlign w:val="bottom"/>
          </w:tcPr>
          <w:p>
            <w:pPr>
              <w:spacing w:after="0"/>
              <w:rPr>
                <w:sz w:val="19"/>
                <w:szCs w:val="19"/>
                <w:color w:val="auto"/>
              </w:rPr>
            </w:pPr>
          </w:p>
        </w:tc>
        <w:tc>
          <w:tcPr>
            <w:tcW w:w="2660" w:type="dxa"/>
            <w:vAlign w:val="bottom"/>
            <w:gridSpan w:val="2"/>
          </w:tcPr>
          <w:p>
            <w:pPr>
              <w:ind w:left="600"/>
              <w:spacing w:after="0"/>
              <w:rPr>
                <w:sz w:val="20"/>
                <w:szCs w:val="20"/>
                <w:color w:val="auto"/>
              </w:rPr>
            </w:pPr>
            <w:r>
              <w:rPr>
                <w:rFonts w:ascii="Arial" w:cs="Arial" w:eastAsia="Arial" w:hAnsi="Arial"/>
                <w:sz w:val="18"/>
                <w:szCs w:val="18"/>
                <w:b w:val="1"/>
                <w:bCs w:val="1"/>
                <w:color w:val="auto"/>
              </w:rPr>
              <w:t>Restricted Stock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right"/>
              <w:ind w:right="890"/>
              <w:spacing w:after="0"/>
              <w:rPr>
                <w:sz w:val="20"/>
                <w:szCs w:val="20"/>
                <w:color w:val="auto"/>
              </w:rPr>
            </w:pPr>
            <w:r>
              <w:rPr>
                <w:rFonts w:ascii="Arial" w:cs="Arial" w:eastAsia="Arial" w:hAnsi="Arial"/>
                <w:sz w:val="18"/>
                <w:szCs w:val="18"/>
                <w:b w:val="1"/>
                <w:bCs w:val="1"/>
                <w:color w:val="auto"/>
              </w:rPr>
              <w:t>Fair Value</w:t>
            </w:r>
          </w:p>
        </w:tc>
      </w:tr>
      <w:tr>
        <w:trPr>
          <w:trHeight w:val="220"/>
        </w:trPr>
        <w:tc>
          <w:tcPr>
            <w:tcW w:w="48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Balance at January 1, 2023</w:t>
            </w:r>
          </w:p>
        </w:tc>
        <w:tc>
          <w:tcPr>
            <w:tcW w:w="26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242,713</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40"/>
        </w:trPr>
        <w:tc>
          <w:tcPr>
            <w:tcW w:w="4840" w:type="dxa"/>
            <w:vAlign w:val="bottom"/>
            <w:shd w:val="clear" w:color="auto" w:fill="D2EEF5"/>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(8,111)</w:t>
            </w:r>
          </w:p>
        </w:tc>
        <w:tc>
          <w:tcPr>
            <w:tcW w:w="20" w:type="dxa"/>
            <w:vAlign w:val="bottom"/>
            <w:shd w:val="clear" w:color="auto" w:fill="D2EEF5"/>
          </w:tcPr>
          <w:p>
            <w:pPr>
              <w:spacing w:after="0"/>
              <w:rPr>
                <w:sz w:val="20"/>
                <w:szCs w:val="20"/>
                <w:color w:val="auto"/>
              </w:rPr>
            </w:pPr>
          </w:p>
        </w:tc>
        <w:tc>
          <w:tcPr>
            <w:tcW w:w="16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7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12.67</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Vested</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(16,180)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34"/>
        </w:trPr>
        <w:tc>
          <w:tcPr>
            <w:tcW w:w="48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Balance at December 31, 2023</w:t>
            </w:r>
          </w:p>
        </w:tc>
        <w:tc>
          <w:tcPr>
            <w:tcW w:w="26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218,422</w:t>
            </w:r>
          </w:p>
        </w:tc>
        <w:tc>
          <w:tcPr>
            <w:tcW w:w="20" w:type="dxa"/>
            <w:vAlign w:val="bottom"/>
            <w:tcBorders>
              <w:top w:val="single" w:sz="8" w:color="D2EEF5"/>
            </w:tcBorders>
            <w:shd w:val="clear" w:color="auto" w:fill="D2EEF5"/>
          </w:tcPr>
          <w:p>
            <w:pPr>
              <w:spacing w:after="0"/>
              <w:rPr>
                <w:sz w:val="20"/>
                <w:szCs w:val="20"/>
                <w:color w:val="auto"/>
              </w:rPr>
            </w:pPr>
          </w:p>
        </w:tc>
        <w:tc>
          <w:tcPr>
            <w:tcW w:w="40" w:type="dxa"/>
            <w:vAlign w:val="bottom"/>
            <w:tcBorders>
              <w:top w:val="single" w:sz="8" w:color="D2EEF5"/>
            </w:tcBorders>
            <w:shd w:val="clear" w:color="auto" w:fill="D2EEF5"/>
          </w:tcPr>
          <w:p>
            <w:pPr>
              <w:spacing w:after="0"/>
              <w:rPr>
                <w:sz w:val="20"/>
                <w:szCs w:val="20"/>
                <w:color w:val="auto"/>
              </w:rPr>
            </w:pPr>
          </w:p>
        </w:tc>
        <w:tc>
          <w:tcPr>
            <w:tcW w:w="12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12.19</w:t>
            </w:r>
          </w:p>
        </w:tc>
      </w:tr>
      <w:tr>
        <w:trPr>
          <w:trHeight w:val="20"/>
        </w:trPr>
        <w:tc>
          <w:tcPr>
            <w:tcW w:w="48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40" w:hanging="540"/>
        <w:spacing w:after="0"/>
        <w:tabs>
          <w:tab w:leader="none" w:pos="5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OFF-BALANCE SHEET ARRANGEMENTS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is a party to financial instruments with off -balance-sheet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8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5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held-to-maturity debt securities.</w:t>
      </w:r>
    </w:p>
    <w:p>
      <w:pPr>
        <w:spacing w:after="0" w:line="183" w:lineRule="exact"/>
        <w:rPr>
          <w:sz w:val="20"/>
          <w:szCs w:val="20"/>
          <w:color w:val="auto"/>
        </w:rPr>
      </w:pPr>
    </w:p>
    <w:p>
      <w:pPr>
        <w:jc w:val="both"/>
        <w:ind w:firstLine="361"/>
        <w:spacing w:after="0" w:line="250" w:lineRule="auto"/>
        <w:rPr>
          <w:sz w:val="20"/>
          <w:szCs w:val="20"/>
          <w:color w:val="auto"/>
        </w:rPr>
      </w:pPr>
      <w:r>
        <w:rPr>
          <w:rFonts w:ascii="Arial" w:cs="Arial" w:eastAsia="Arial" w:hAnsi="Arial"/>
          <w:sz w:val="20"/>
          <w:szCs w:val="20"/>
          <w:color w:val="auto"/>
        </w:rPr>
        <w:t>The Company records a liability for expected credit losses on off-balance-sheet credit exposure in accordance with ASC 326. The Company uses the loss rate and exposure of default framework to estimate a reserve for unfunded commitments. Loss rates for the expected funded balances are determined based on the associated pooled loan analysis loss rate and the exposure at default is based on an estimated utilization given default. The off-balance sheet commitment allowance were $571 thousand and $372 thousand as of December 31, 2024 and December 31, 2023, respectively.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the amounts of the Company's financial instruments with off-balance sheet risk are shown below at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Borders>
              <w:bottom w:val="single" w:sz="8" w:color="D2EEF5"/>
            </w:tcBorders>
          </w:tcPr>
          <w:p>
            <w:pPr>
              <w:spacing w:after="0"/>
              <w:rPr>
                <w:sz w:val="19"/>
                <w:szCs w:val="19"/>
                <w:color w:val="auto"/>
              </w:rPr>
            </w:pPr>
          </w:p>
        </w:tc>
        <w:tc>
          <w:tcPr>
            <w:tcW w:w="694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D2EE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0"/>
        </w:trPr>
        <w:tc>
          <w:tcPr>
            <w:tcW w:w="7100" w:type="dxa"/>
            <w:vAlign w:val="bottom"/>
            <w:gridSpan w:val="3"/>
            <w:shd w:val="clear" w:color="auto" w:fill="D2EEF5"/>
          </w:tcPr>
          <w:p>
            <w:pPr>
              <w:spacing w:after="0"/>
              <w:rPr>
                <w:sz w:val="20"/>
                <w:szCs w:val="20"/>
                <w:color w:val="auto"/>
              </w:rPr>
            </w:pPr>
            <w:r>
              <w:rPr>
                <w:rFonts w:ascii="Arial" w:cs="Arial" w:eastAsia="Arial" w:hAnsi="Arial"/>
                <w:sz w:val="18"/>
                <w:szCs w:val="18"/>
                <w:color w:val="auto"/>
              </w:rPr>
              <w:t>Commitments to grant loans and unfunded lines of credit</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122,578</w:t>
            </w: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85,117</w:t>
            </w:r>
          </w:p>
        </w:tc>
      </w:tr>
      <w:tr>
        <w:trPr>
          <w:trHeight w:val="240"/>
        </w:trPr>
        <w:tc>
          <w:tcPr>
            <w:tcW w:w="7100" w:type="dxa"/>
            <w:vAlign w:val="bottom"/>
            <w:tcBorders>
              <w:bottom w:val="single" w:sz="8" w:color="D2EEF5"/>
            </w:tcBorders>
            <w:gridSpan w:val="3"/>
          </w:tcPr>
          <w:p>
            <w:pPr>
              <w:spacing w:after="0"/>
              <w:rPr>
                <w:sz w:val="20"/>
                <w:szCs w:val="20"/>
                <w:color w:val="auto"/>
              </w:rPr>
            </w:pPr>
            <w:r>
              <w:rPr>
                <w:rFonts w:ascii="Arial" w:cs="Arial" w:eastAsia="Arial" w:hAnsi="Arial"/>
                <w:sz w:val="18"/>
                <w:szCs w:val="18"/>
                <w:color w:val="auto"/>
              </w:rPr>
              <w:t>Standby and commercial letters of credit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60" w:type="dxa"/>
            <w:vAlign w:val="bottom"/>
            <w:tcBorders>
              <w:bottom w:val="single" w:sz="8" w:color="D2EEF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31"/>
        </w:trPr>
        <w:tc>
          <w:tcPr>
            <w:tcW w:w="140" w:type="dxa"/>
            <w:vAlign w:val="bottom"/>
            <w:shd w:val="clear" w:color="auto" w:fill="D2EEF5"/>
          </w:tcPr>
          <w:p>
            <w:pPr>
              <w:spacing w:after="0"/>
              <w:rPr>
                <w:sz w:val="20"/>
                <w:szCs w:val="20"/>
                <w:color w:val="auto"/>
              </w:rPr>
            </w:pPr>
          </w:p>
        </w:tc>
        <w:tc>
          <w:tcPr>
            <w:tcW w:w="696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127,967</w:t>
            </w:r>
          </w:p>
        </w:tc>
        <w:tc>
          <w:tcPr>
            <w:tcW w:w="60" w:type="dxa"/>
            <w:vAlign w:val="bottom"/>
            <w:shd w:val="clear" w:color="auto" w:fill="D2EEF5"/>
          </w:tcPr>
          <w:p>
            <w:pPr>
              <w:spacing w:after="0"/>
              <w:rPr>
                <w:sz w:val="20"/>
                <w:szCs w:val="20"/>
                <w:color w:val="auto"/>
              </w:rPr>
            </w:pPr>
          </w:p>
        </w:tc>
        <w:tc>
          <w:tcPr>
            <w:tcW w:w="400" w:type="dxa"/>
            <w:vAlign w:val="bottom"/>
            <w:shd w:val="clear" w:color="auto" w:fill="D2EE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89,104</w:t>
            </w:r>
          </w:p>
        </w:tc>
      </w:tr>
      <w:tr>
        <w:trPr>
          <w:trHeight w:val="20"/>
        </w:trPr>
        <w:tc>
          <w:tcPr>
            <w:tcW w:w="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2" w:name="page113"/>
    <w:bookmarkEnd w:id="112"/>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16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hanging="540"/>
        <w:spacing w:after="0"/>
        <w:tabs>
          <w:tab w:leader="none" w:pos="5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DERIVATIVES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Rate Swaps Designated as Cash Flow Hedges</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of December 31, 2024, the Company had two interest rate swap agreements with a notional aggregate amount of $50 million that were designated as cash flow hedges of certificates of deposit. The interest rate swap agreements have an average maturity of 1.38 years, the weighted average fixed-rate paid is 3.59%, with the weighted average 3-month compound SOFR (Secured Overnight Financing Rate) being received.</w:t>
      </w:r>
    </w:p>
    <w:p>
      <w:pPr>
        <w:spacing w:after="0" w:line="17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As of December 31, 2023, the Company had two interest rate swap agreements with a notional aggregate amount of $50 million that were designated as cash flow hedges of certificates of deposit. The interest rate swap agreements have an average maturity of 2.38 years, the weighted average fixed-rate paid is 3.59%, with the weighted average 3-month compound SOFR (Secured Overnight Financing Rate) being received.</w:t>
      </w:r>
    </w:p>
    <w:p>
      <w:pPr>
        <w:spacing w:after="0" w:line="18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 Designated as Fair Value Hedges</w:t>
      </w:r>
    </w:p>
    <w:p>
      <w:pPr>
        <w:spacing w:after="0" w:line="23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During the third quarter in 2024, the Company unwound four fair value interest rate swaps with a notional aggregate amount of $200 million. The decision to unwind these swaps was driven by changes in interest rate forecasts and asset-liability management strategies. The early termination fee to unwind the fair value swaps totaled $3.7 million. The termination fees allocated to each loan category will be amortized over the remining life of the hedge loans on a monthly straight-line basis with full recognition of the unamortized cost upon the early payoff of the hedge loan. The amortization of the termination fee is reflected in the loan interest income line in the Company’s Consolidated Statement of Operations. The original maturities of these fair value interest swaps were between 2025 and 2026. The fair value interest rate swap agreements had an average maturity of 1.51 years at the date of termination.</w:t>
      </w:r>
    </w:p>
    <w:p>
      <w:pPr>
        <w:spacing w:after="0" w:line="19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of December 31, 2023, the Company had four fair value interest rate swap agreements with a notional aggregate amount of $200 million that were designated as fair value hedges on loans. The interest rate swap agreements have an average maturity of 2.23 years, the weighted average fixed-rate paid is 4.74%, with the weighted average 3-month compound SOFR being received</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changes in fair value on these interest rate swaps are recorded in other assets or other liabilities with a corresponding recognition in the assets being hedged.</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w:t>
      </w:r>
    </w:p>
    <w:p>
      <w:pPr>
        <w:spacing w:after="0" w:line="229"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The Company also enters into interest rate swaps with its loan customers. The Company had 60 and 20 interest rate swaps with loan customers with a notional aggregate amount of $206.3 million and $46.5 million at December 31, 2024 and 2023, respectively. These interest rate swaps have maturity dates of between 2025 and 2051. The Company entered into corresponding and offsetting derivatives with third parties. The fair value of liability on these derivatives requires the</w:t>
      </w:r>
    </w:p>
    <w:p>
      <w:pPr>
        <w:spacing w:after="0" w:line="200" w:lineRule="exact"/>
        <w:rPr>
          <w:sz w:val="20"/>
          <w:szCs w:val="20"/>
          <w:color w:val="auto"/>
        </w:rPr>
      </w:pPr>
    </w:p>
    <w:p>
      <w:pPr>
        <w:spacing w:after="0" w:line="26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3" w:name="page114"/>
    <w:bookmarkEnd w:id="113"/>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Company’s customer related interest rate swaps at the dates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Fair Value</w:t>
            </w:r>
          </w:p>
        </w:tc>
      </w:tr>
      <w:tr>
        <w:trPr>
          <w:trHeight w:val="278"/>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Notional</w:t>
            </w:r>
          </w:p>
        </w:tc>
        <w:tc>
          <w:tcPr>
            <w:tcW w:w="8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Collateral</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7"/>
        </w:trPr>
        <w:tc>
          <w:tcPr>
            <w:tcW w:w="428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2EE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2EEF5"/>
            </w:tcBorders>
          </w:tcPr>
          <w:p>
            <w:pPr>
              <w:spacing w:after="0"/>
              <w:rPr>
                <w:sz w:val="19"/>
                <w:szCs w:val="19"/>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Balance Sheet Location</w:t>
            </w:r>
          </w:p>
        </w:tc>
        <w:tc>
          <w:tcPr>
            <w:tcW w:w="6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Asset</w:t>
            </w:r>
          </w:p>
        </w:tc>
        <w:tc>
          <w:tcPr>
            <w:tcW w:w="80" w:type="dxa"/>
            <w:vAlign w:val="bottom"/>
            <w:tcBorders>
              <w:bottom w:val="single" w:sz="8" w:color="D2EE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Liability</w:t>
            </w:r>
          </w:p>
        </w:tc>
      </w:tr>
      <w:tr>
        <w:trPr>
          <w:trHeight w:val="220"/>
        </w:trPr>
        <w:tc>
          <w:tcPr>
            <w:tcW w:w="428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14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8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00" w:type="dxa"/>
            <w:vAlign w:val="bottom"/>
            <w:shd w:val="clear" w:color="auto" w:fill="D2EEF5"/>
          </w:tcPr>
          <w:p>
            <w:pPr>
              <w:spacing w:after="0"/>
              <w:rPr>
                <w:sz w:val="19"/>
                <w:szCs w:val="19"/>
                <w:color w:val="auto"/>
              </w:rPr>
            </w:pPr>
          </w:p>
        </w:tc>
        <w:tc>
          <w:tcPr>
            <w:tcW w:w="820" w:type="dxa"/>
            <w:vAlign w:val="bottom"/>
            <w:shd w:val="clear" w:color="auto" w:fill="D2EEF5"/>
          </w:tcPr>
          <w:p>
            <w:pPr>
              <w:spacing w:after="0"/>
              <w:rPr>
                <w:sz w:val="19"/>
                <w:szCs w:val="19"/>
                <w:color w:val="auto"/>
              </w:rPr>
            </w:pPr>
          </w:p>
        </w:tc>
      </w:tr>
      <w:tr>
        <w:trPr>
          <w:trHeight w:val="240"/>
        </w:trPr>
        <w:tc>
          <w:tcPr>
            <w:tcW w:w="4280" w:type="dxa"/>
            <w:vAlign w:val="bottom"/>
          </w:tcPr>
          <w:p>
            <w:pPr>
              <w:ind w:left="140"/>
              <w:spacing w:after="0"/>
              <w:rPr>
                <w:sz w:val="20"/>
                <w:szCs w:val="20"/>
                <w:color w:val="auto"/>
              </w:rPr>
            </w:pPr>
            <w:r>
              <w:rPr>
                <w:rFonts w:ascii="Arial" w:cs="Arial" w:eastAsia="Arial" w:hAnsi="Arial"/>
                <w:sz w:val="18"/>
                <w:szCs w:val="18"/>
                <w:color w:val="auto"/>
              </w:rPr>
              <w:t>Derivatives Designated as Cash Flow Hedges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4280" w:type="dxa"/>
            <w:vAlign w:val="bottom"/>
            <w:shd w:val="clear" w:color="auto" w:fill="D2EEF5"/>
          </w:tcPr>
          <w:p>
            <w:pPr>
              <w:ind w:left="28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D2EEF5"/>
          </w:tcPr>
          <w:p>
            <w:pPr>
              <w:ind w:left="80"/>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4280" w:type="dxa"/>
            <w:vAlign w:val="bottom"/>
            <w:shd w:val="clear" w:color="auto" w:fill="D2EEF5"/>
          </w:tcPr>
          <w:p>
            <w:pPr>
              <w:ind w:left="140"/>
              <w:spacing w:after="0"/>
              <w:rPr>
                <w:sz w:val="20"/>
                <w:szCs w:val="20"/>
                <w:color w:val="auto"/>
              </w:rPr>
            </w:pPr>
            <w:r>
              <w:rPr>
                <w:rFonts w:ascii="Arial" w:cs="Arial" w:eastAsia="Arial" w:hAnsi="Arial"/>
                <w:sz w:val="18"/>
                <w:szCs w:val="18"/>
                <w:color w:val="auto"/>
                <w:shd w:val="clear" w:color="auto" w:fill="D2EEF5"/>
              </w:rPr>
              <w:t>Derivatives not designated as hedging instruments:</w:t>
            </w: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r>
      <w:tr>
        <w:trPr>
          <w:trHeight w:val="240"/>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swaps related to customer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206,258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4,943</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Other assets/Other liabilities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6,869</w:t>
            </w:r>
          </w:p>
        </w:tc>
      </w:tr>
      <w:tr>
        <w:trPr>
          <w:trHeight w:val="240"/>
        </w:trPr>
        <w:tc>
          <w:tcPr>
            <w:tcW w:w="42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r>
      <w:tr>
        <w:trPr>
          <w:trHeight w:val="240"/>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2023:</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4280" w:type="dxa"/>
            <w:vAlign w:val="bottom"/>
            <w:shd w:val="clear" w:color="auto" w:fill="D2EEF5"/>
          </w:tcPr>
          <w:p>
            <w:pPr>
              <w:ind w:left="140"/>
              <w:spacing w:after="0"/>
              <w:rPr>
                <w:sz w:val="20"/>
                <w:szCs w:val="20"/>
                <w:color w:val="auto"/>
              </w:rPr>
            </w:pPr>
            <w:r>
              <w:rPr>
                <w:rFonts w:ascii="Arial" w:cs="Arial" w:eastAsia="Arial" w:hAnsi="Arial"/>
                <w:sz w:val="18"/>
                <w:szCs w:val="18"/>
                <w:color w:val="auto"/>
              </w:rPr>
              <w:t>Derivatives Designated as Cash Flow Hedges</w:t>
            </w: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r>
      <w:tr>
        <w:trPr>
          <w:trHeight w:val="240"/>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Other assets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2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r>
      <w:tr>
        <w:trPr>
          <w:trHeight w:val="240"/>
        </w:trPr>
        <w:tc>
          <w:tcPr>
            <w:tcW w:w="4280" w:type="dxa"/>
            <w:vAlign w:val="bottom"/>
          </w:tcPr>
          <w:p>
            <w:pPr>
              <w:ind w:left="140"/>
              <w:spacing w:after="0"/>
              <w:rPr>
                <w:sz w:val="20"/>
                <w:szCs w:val="20"/>
                <w:color w:val="auto"/>
              </w:rPr>
            </w:pPr>
            <w:r>
              <w:rPr>
                <w:rFonts w:ascii="Arial" w:cs="Arial" w:eastAsia="Arial" w:hAnsi="Arial"/>
                <w:sz w:val="18"/>
                <w:szCs w:val="18"/>
                <w:color w:val="auto"/>
              </w:rPr>
              <w:t>Derivatives Designated as Fair Value Hedges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4280" w:type="dxa"/>
            <w:vAlign w:val="bottom"/>
            <w:shd w:val="clear" w:color="auto" w:fill="D2EEF5"/>
          </w:tcPr>
          <w:p>
            <w:pPr>
              <w:ind w:left="28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D2EEF5"/>
          </w:tcPr>
          <w:p>
            <w:pPr>
              <w:ind w:left="80"/>
              <w:spacing w:after="0"/>
              <w:rPr>
                <w:sz w:val="20"/>
                <w:szCs w:val="20"/>
                <w:color w:val="auto"/>
              </w:rPr>
            </w:pPr>
            <w:r>
              <w:rPr>
                <w:rFonts w:ascii="Arial" w:cs="Arial" w:eastAsia="Arial" w:hAnsi="Arial"/>
                <w:sz w:val="18"/>
                <w:szCs w:val="18"/>
                <w:color w:val="auto"/>
              </w:rPr>
              <w:t>Other liabilities</w:t>
            </w:r>
          </w:p>
        </w:tc>
        <w:tc>
          <w:tcPr>
            <w:tcW w:w="22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3,430</w:t>
            </w:r>
          </w:p>
        </w:tc>
      </w:tr>
      <w:tr>
        <w:trPr>
          <w:trHeight w:val="240"/>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4280" w:type="dxa"/>
            <w:vAlign w:val="bottom"/>
            <w:shd w:val="clear" w:color="auto" w:fill="D2EEF5"/>
          </w:tcPr>
          <w:p>
            <w:pPr>
              <w:ind w:left="140"/>
              <w:spacing w:after="0"/>
              <w:rPr>
                <w:sz w:val="20"/>
                <w:szCs w:val="20"/>
                <w:color w:val="auto"/>
              </w:rPr>
            </w:pPr>
            <w:r>
              <w:rPr>
                <w:rFonts w:ascii="Arial" w:cs="Arial" w:eastAsia="Arial" w:hAnsi="Arial"/>
                <w:sz w:val="18"/>
                <w:szCs w:val="18"/>
                <w:color w:val="auto"/>
                <w:shd w:val="clear" w:color="auto" w:fill="D2EEF5"/>
              </w:rPr>
              <w:t>Derivatives not designated as hedging instruments:</w:t>
            </w: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2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0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r>
      <w:tr>
        <w:trPr>
          <w:trHeight w:val="260"/>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swaps related to customer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1,326</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Other assets/Other liabilities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4,558</w:t>
            </w:r>
          </w:p>
        </w:tc>
      </w:tr>
    </w:tbl>
    <w:p>
      <w:pPr>
        <w:spacing w:after="0" w:line="200" w:lineRule="exact"/>
        <w:rPr>
          <w:sz w:val="20"/>
          <w:szCs w:val="20"/>
          <w:color w:val="auto"/>
        </w:rPr>
      </w:pPr>
    </w:p>
    <w:p>
      <w:pPr>
        <w:spacing w:after="0" w:line="218" w:lineRule="exact"/>
        <w:rPr>
          <w:sz w:val="20"/>
          <w:szCs w:val="20"/>
          <w:color w:val="auto"/>
        </w:rPr>
      </w:pPr>
    </w:p>
    <w:p>
      <w:pPr>
        <w:ind w:left="540" w:hanging="540"/>
        <w:spacing w:after="0"/>
        <w:tabs>
          <w:tab w:leader="none" w:pos="54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34290</wp:posOffset>
                </wp:positionV>
                <wp:extent cx="689356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7pt" to="541.4pt,2.7pt" o:allowincell="f" strokecolor="#000000" strokeweight="1.44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Fair Value</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76"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Hierarchy</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68"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Valuation is based on quoted prices in active markets for identical assets or liabilities that the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200" w:lineRule="exact"/>
        <w:rPr>
          <w:sz w:val="20"/>
          <w:szCs w:val="20"/>
          <w:color w:val="auto"/>
        </w:rPr>
      </w:pPr>
    </w:p>
    <w:p>
      <w:pPr>
        <w:spacing w:after="0" w:line="25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4" w:name="page115"/>
    <w:bookmarkEnd w:id="114"/>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4"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Valuation is based on inputs other than quoted prices included within Level 1 that are observable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73"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Valuation is based on unobservable inputs that are supported by little or no market activity and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7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 financial instrument's categorization within the valuation hierarchy is based upon the lowest level of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Measured at Fair Value on a Recurring Basis</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b w:val="1"/>
          <w:bCs w:val="1"/>
          <w:color w:val="auto"/>
        </w:rPr>
        <w:t xml:space="preserve">Investment securities: </w:t>
      </w:r>
      <w:r>
        <w:rPr>
          <w:rFonts w:ascii="Arial" w:cs="Arial" w:eastAsia="Arial" w:hAnsi="Arial"/>
          <w:sz w:val="19"/>
          <w:szCs w:val="19"/>
          <w:color w:val="auto"/>
        </w:rPr>
        <w:t>When instruments are traded in secondary markets and quoted market prices do not exist for</w:t>
      </w:r>
      <w:r>
        <w:rPr>
          <w:rFonts w:ascii="Arial" w:cs="Arial" w:eastAsia="Arial" w:hAnsi="Arial"/>
          <w:sz w:val="19"/>
          <w:szCs w:val="19"/>
          <w:b w:val="1"/>
          <w:bCs w:val="1"/>
          <w:color w:val="auto"/>
        </w:rPr>
        <w:t xml:space="preserve"> </w:t>
      </w:r>
      <w:r>
        <w:rPr>
          <w:rFonts w:ascii="Arial" w:cs="Arial" w:eastAsia="Arial" w:hAnsi="Arial"/>
          <w:sz w:val="19"/>
          <w:szCs w:val="19"/>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6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color w:val="auto"/>
        </w:rPr>
        <w:t xml:space="preserve">Derivatives: </w:t>
      </w:r>
      <w:r>
        <w:rPr>
          <w:rFonts w:ascii="Arial" w:cs="Arial" w:eastAsia="Arial" w:hAnsi="Arial"/>
          <w:sz w:val="20"/>
          <w:szCs w:val="20"/>
          <w:color w:val="auto"/>
        </w:rPr>
        <w:t>The fair value of derivatives are measured with pricing provided by third-party participants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classified within Level 2 of the hierarchy.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represents the Company's assets and liabilities measured at fair value on a recurring basis at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2023 for each of the fair value hierarchy levels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5"/>
          </w:tcPr>
          <w:p>
            <w:pPr>
              <w:ind w:left="60"/>
              <w:spacing w:after="0"/>
              <w:rPr>
                <w:sz w:val="20"/>
                <w:szCs w:val="20"/>
                <w:color w:val="auto"/>
              </w:rPr>
            </w:pPr>
            <w:r>
              <w:rPr>
                <w:rFonts w:ascii="Arial" w:cs="Arial" w:eastAsia="Arial" w:hAnsi="Arial"/>
                <w:sz w:val="18"/>
                <w:szCs w:val="18"/>
                <w:b w:val="1"/>
                <w:bCs w:val="1"/>
                <w:color w:val="auto"/>
              </w:rPr>
              <w:t>Level 1</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3580" w:type="dxa"/>
            <w:vAlign w:val="bottom"/>
            <w:tcBorders>
              <w:top w:val="single" w:sz="8" w:color="D2EEF5"/>
            </w:tcBorders>
            <w:gridSpan w:val="2"/>
            <w:shd w:val="clear" w:color="auto" w:fill="D2EEF5"/>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Borders>
              <w:top w:val="single" w:sz="8" w:color="auto"/>
            </w:tcBorders>
            <w:shd w:val="clear" w:color="auto" w:fill="D2EEF5"/>
          </w:tcPr>
          <w:p>
            <w:pPr>
              <w:spacing w:after="0"/>
              <w:rPr>
                <w:sz w:val="18"/>
                <w:szCs w:val="18"/>
                <w:color w:val="auto"/>
              </w:rPr>
            </w:pPr>
          </w:p>
        </w:tc>
        <w:tc>
          <w:tcPr>
            <w:tcW w:w="60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88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400" w:type="dxa"/>
            <w:vAlign w:val="bottom"/>
            <w:tcBorders>
              <w:top w:val="single" w:sz="8" w:color="auto"/>
            </w:tcBorders>
            <w:shd w:val="clear" w:color="auto" w:fill="D2EEF5"/>
          </w:tcPr>
          <w:p>
            <w:pPr>
              <w:spacing w:after="0"/>
              <w:rPr>
                <w:sz w:val="18"/>
                <w:szCs w:val="18"/>
                <w:color w:val="auto"/>
              </w:rPr>
            </w:pPr>
          </w:p>
        </w:tc>
        <w:tc>
          <w:tcPr>
            <w:tcW w:w="34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84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360" w:type="dxa"/>
            <w:vAlign w:val="bottom"/>
            <w:tcBorders>
              <w:top w:val="single" w:sz="8" w:color="auto"/>
            </w:tcBorders>
            <w:shd w:val="clear" w:color="auto" w:fill="D2EEF5"/>
          </w:tcPr>
          <w:p>
            <w:pPr>
              <w:spacing w:after="0"/>
              <w:rPr>
                <w:sz w:val="18"/>
                <w:szCs w:val="18"/>
                <w:color w:val="auto"/>
              </w:rPr>
            </w:pPr>
          </w:p>
        </w:tc>
        <w:tc>
          <w:tcPr>
            <w:tcW w:w="38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60" w:type="dxa"/>
            <w:vAlign w:val="bottom"/>
            <w:tcBorders>
              <w:top w:val="single" w:sz="8" w:color="auto"/>
            </w:tcBorders>
            <w:shd w:val="clear" w:color="auto" w:fill="D2EEF5"/>
          </w:tcPr>
          <w:p>
            <w:pPr>
              <w:spacing w:after="0"/>
              <w:rPr>
                <w:sz w:val="18"/>
                <w:szCs w:val="18"/>
                <w:color w:val="auto"/>
              </w:rPr>
            </w:pPr>
          </w:p>
        </w:tc>
        <w:tc>
          <w:tcPr>
            <w:tcW w:w="86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400" w:type="dxa"/>
            <w:vAlign w:val="bottom"/>
            <w:tcBorders>
              <w:top w:val="single" w:sz="8" w:color="auto"/>
            </w:tcBorders>
            <w:shd w:val="clear" w:color="auto" w:fill="D2EEF5"/>
          </w:tcPr>
          <w:p>
            <w:pPr>
              <w:spacing w:after="0"/>
              <w:rPr>
                <w:sz w:val="18"/>
                <w:szCs w:val="18"/>
                <w:color w:val="auto"/>
              </w:rPr>
            </w:pPr>
          </w:p>
        </w:tc>
        <w:tc>
          <w:tcPr>
            <w:tcW w:w="340" w:type="dxa"/>
            <w:vAlign w:val="bottom"/>
            <w:tcBorders>
              <w:top w:val="single" w:sz="8" w:color="auto"/>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20" w:type="dxa"/>
            <w:vAlign w:val="bottom"/>
            <w:tcBorders>
              <w:top w:val="single" w:sz="8" w:color="auto"/>
            </w:tcBorders>
            <w:shd w:val="clear" w:color="auto" w:fill="D2EEF5"/>
          </w:tcPr>
          <w:p>
            <w:pPr>
              <w:spacing w:after="0"/>
              <w:rPr>
                <w:sz w:val="18"/>
                <w:szCs w:val="18"/>
                <w:color w:val="auto"/>
              </w:rPr>
            </w:pPr>
          </w:p>
        </w:tc>
        <w:tc>
          <w:tcPr>
            <w:tcW w:w="900" w:type="dxa"/>
            <w:vAlign w:val="bottom"/>
            <w:tcBorders>
              <w:top w:val="single" w:sz="8" w:color="auto"/>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U.S. Government Agency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ind w:left="4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12,625</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22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12,625</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8,173</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D2EEF5"/>
          </w:tcPr>
          <w:p>
            <w:pPr>
              <w:spacing w:after="0"/>
              <w:rPr>
                <w:sz w:val="19"/>
                <w:szCs w:val="19"/>
                <w:color w:val="auto"/>
              </w:rPr>
            </w:pPr>
          </w:p>
        </w:tc>
        <w:tc>
          <w:tcPr>
            <w:tcW w:w="600" w:type="dxa"/>
            <w:vAlign w:val="bottom"/>
            <w:shd w:val="clear" w:color="auto" w:fill="D2EEF5"/>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78,905</w:t>
            </w:r>
          </w:p>
        </w:tc>
        <w:tc>
          <w:tcPr>
            <w:tcW w:w="2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340" w:type="dxa"/>
            <w:vAlign w:val="bottom"/>
            <w:shd w:val="clear" w:color="auto" w:fill="D2EEF5"/>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78,905</w:t>
            </w:r>
          </w:p>
        </w:tc>
        <w:tc>
          <w:tcPr>
            <w:tcW w:w="20" w:type="dxa"/>
            <w:vAlign w:val="bottom"/>
            <w:shd w:val="clear" w:color="auto" w:fill="D2EEF5"/>
          </w:tcPr>
          <w:p>
            <w:pPr>
              <w:spacing w:after="0"/>
              <w:rPr>
                <w:sz w:val="19"/>
                <w:szCs w:val="19"/>
                <w:color w:val="auto"/>
              </w:rPr>
            </w:pPr>
          </w:p>
        </w:tc>
        <w:tc>
          <w:tcPr>
            <w:tcW w:w="360" w:type="dxa"/>
            <w:vAlign w:val="bottom"/>
            <w:shd w:val="clear" w:color="auto" w:fill="D2EEF5"/>
          </w:tcPr>
          <w:p>
            <w:pPr>
              <w:spacing w:after="0"/>
              <w:rPr>
                <w:sz w:val="19"/>
                <w:szCs w:val="19"/>
                <w:color w:val="auto"/>
              </w:rPr>
            </w:pPr>
          </w:p>
        </w:tc>
        <w:tc>
          <w:tcPr>
            <w:tcW w:w="380" w:type="dxa"/>
            <w:vAlign w:val="bottom"/>
            <w:shd w:val="clear" w:color="auto" w:fill="D2EEF5"/>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80,606</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340" w:type="dxa"/>
            <w:vAlign w:val="bottom"/>
            <w:shd w:val="clear" w:color="auto" w:fill="D2EEF5"/>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80,606</w:t>
            </w:r>
          </w:p>
        </w:tc>
        <w:tc>
          <w:tcPr>
            <w:tcW w:w="0" w:type="dxa"/>
            <w:vAlign w:val="bottom"/>
          </w:tcPr>
          <w:p>
            <w:pPr>
              <w:spacing w:after="0"/>
              <w:rPr>
                <w:sz w:val="1"/>
                <w:szCs w:val="1"/>
                <w:color w:val="auto"/>
              </w:rPr>
            </w:pPr>
          </w:p>
        </w:tc>
      </w:tr>
      <w:tr>
        <w:trPr>
          <w:trHeight w:val="240"/>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 - residential</w:t>
            </w:r>
          </w:p>
        </w:tc>
        <w:tc>
          <w:tcPr>
            <w:tcW w:w="120" w:type="dxa"/>
            <w:vAlign w:val="bottom"/>
          </w:tcPr>
          <w:p>
            <w:pPr>
              <w:spacing w:after="0"/>
              <w:rPr>
                <w:sz w:val="20"/>
                <w:szCs w:val="20"/>
                <w:color w:val="auto"/>
              </w:rPr>
            </w:pP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46,933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46,933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52,187</w:t>
            </w:r>
          </w:p>
        </w:tc>
        <w:tc>
          <w:tcPr>
            <w:tcW w:w="0" w:type="dxa"/>
            <w:vAlign w:val="bottom"/>
          </w:tcPr>
          <w:p>
            <w:pPr>
              <w:spacing w:after="0"/>
              <w:rPr>
                <w:sz w:val="1"/>
                <w:szCs w:val="1"/>
                <w:color w:val="auto"/>
              </w:rPr>
            </w:pPr>
          </w:p>
        </w:tc>
      </w:tr>
      <w:tr>
        <w:trPr>
          <w:trHeight w:val="240"/>
        </w:trPr>
        <w:tc>
          <w:tcPr>
            <w:tcW w:w="358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Mortgage-backed securities - commercial</w:t>
            </w:r>
          </w:p>
        </w:tc>
        <w:tc>
          <w:tcPr>
            <w:tcW w:w="120" w:type="dxa"/>
            <w:vAlign w:val="bottom"/>
            <w:shd w:val="clear" w:color="auto" w:fill="D2EEF5"/>
          </w:tcPr>
          <w:p>
            <w:pPr>
              <w:spacing w:after="0"/>
              <w:rPr>
                <w:sz w:val="20"/>
                <w:szCs w:val="20"/>
                <w:color w:val="auto"/>
              </w:rPr>
            </w:pPr>
          </w:p>
        </w:tc>
        <w:tc>
          <w:tcPr>
            <w:tcW w:w="600" w:type="dxa"/>
            <w:vAlign w:val="bottom"/>
            <w:shd w:val="clear" w:color="auto" w:fill="D2EEF5"/>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78,739</w:t>
            </w:r>
          </w:p>
        </w:tc>
        <w:tc>
          <w:tcPr>
            <w:tcW w:w="20" w:type="dxa"/>
            <w:vAlign w:val="bottom"/>
            <w:shd w:val="clear" w:color="auto" w:fill="D2EEF5"/>
          </w:tcPr>
          <w:p>
            <w:pPr>
              <w:spacing w:after="0"/>
              <w:rPr>
                <w:sz w:val="20"/>
                <w:szCs w:val="20"/>
                <w:color w:val="auto"/>
              </w:rPr>
            </w:pPr>
          </w:p>
        </w:tc>
        <w:tc>
          <w:tcPr>
            <w:tcW w:w="400" w:type="dxa"/>
            <w:vAlign w:val="bottom"/>
            <w:shd w:val="clear" w:color="auto" w:fill="D2EEF5"/>
          </w:tcPr>
          <w:p>
            <w:pPr>
              <w:spacing w:after="0"/>
              <w:rPr>
                <w:sz w:val="20"/>
                <w:szCs w:val="20"/>
                <w:color w:val="auto"/>
              </w:rPr>
            </w:pPr>
          </w:p>
        </w:tc>
        <w:tc>
          <w:tcPr>
            <w:tcW w:w="340" w:type="dxa"/>
            <w:vAlign w:val="bottom"/>
            <w:shd w:val="clear" w:color="auto" w:fill="D2EEF5"/>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78,739</w:t>
            </w:r>
          </w:p>
        </w:tc>
        <w:tc>
          <w:tcPr>
            <w:tcW w:w="20" w:type="dxa"/>
            <w:vAlign w:val="bottom"/>
            <w:shd w:val="clear" w:color="auto" w:fill="D2EEF5"/>
          </w:tcPr>
          <w:p>
            <w:pPr>
              <w:spacing w:after="0"/>
              <w:rPr>
                <w:sz w:val="20"/>
                <w:szCs w:val="20"/>
                <w:color w:val="auto"/>
              </w:rPr>
            </w:pPr>
          </w:p>
        </w:tc>
        <w:tc>
          <w:tcPr>
            <w:tcW w:w="360" w:type="dxa"/>
            <w:vAlign w:val="bottom"/>
            <w:shd w:val="clear" w:color="auto" w:fill="D2EEF5"/>
          </w:tcPr>
          <w:p>
            <w:pPr>
              <w:spacing w:after="0"/>
              <w:rPr>
                <w:sz w:val="20"/>
                <w:szCs w:val="20"/>
                <w:color w:val="auto"/>
              </w:rPr>
            </w:pPr>
          </w:p>
        </w:tc>
        <w:tc>
          <w:tcPr>
            <w:tcW w:w="380" w:type="dxa"/>
            <w:vAlign w:val="bottom"/>
            <w:shd w:val="clear" w:color="auto" w:fill="D2EEF5"/>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42,764</w:t>
            </w:r>
          </w:p>
        </w:tc>
        <w:tc>
          <w:tcPr>
            <w:tcW w:w="2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400" w:type="dxa"/>
            <w:vAlign w:val="bottom"/>
            <w:shd w:val="clear" w:color="auto" w:fill="D2EEF5"/>
          </w:tcPr>
          <w:p>
            <w:pPr>
              <w:spacing w:after="0"/>
              <w:rPr>
                <w:sz w:val="20"/>
                <w:szCs w:val="20"/>
                <w:color w:val="auto"/>
              </w:rPr>
            </w:pPr>
          </w:p>
        </w:tc>
        <w:tc>
          <w:tcPr>
            <w:tcW w:w="340" w:type="dxa"/>
            <w:vAlign w:val="bottom"/>
            <w:shd w:val="clear" w:color="auto" w:fill="D2EEF5"/>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42,764</w:t>
            </w:r>
          </w:p>
        </w:tc>
        <w:tc>
          <w:tcPr>
            <w:tcW w:w="0" w:type="dxa"/>
            <w:vAlign w:val="bottom"/>
          </w:tcPr>
          <w:p>
            <w:pPr>
              <w:spacing w:after="0"/>
              <w:rPr>
                <w:sz w:val="1"/>
                <w:szCs w:val="1"/>
                <w:color w:val="auto"/>
              </w:rPr>
            </w:pPr>
          </w:p>
        </w:tc>
      </w:tr>
      <w:tr>
        <w:trPr>
          <w:trHeight w:val="240"/>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0"/>
                <w:szCs w:val="20"/>
                <w:color w:val="auto"/>
              </w:rPr>
            </w:pP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D2EEF5"/>
            </w:tcBorders>
            <w:gridSpan w:val="2"/>
            <w:shd w:val="clear" w:color="auto" w:fill="D2EEF5"/>
          </w:tcPr>
          <w:p>
            <w:pPr>
              <w:ind w:left="140"/>
              <w:spacing w:after="0"/>
              <w:rPr>
                <w:sz w:val="20"/>
                <w:szCs w:val="20"/>
                <w:color w:val="auto"/>
              </w:rPr>
            </w:pPr>
            <w:r>
              <w:rPr>
                <w:rFonts w:ascii="Arial" w:cs="Arial" w:eastAsia="Arial" w:hAnsi="Arial"/>
                <w:sz w:val="18"/>
                <w:szCs w:val="18"/>
                <w:color w:val="auto"/>
              </w:rPr>
              <w:t>Bank subordinated debt securities</w:t>
            </w:r>
          </w:p>
        </w:tc>
        <w:tc>
          <w:tcPr>
            <w:tcW w:w="120" w:type="dxa"/>
            <w:vAlign w:val="bottom"/>
            <w:tcBorders>
              <w:bottom w:val="single" w:sz="8" w:color="auto"/>
            </w:tcBorders>
            <w:shd w:val="clear" w:color="auto" w:fill="D2EEF5"/>
          </w:tcPr>
          <w:p>
            <w:pPr>
              <w:spacing w:after="0"/>
              <w:rPr>
                <w:sz w:val="21"/>
                <w:szCs w:val="21"/>
                <w:color w:val="auto"/>
              </w:rPr>
            </w:pPr>
          </w:p>
        </w:tc>
        <w:tc>
          <w:tcPr>
            <w:tcW w:w="600" w:type="dxa"/>
            <w:vAlign w:val="bottom"/>
            <w:tcBorders>
              <w:bottom w:val="single" w:sz="8" w:color="auto"/>
            </w:tcBorders>
            <w:shd w:val="clear" w:color="auto" w:fill="D2EEF5"/>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23,708</w:t>
            </w:r>
          </w:p>
        </w:tc>
        <w:tc>
          <w:tcPr>
            <w:tcW w:w="20" w:type="dxa"/>
            <w:vAlign w:val="bottom"/>
            <w:tcBorders>
              <w:bottom w:val="single" w:sz="8" w:color="D2EEF5"/>
            </w:tcBorders>
            <w:shd w:val="clear" w:color="auto" w:fill="D2EEF5"/>
          </w:tcPr>
          <w:p>
            <w:pPr>
              <w:spacing w:after="0"/>
              <w:rPr>
                <w:sz w:val="21"/>
                <w:szCs w:val="21"/>
                <w:color w:val="auto"/>
              </w:rPr>
            </w:pPr>
          </w:p>
        </w:tc>
        <w:tc>
          <w:tcPr>
            <w:tcW w:w="400" w:type="dxa"/>
            <w:vAlign w:val="bottom"/>
            <w:tcBorders>
              <w:bottom w:val="single" w:sz="8" w:color="auto"/>
            </w:tcBorders>
            <w:shd w:val="clear" w:color="auto" w:fill="D2EEF5"/>
          </w:tcPr>
          <w:p>
            <w:pPr>
              <w:spacing w:after="0"/>
              <w:rPr>
                <w:sz w:val="21"/>
                <w:szCs w:val="21"/>
                <w:color w:val="auto"/>
              </w:rPr>
            </w:pPr>
          </w:p>
        </w:tc>
        <w:tc>
          <w:tcPr>
            <w:tcW w:w="340" w:type="dxa"/>
            <w:vAlign w:val="bottom"/>
            <w:tcBorders>
              <w:bottom w:val="single" w:sz="8" w:color="auto"/>
            </w:tcBorders>
            <w:shd w:val="clear" w:color="auto" w:fill="D2EEF5"/>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23,708</w:t>
            </w:r>
          </w:p>
        </w:tc>
        <w:tc>
          <w:tcPr>
            <w:tcW w:w="20" w:type="dxa"/>
            <w:vAlign w:val="bottom"/>
            <w:tcBorders>
              <w:bottom w:val="single" w:sz="8" w:color="D2EEF5"/>
            </w:tcBorders>
            <w:shd w:val="clear" w:color="auto" w:fill="D2EEF5"/>
          </w:tcPr>
          <w:p>
            <w:pPr>
              <w:spacing w:after="0"/>
              <w:rPr>
                <w:sz w:val="21"/>
                <w:szCs w:val="21"/>
                <w:color w:val="auto"/>
              </w:rPr>
            </w:pPr>
          </w:p>
        </w:tc>
        <w:tc>
          <w:tcPr>
            <w:tcW w:w="360" w:type="dxa"/>
            <w:vAlign w:val="bottom"/>
            <w:tcBorders>
              <w:bottom w:val="single" w:sz="8" w:color="auto"/>
            </w:tcBorders>
            <w:shd w:val="clear" w:color="auto" w:fill="D2EEF5"/>
          </w:tcPr>
          <w:p>
            <w:pPr>
              <w:spacing w:after="0"/>
              <w:rPr>
                <w:sz w:val="21"/>
                <w:szCs w:val="21"/>
                <w:color w:val="auto"/>
              </w:rPr>
            </w:pPr>
          </w:p>
        </w:tc>
        <w:tc>
          <w:tcPr>
            <w:tcW w:w="380" w:type="dxa"/>
            <w:vAlign w:val="bottom"/>
            <w:tcBorders>
              <w:bottom w:val="single" w:sz="8" w:color="auto"/>
            </w:tcBorders>
            <w:shd w:val="clear" w:color="auto" w:fill="D2EEF5"/>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60" w:type="dxa"/>
            <w:vAlign w:val="bottom"/>
            <w:tcBorders>
              <w:bottom w:val="single" w:sz="8" w:color="auto"/>
            </w:tcBorders>
            <w:shd w:val="clear" w:color="auto" w:fill="D2EEF5"/>
          </w:tcPr>
          <w:p>
            <w:pPr>
              <w:spacing w:after="0"/>
              <w:rPr>
                <w:sz w:val="21"/>
                <w:szCs w:val="21"/>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26,261</w:t>
            </w:r>
          </w:p>
        </w:tc>
        <w:tc>
          <w:tcPr>
            <w:tcW w:w="20" w:type="dxa"/>
            <w:vAlign w:val="bottom"/>
            <w:tcBorders>
              <w:bottom w:val="single" w:sz="8" w:color="D2EEF5"/>
            </w:tcBorders>
            <w:shd w:val="clear" w:color="auto" w:fill="D2EEF5"/>
          </w:tcPr>
          <w:p>
            <w:pPr>
              <w:spacing w:after="0"/>
              <w:rPr>
                <w:sz w:val="21"/>
                <w:szCs w:val="21"/>
                <w:color w:val="auto"/>
              </w:rPr>
            </w:pPr>
          </w:p>
        </w:tc>
        <w:tc>
          <w:tcPr>
            <w:tcW w:w="20" w:type="dxa"/>
            <w:vAlign w:val="bottom"/>
            <w:tcBorders>
              <w:bottom w:val="single" w:sz="8" w:color="D2EEF5"/>
            </w:tcBorders>
            <w:shd w:val="clear" w:color="auto" w:fill="D2EEF5"/>
          </w:tcPr>
          <w:p>
            <w:pPr>
              <w:spacing w:after="0"/>
              <w:rPr>
                <w:sz w:val="21"/>
                <w:szCs w:val="21"/>
                <w:color w:val="auto"/>
              </w:rPr>
            </w:pPr>
          </w:p>
        </w:tc>
        <w:tc>
          <w:tcPr>
            <w:tcW w:w="400" w:type="dxa"/>
            <w:vAlign w:val="bottom"/>
            <w:tcBorders>
              <w:bottom w:val="single" w:sz="8" w:color="auto"/>
            </w:tcBorders>
            <w:shd w:val="clear" w:color="auto" w:fill="D2EEF5"/>
          </w:tcPr>
          <w:p>
            <w:pPr>
              <w:spacing w:after="0"/>
              <w:rPr>
                <w:sz w:val="21"/>
                <w:szCs w:val="21"/>
                <w:color w:val="auto"/>
              </w:rPr>
            </w:pPr>
          </w:p>
        </w:tc>
        <w:tc>
          <w:tcPr>
            <w:tcW w:w="340" w:type="dxa"/>
            <w:vAlign w:val="bottom"/>
            <w:tcBorders>
              <w:bottom w:val="single" w:sz="8" w:color="auto"/>
            </w:tcBorders>
            <w:shd w:val="clear" w:color="auto" w:fill="D2EEF5"/>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2EEF5"/>
            </w:tcBorders>
            <w:shd w:val="clear" w:color="auto" w:fill="D2EEF5"/>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26,261</w:t>
            </w: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600" w:type="dxa"/>
            <w:vAlign w:val="bottom"/>
          </w:tcPr>
          <w:p>
            <w:pPr>
              <w:ind w:left="48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260,221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ind w:left="22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260,221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ind w:left="26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229,329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ind w:left="20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229,329</w:t>
            </w: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auto"/>
            </w:tcBorders>
            <w:shd w:val="clear" w:color="auto" w:fill="D2EEF5"/>
          </w:tcPr>
          <w:p>
            <w:pPr>
              <w:spacing w:after="0"/>
              <w:rPr>
                <w:sz w:val="19"/>
                <w:szCs w:val="19"/>
                <w:color w:val="auto"/>
              </w:rPr>
            </w:pPr>
          </w:p>
        </w:tc>
        <w:tc>
          <w:tcPr>
            <w:tcW w:w="600" w:type="dxa"/>
            <w:vAlign w:val="bottom"/>
            <w:tcBorders>
              <w:bottom w:val="single" w:sz="8" w:color="auto"/>
            </w:tcBorders>
            <w:shd w:val="clear" w:color="auto" w:fill="D2EEF5"/>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tcBorders>
              <w:bottom w:val="single" w:sz="8" w:color="auto"/>
            </w:tcBorders>
            <w:shd w:val="clear" w:color="auto" w:fill="D2EEF5"/>
          </w:tcPr>
          <w:p>
            <w:pPr>
              <w:spacing w:after="0"/>
              <w:rPr>
                <w:sz w:val="19"/>
                <w:szCs w:val="19"/>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7,190</w:t>
            </w:r>
          </w:p>
        </w:tc>
        <w:tc>
          <w:tcPr>
            <w:tcW w:w="20" w:type="dxa"/>
            <w:vAlign w:val="bottom"/>
            <w:shd w:val="clear" w:color="auto" w:fill="D2EEF5"/>
          </w:tcPr>
          <w:p>
            <w:pPr>
              <w:spacing w:after="0"/>
              <w:rPr>
                <w:sz w:val="19"/>
                <w:szCs w:val="19"/>
                <w:color w:val="auto"/>
              </w:rPr>
            </w:pPr>
          </w:p>
        </w:tc>
        <w:tc>
          <w:tcPr>
            <w:tcW w:w="400" w:type="dxa"/>
            <w:vAlign w:val="bottom"/>
            <w:tcBorders>
              <w:bottom w:val="single" w:sz="8" w:color="auto"/>
            </w:tcBorders>
            <w:shd w:val="clear" w:color="auto" w:fill="D2EEF5"/>
          </w:tcPr>
          <w:p>
            <w:pPr>
              <w:spacing w:after="0"/>
              <w:rPr>
                <w:sz w:val="19"/>
                <w:szCs w:val="19"/>
                <w:color w:val="auto"/>
              </w:rPr>
            </w:pPr>
          </w:p>
        </w:tc>
        <w:tc>
          <w:tcPr>
            <w:tcW w:w="340" w:type="dxa"/>
            <w:vAlign w:val="bottom"/>
            <w:tcBorders>
              <w:bottom w:val="single" w:sz="8" w:color="auto"/>
            </w:tcBorders>
            <w:shd w:val="clear" w:color="auto" w:fill="D2EEF5"/>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80" w:type="dxa"/>
            <w:vAlign w:val="bottom"/>
            <w:tcBorders>
              <w:bottom w:val="single" w:sz="8" w:color="auto"/>
            </w:tcBorders>
            <w:shd w:val="clear" w:color="auto" w:fill="D2EEF5"/>
          </w:tcPr>
          <w:p>
            <w:pPr>
              <w:spacing w:after="0"/>
              <w:rPr>
                <w:sz w:val="19"/>
                <w:szCs w:val="19"/>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7,190</w:t>
            </w:r>
          </w:p>
        </w:tc>
        <w:tc>
          <w:tcPr>
            <w:tcW w:w="20" w:type="dxa"/>
            <w:vAlign w:val="bottom"/>
            <w:shd w:val="clear" w:color="auto" w:fill="D2EEF5"/>
          </w:tcPr>
          <w:p>
            <w:pPr>
              <w:spacing w:after="0"/>
              <w:rPr>
                <w:sz w:val="19"/>
                <w:szCs w:val="19"/>
                <w:color w:val="auto"/>
              </w:rPr>
            </w:pPr>
          </w:p>
        </w:tc>
        <w:tc>
          <w:tcPr>
            <w:tcW w:w="360" w:type="dxa"/>
            <w:vAlign w:val="bottom"/>
            <w:tcBorders>
              <w:bottom w:val="single" w:sz="8" w:color="auto"/>
            </w:tcBorders>
            <w:shd w:val="clear" w:color="auto" w:fill="D2EEF5"/>
          </w:tcPr>
          <w:p>
            <w:pPr>
              <w:spacing w:after="0"/>
              <w:rPr>
                <w:sz w:val="19"/>
                <w:szCs w:val="19"/>
                <w:color w:val="auto"/>
              </w:rPr>
            </w:pPr>
          </w:p>
        </w:tc>
        <w:tc>
          <w:tcPr>
            <w:tcW w:w="380" w:type="dxa"/>
            <w:vAlign w:val="bottom"/>
            <w:tcBorders>
              <w:bottom w:val="single" w:sz="8" w:color="auto"/>
            </w:tcBorders>
            <w:shd w:val="clear" w:color="auto" w:fill="D2EEF5"/>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spacing w:after="0"/>
              <w:rPr>
                <w:sz w:val="19"/>
                <w:szCs w:val="19"/>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00" w:type="dxa"/>
            <w:vAlign w:val="bottom"/>
            <w:tcBorders>
              <w:bottom w:val="single" w:sz="8" w:color="auto"/>
            </w:tcBorders>
            <w:shd w:val="clear" w:color="auto" w:fill="D2EEF5"/>
          </w:tcPr>
          <w:p>
            <w:pPr>
              <w:spacing w:after="0"/>
              <w:rPr>
                <w:sz w:val="19"/>
                <w:szCs w:val="19"/>
                <w:color w:val="auto"/>
              </w:rPr>
            </w:pPr>
          </w:p>
        </w:tc>
        <w:tc>
          <w:tcPr>
            <w:tcW w:w="340" w:type="dxa"/>
            <w:vAlign w:val="bottom"/>
            <w:tcBorders>
              <w:bottom w:val="single" w:sz="8" w:color="auto"/>
            </w:tcBorders>
            <w:shd w:val="clear" w:color="auto" w:fill="D2EEF5"/>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9"/>
                <w:szCs w:val="19"/>
                <w:color w:val="auto"/>
              </w:rPr>
            </w:pPr>
          </w:p>
        </w:tc>
        <w:tc>
          <w:tcPr>
            <w:tcW w:w="120" w:type="dxa"/>
            <w:vAlign w:val="bottom"/>
            <w:tcBorders>
              <w:bottom w:val="single" w:sz="8" w:color="auto"/>
            </w:tcBorders>
            <w:shd w:val="clear" w:color="auto" w:fill="D2EEF5"/>
          </w:tcPr>
          <w:p>
            <w:pPr>
              <w:spacing w:after="0"/>
              <w:rPr>
                <w:sz w:val="19"/>
                <w:szCs w:val="19"/>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52"/>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ind w:left="4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267,411</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267,411</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234,221</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234,221</w:t>
            </w:r>
          </w:p>
        </w:tc>
        <w:tc>
          <w:tcPr>
            <w:tcW w:w="0" w:type="dxa"/>
            <w:vAlign w:val="bottom"/>
          </w:tcPr>
          <w:p>
            <w:pPr>
              <w:spacing w:after="0"/>
              <w:rPr>
                <w:sz w:val="1"/>
                <w:szCs w:val="1"/>
                <w:color w:val="auto"/>
              </w:rPr>
            </w:pPr>
          </w:p>
        </w:tc>
      </w:tr>
      <w:tr>
        <w:trPr>
          <w:trHeight w:val="20"/>
        </w:trPr>
        <w:tc>
          <w:tcPr>
            <w:tcW w:w="3580" w:type="dxa"/>
            <w:vAlign w:val="bottom"/>
            <w:tcBorders>
              <w:top w:val="single" w:sz="8" w:color="D2EEF5"/>
            </w:tcBorders>
            <w:gridSpan w:val="2"/>
            <w:vMerge w:val="restart"/>
            <w:shd w:val="clear" w:color="auto" w:fill="D2EEF5"/>
          </w:tcPr>
          <w:p>
            <w:pPr>
              <w:spacing w:after="0" w:line="200" w:lineRule="exact"/>
              <w:rPr>
                <w:sz w:val="20"/>
                <w:szCs w:val="20"/>
                <w:color w:val="auto"/>
              </w:rPr>
            </w:pPr>
            <w:r>
              <w:rPr>
                <w:rFonts w:ascii="Arial" w:cs="Arial" w:eastAsia="Arial" w:hAnsi="Arial"/>
                <w:sz w:val="18"/>
                <w:szCs w:val="18"/>
                <w:color w:val="auto"/>
              </w:rPr>
              <w:t>Derivative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shd w:val="clear" w:color="auto" w:fill="D2EEF5"/>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80" w:type="dxa"/>
            <w:vAlign w:val="bottom"/>
            <w:gridSpan w:val="2"/>
            <w:vMerge w:val="continue"/>
            <w:shd w:val="clear" w:color="auto" w:fill="D2EEF5"/>
          </w:tcPr>
          <w:p>
            <w:pPr>
              <w:spacing w:after="0"/>
              <w:rPr>
                <w:sz w:val="15"/>
                <w:szCs w:val="15"/>
                <w:color w:val="auto"/>
              </w:rPr>
            </w:pPr>
          </w:p>
        </w:tc>
        <w:tc>
          <w:tcPr>
            <w:tcW w:w="12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D2EEF5"/>
          </w:tcPr>
          <w:p>
            <w:pPr>
              <w:ind w:left="480"/>
              <w:spacing w:after="0" w:line="180" w:lineRule="exact"/>
              <w:rPr>
                <w:sz w:val="20"/>
                <w:szCs w:val="20"/>
                <w:color w:val="auto"/>
              </w:rPr>
            </w:pPr>
            <w:r>
              <w:rPr>
                <w:rFonts w:ascii="Arial" w:cs="Arial" w:eastAsia="Arial" w:hAnsi="Arial"/>
                <w:sz w:val="18"/>
                <w:szCs w:val="18"/>
                <w:color w:val="auto"/>
              </w:rPr>
              <w:t>- $</w:t>
            </w:r>
          </w:p>
        </w:tc>
        <w:tc>
          <w:tcPr>
            <w:tcW w:w="88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rPr>
              <w:t>6,869</w:t>
            </w:r>
          </w:p>
        </w:tc>
        <w:tc>
          <w:tcPr>
            <w:tcW w:w="20" w:type="dxa"/>
            <w:vAlign w:val="bottom"/>
            <w:shd w:val="clear" w:color="auto" w:fill="D2EEF5"/>
          </w:tcPr>
          <w:p>
            <w:pPr>
              <w:spacing w:after="0"/>
              <w:rPr>
                <w:sz w:val="15"/>
                <w:szCs w:val="15"/>
                <w:color w:val="auto"/>
              </w:rPr>
            </w:pPr>
          </w:p>
        </w:tc>
        <w:tc>
          <w:tcPr>
            <w:tcW w:w="400" w:type="dxa"/>
            <w:vAlign w:val="bottom"/>
            <w:shd w:val="clear" w:color="auto" w:fill="D2EEF5"/>
          </w:tcPr>
          <w:p>
            <w:pPr>
              <w:jc w:val="right"/>
              <w:ind w:right="210"/>
              <w:spacing w:after="0" w:line="180"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D2EEF5"/>
          </w:tcPr>
          <w:p>
            <w:pPr>
              <w:ind w:left="220"/>
              <w:spacing w:after="0" w:line="180"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D2EEF5"/>
          </w:tcPr>
          <w:p>
            <w:pPr>
              <w:jc w:val="right"/>
              <w:ind w:right="80"/>
              <w:spacing w:after="0" w:line="180" w:lineRule="exact"/>
              <w:rPr>
                <w:sz w:val="20"/>
                <w:szCs w:val="20"/>
                <w:color w:val="auto"/>
              </w:rPr>
            </w:pPr>
            <w:r>
              <w:rPr>
                <w:rFonts w:ascii="Arial" w:cs="Arial" w:eastAsia="Arial" w:hAnsi="Arial"/>
                <w:sz w:val="18"/>
                <w:szCs w:val="18"/>
                <w:color w:val="auto"/>
              </w:rPr>
              <w:t>$</w:t>
            </w:r>
          </w:p>
        </w:tc>
        <w:tc>
          <w:tcPr>
            <w:tcW w:w="84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rPr>
              <w:t>6,869</w:t>
            </w:r>
          </w:p>
        </w:tc>
        <w:tc>
          <w:tcPr>
            <w:tcW w:w="380" w:type="dxa"/>
            <w:vAlign w:val="bottom"/>
            <w:gridSpan w:val="2"/>
            <w:shd w:val="clear" w:color="auto" w:fill="D2EEF5"/>
          </w:tcPr>
          <w:p>
            <w:pPr>
              <w:jc w:val="right"/>
              <w:ind w:right="170"/>
              <w:spacing w:after="0" w:line="180"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D2EEF5"/>
          </w:tcPr>
          <w:p>
            <w:pPr>
              <w:ind w:left="260"/>
              <w:spacing w:after="0" w:line="180"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D2EEF5"/>
          </w:tcPr>
          <w:p>
            <w:pPr>
              <w:jc w:val="right"/>
              <w:ind w:right="60"/>
              <w:spacing w:after="0" w:line="180"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rPr>
              <w:t>7,988</w:t>
            </w:r>
          </w:p>
        </w:tc>
        <w:tc>
          <w:tcPr>
            <w:tcW w:w="440" w:type="dxa"/>
            <w:vAlign w:val="bottom"/>
            <w:gridSpan w:val="3"/>
            <w:shd w:val="clear" w:color="auto" w:fill="D2EEF5"/>
          </w:tcPr>
          <w:p>
            <w:pPr>
              <w:jc w:val="right"/>
              <w:ind w:right="210"/>
              <w:spacing w:after="0" w:line="180" w:lineRule="exact"/>
              <w:rPr>
                <w:sz w:val="20"/>
                <w:szCs w:val="20"/>
                <w:color w:val="auto"/>
              </w:rPr>
            </w:pPr>
            <w:r>
              <w:rPr>
                <w:rFonts w:ascii="Arial" w:cs="Arial" w:eastAsia="Arial" w:hAnsi="Arial"/>
                <w:sz w:val="18"/>
                <w:szCs w:val="18"/>
                <w:color w:val="auto"/>
              </w:rPr>
              <w:t>$</w:t>
            </w:r>
          </w:p>
        </w:tc>
        <w:tc>
          <w:tcPr>
            <w:tcW w:w="340" w:type="dxa"/>
            <w:vAlign w:val="bottom"/>
            <w:shd w:val="clear" w:color="auto" w:fill="D2EEF5"/>
          </w:tcPr>
          <w:p>
            <w:pPr>
              <w:ind w:left="200"/>
              <w:spacing w:after="0" w:line="180" w:lineRule="exact"/>
              <w:rPr>
                <w:sz w:val="20"/>
                <w:szCs w:val="20"/>
                <w:color w:val="auto"/>
              </w:rPr>
            </w:pPr>
            <w:r>
              <w:rPr>
                <w:rFonts w:ascii="Arial" w:cs="Arial" w:eastAsia="Arial" w:hAnsi="Arial"/>
                <w:sz w:val="18"/>
                <w:szCs w:val="18"/>
                <w:color w:val="auto"/>
              </w:rPr>
              <w:t>-</w:t>
            </w: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2EEF5"/>
          </w:tcPr>
          <w:p>
            <w:pPr>
              <w:jc w:val="right"/>
              <w:spacing w:after="0" w:line="180" w:lineRule="exact"/>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0"/>
        </w:trPr>
        <w:tc>
          <w:tcPr>
            <w:tcW w:w="3580" w:type="dxa"/>
            <w:vAlign w:val="bottom"/>
            <w:tcBorders>
              <w:top w:val="single" w:sz="8" w:color="D2EEF5"/>
            </w:tcBorders>
            <w:gridSpan w:val="2"/>
            <w:vMerge w:val="restart"/>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ind w:left="4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6,869</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22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6,869</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7,988</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2733675</wp:posOffset>
                </wp:positionH>
                <wp:positionV relativeFrom="paragraph">
                  <wp:posOffset>-1837690</wp:posOffset>
                </wp:positionV>
                <wp:extent cx="18415" cy="127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153" o:spid="_x0000_s1178" style="position:absolute;margin-left:215.25pt;margin-top:-144.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-1837690</wp:posOffset>
                </wp:positionV>
                <wp:extent cx="19685" cy="127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54" o:spid="_x0000_s1179" style="position:absolute;margin-left:306pt;margin-top:-144.6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4553585</wp:posOffset>
                </wp:positionH>
                <wp:positionV relativeFrom="paragraph">
                  <wp:posOffset>-1837690</wp:posOffset>
                </wp:positionV>
                <wp:extent cx="18415" cy="127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155" o:spid="_x0000_s1180" style="position:absolute;margin-left:358.55pt;margin-top:-144.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5038090</wp:posOffset>
                </wp:positionH>
                <wp:positionV relativeFrom="paragraph">
                  <wp:posOffset>-1837690</wp:posOffset>
                </wp:positionV>
                <wp:extent cx="19685" cy="127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2EEF5"/>
                        </a:solidFill>
                      </wps:spPr>
                      <wps:bodyPr/>
                    </wps:wsp>
                  </a:graphicData>
                </a:graphic>
              </wp:anchor>
            </w:drawing>
          </mc:Choice>
          <mc:Fallback>
            <w:pict>
              <v:rect id="Shape 156" o:spid="_x0000_s1181" style="position:absolute;margin-left:396.7pt;margin-top:-144.6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-1837690</wp:posOffset>
                </wp:positionV>
                <wp:extent cx="18415" cy="12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2EEF5"/>
                        </a:solidFill>
                      </wps:spPr>
                      <wps:bodyPr/>
                    </wps:wsp>
                  </a:graphicData>
                </a:graphic>
              </wp:anchor>
            </w:drawing>
          </mc:Choice>
          <mc:Fallback>
            <w:pict>
              <v:rect id="Shape 157" o:spid="_x0000_s1182" style="position:absolute;margin-left:449.25pt;margin-top:-144.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2733675</wp:posOffset>
                </wp:positionH>
                <wp:positionV relativeFrom="paragraph">
                  <wp:posOffset>-340995</wp:posOffset>
                </wp:positionV>
                <wp:extent cx="18415" cy="2857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28575"/>
                        </a:xfrm>
                        <a:prstGeom prst="rect">
                          <a:avLst/>
                        </a:prstGeom>
                        <a:solidFill>
                          <a:srgbClr val="D2EEF5"/>
                        </a:solidFill>
                      </wps:spPr>
                      <wps:bodyPr/>
                    </wps:wsp>
                  </a:graphicData>
                </a:graphic>
              </wp:anchor>
            </w:drawing>
          </mc:Choice>
          <mc:Fallback>
            <w:pict>
              <v:rect id="Shape 158" o:spid="_x0000_s1183" style="position:absolute;margin-left:215.25pt;margin-top:-26.8499pt;width:1.4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-340995</wp:posOffset>
                </wp:positionV>
                <wp:extent cx="19685" cy="2857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28575"/>
                        </a:xfrm>
                        <a:prstGeom prst="rect">
                          <a:avLst/>
                        </a:prstGeom>
                        <a:solidFill>
                          <a:srgbClr val="D2EEF5"/>
                        </a:solidFill>
                      </wps:spPr>
                      <wps:bodyPr/>
                    </wps:wsp>
                  </a:graphicData>
                </a:graphic>
              </wp:anchor>
            </w:drawing>
          </mc:Choice>
          <mc:Fallback>
            <w:pict>
              <v:rect id="Shape 159" o:spid="_x0000_s1184" style="position:absolute;margin-left:306pt;margin-top:-26.8499pt;width:1.5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4553585</wp:posOffset>
                </wp:positionH>
                <wp:positionV relativeFrom="paragraph">
                  <wp:posOffset>-340995</wp:posOffset>
                </wp:positionV>
                <wp:extent cx="18415" cy="2857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28575"/>
                        </a:xfrm>
                        <a:prstGeom prst="rect">
                          <a:avLst/>
                        </a:prstGeom>
                        <a:solidFill>
                          <a:srgbClr val="D2EEF5"/>
                        </a:solidFill>
                      </wps:spPr>
                      <wps:bodyPr/>
                    </wps:wsp>
                  </a:graphicData>
                </a:graphic>
              </wp:anchor>
            </w:drawing>
          </mc:Choice>
          <mc:Fallback>
            <w:pict>
              <v:rect id="Shape 160" o:spid="_x0000_s1185" style="position:absolute;margin-left:358.55pt;margin-top:-26.8499pt;width:1.4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5038090</wp:posOffset>
                </wp:positionH>
                <wp:positionV relativeFrom="paragraph">
                  <wp:posOffset>-340995</wp:posOffset>
                </wp:positionV>
                <wp:extent cx="19685" cy="2857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28575"/>
                        </a:xfrm>
                        <a:prstGeom prst="rect">
                          <a:avLst/>
                        </a:prstGeom>
                        <a:solidFill>
                          <a:srgbClr val="D2EEF5"/>
                        </a:solidFill>
                      </wps:spPr>
                      <wps:bodyPr/>
                    </wps:wsp>
                  </a:graphicData>
                </a:graphic>
              </wp:anchor>
            </w:drawing>
          </mc:Choice>
          <mc:Fallback>
            <w:pict>
              <v:rect id="Shape 161" o:spid="_x0000_s1186" style="position:absolute;margin-left:396.7pt;margin-top:-26.8499pt;width:1.5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-340995</wp:posOffset>
                </wp:positionV>
                <wp:extent cx="18415" cy="2857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28575"/>
                        </a:xfrm>
                        <a:prstGeom prst="rect">
                          <a:avLst/>
                        </a:prstGeom>
                        <a:solidFill>
                          <a:srgbClr val="D2EEF5"/>
                        </a:solidFill>
                      </wps:spPr>
                      <wps:bodyPr/>
                    </wps:wsp>
                  </a:graphicData>
                </a:graphic>
              </wp:anchor>
            </w:drawing>
          </mc:Choice>
          <mc:Fallback>
            <w:pict>
              <v:rect id="Shape 162" o:spid="_x0000_s1187" style="position:absolute;margin-left:449.25pt;margin-top:-26.8499pt;width:1.4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6191885</wp:posOffset>
                </wp:positionH>
                <wp:positionV relativeFrom="paragraph">
                  <wp:posOffset>-340995</wp:posOffset>
                </wp:positionV>
                <wp:extent cx="18415" cy="2857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28575"/>
                        </a:xfrm>
                        <a:prstGeom prst="rect">
                          <a:avLst/>
                        </a:prstGeom>
                        <a:solidFill>
                          <a:srgbClr val="D2EEF5"/>
                        </a:solidFill>
                      </wps:spPr>
                      <wps:bodyPr/>
                    </wps:wsp>
                  </a:graphicData>
                </a:graphic>
              </wp:anchor>
            </w:drawing>
          </mc:Choice>
          <mc:Fallback>
            <w:pict>
              <v:rect id="Shape 163" o:spid="_x0000_s1188" style="position:absolute;margin-left:487.55pt;margin-top:-26.8499pt;width:1.4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5" w:name="page116"/>
    <w:bookmarkEnd w:id="115"/>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Not Measured at Fair Value</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carrying amounts and estimated fair values of financial instruments not carried at fair value, at December 31, 2024 and 2023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Fair Value Hierarchy</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39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D2EE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D2EEF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20"/>
        </w:trPr>
        <w:tc>
          <w:tcPr>
            <w:tcW w:w="398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Cash and due from banks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6,986</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Investment securities held to maturity, net</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164,694</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145,540</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145,540</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Loans held for investment,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1,948,778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1,950,646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1,950,646</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10,945</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9,573</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10,945</w:t>
            </w: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Demand Deposits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575,159</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Money market and savings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Interest-bearing checking accounts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50,648</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50,648</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50,648</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367,388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366,479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366,479</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FHLB advances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163,000</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161,375</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161,375</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28"/>
        </w:trPr>
        <w:tc>
          <w:tcPr>
            <w:tcW w:w="39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8"/>
        </w:trPr>
        <w:tc>
          <w:tcPr>
            <w:tcW w:w="3980" w:type="dxa"/>
            <w:vAlign w:val="bottom"/>
            <w:shd w:val="clear" w:color="auto" w:fill="D2EEF5"/>
          </w:tcPr>
          <w:p>
            <w:pPr>
              <w:spacing w:after="0"/>
              <w:rPr>
                <w:sz w:val="20"/>
                <w:szCs w:val="20"/>
                <w:color w:val="auto"/>
              </w:rPr>
            </w:pPr>
            <w:r>
              <w:rPr>
                <w:rFonts w:ascii="Arial" w:cs="Arial" w:eastAsia="Arial" w:hAnsi="Arial"/>
                <w:sz w:val="18"/>
                <w:szCs w:val="18"/>
                <w:color w:val="auto"/>
              </w:rPr>
              <w:t>Financial Assets:</w:t>
            </w: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20" w:type="dxa"/>
            <w:vAlign w:val="bottom"/>
            <w:shd w:val="clear" w:color="auto" w:fill="D2EEF5"/>
          </w:tcPr>
          <w:p>
            <w:pPr>
              <w:spacing w:after="0"/>
              <w:rPr>
                <w:sz w:val="19"/>
                <w:szCs w:val="19"/>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8,019</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33,043</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33,043</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33,043</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Investment securities held to maturity,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174,974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155,510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155,510</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Loans held for investment, net</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1,759,743</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1,723,210</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1,723,210</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20"/>
        </w:trPr>
        <w:tc>
          <w:tcPr>
            <w:tcW w:w="39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220" w:type="dxa"/>
            <w:vAlign w:val="bottom"/>
            <w:tcBorders>
              <w:bottom w:val="single" w:sz="8" w:color="D2EEF5"/>
            </w:tcBorders>
            <w:shd w:val="clear" w:color="auto" w:fill="D2EEF5"/>
          </w:tcPr>
          <w:p>
            <w:pPr>
              <w:spacing w:after="0"/>
              <w:rPr>
                <w:sz w:val="19"/>
                <w:szCs w:val="19"/>
                <w:color w:val="auto"/>
              </w:rPr>
            </w:pPr>
          </w:p>
        </w:tc>
        <w:tc>
          <w:tcPr>
            <w:tcW w:w="108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240" w:type="dxa"/>
            <w:vAlign w:val="bottom"/>
            <w:tcBorders>
              <w:bottom w:val="single" w:sz="8" w:color="D2EEF5"/>
            </w:tcBorders>
            <w:shd w:val="clear" w:color="auto" w:fill="D2EEF5"/>
          </w:tcPr>
          <w:p>
            <w:pPr>
              <w:spacing w:after="0"/>
              <w:rPr>
                <w:sz w:val="19"/>
                <w:szCs w:val="19"/>
                <w:color w:val="auto"/>
              </w:rPr>
            </w:pPr>
          </w:p>
        </w:tc>
        <w:tc>
          <w:tcPr>
            <w:tcW w:w="1060" w:type="dxa"/>
            <w:vAlign w:val="bottom"/>
            <w:tcBorders>
              <w:bottom w:val="single" w:sz="8" w:color="D2EEF5"/>
            </w:tcBorders>
            <w:shd w:val="clear" w:color="auto" w:fill="D2EEF5"/>
          </w:tcPr>
          <w:p>
            <w:pPr>
              <w:spacing w:after="0"/>
              <w:rPr>
                <w:sz w:val="19"/>
                <w:szCs w:val="19"/>
                <w:color w:val="auto"/>
              </w:rPr>
            </w:pPr>
          </w:p>
        </w:tc>
        <w:tc>
          <w:tcPr>
            <w:tcW w:w="80" w:type="dxa"/>
            <w:vAlign w:val="bottom"/>
            <w:tcBorders>
              <w:bottom w:val="single" w:sz="8" w:color="D2EEF5"/>
            </w:tcBorders>
            <w:shd w:val="clear" w:color="auto" w:fill="D2EEF5"/>
          </w:tcPr>
          <w:p>
            <w:pPr>
              <w:spacing w:after="0"/>
              <w:rPr>
                <w:sz w:val="19"/>
                <w:szCs w:val="19"/>
                <w:color w:val="auto"/>
              </w:rPr>
            </w:pPr>
          </w:p>
        </w:tc>
        <w:tc>
          <w:tcPr>
            <w:tcW w:w="180" w:type="dxa"/>
            <w:vAlign w:val="bottom"/>
            <w:tcBorders>
              <w:bottom w:val="single" w:sz="8" w:color="D2EEF5"/>
            </w:tcBorders>
            <w:shd w:val="clear" w:color="auto" w:fill="D2EEF5"/>
          </w:tcPr>
          <w:p>
            <w:pPr>
              <w:spacing w:after="0"/>
              <w:rPr>
                <w:sz w:val="19"/>
                <w:szCs w:val="19"/>
                <w:color w:val="auto"/>
              </w:rPr>
            </w:pPr>
          </w:p>
        </w:tc>
        <w:tc>
          <w:tcPr>
            <w:tcW w:w="1120" w:type="dxa"/>
            <w:vAlign w:val="bottom"/>
            <w:tcBorders>
              <w:bottom w:val="single" w:sz="8" w:color="D2EEF5"/>
            </w:tcBorders>
            <w:shd w:val="clear" w:color="auto" w:fill="D2EEF5"/>
          </w:tcPr>
          <w:p>
            <w:pPr>
              <w:spacing w:after="0"/>
              <w:rPr>
                <w:sz w:val="19"/>
                <w:szCs w:val="19"/>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Demand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552,762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552,762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552,762</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Money market and savings accounts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1,048,272</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1,048,272</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1,048,272</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Interest-bearing checking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47,702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47,702</w:t>
            </w:r>
          </w:p>
        </w:tc>
      </w:tr>
      <w:tr>
        <w:trPr>
          <w:trHeight w:val="208"/>
        </w:trPr>
        <w:tc>
          <w:tcPr>
            <w:tcW w:w="3980" w:type="dxa"/>
            <w:vAlign w:val="bottom"/>
            <w:tcBorders>
              <w:bottom w:val="single" w:sz="8" w:color="D2EEF5"/>
            </w:tcBorders>
            <w:shd w:val="clear" w:color="auto" w:fill="D2EEF5"/>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288,403</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20" w:type="dxa"/>
            <w:vAlign w:val="bottom"/>
            <w:tcBorders>
              <w:bottom w:val="single" w:sz="8" w:color="D2EEF5"/>
            </w:tcBorders>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EF5"/>
            </w:tcBorders>
            <w:shd w:val="clear" w:color="auto" w:fill="D2EEF5"/>
          </w:tcPr>
          <w:p>
            <w:pPr>
              <w:spacing w:after="0"/>
              <w:rPr>
                <w:sz w:val="18"/>
                <w:szCs w:val="18"/>
                <w:color w:val="auto"/>
              </w:rPr>
            </w:pPr>
          </w:p>
        </w:tc>
        <w:tc>
          <w:tcPr>
            <w:tcW w:w="240" w:type="dxa"/>
            <w:vAlign w:val="bottom"/>
            <w:tcBorders>
              <w:bottom w:val="single" w:sz="8" w:color="D2EEF5"/>
            </w:tcBorders>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287,104</w:t>
            </w:r>
          </w:p>
        </w:tc>
        <w:tc>
          <w:tcPr>
            <w:tcW w:w="8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18"/>
                <w:szCs w:val="18"/>
                <w:color w:val="auto"/>
              </w:rPr>
              <w:t>287,104</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FHLB advances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182,282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182,282</w:t>
            </w:r>
          </w:p>
        </w:tc>
      </w:tr>
      <w:tr>
        <w:trPr>
          <w:trHeight w:val="206"/>
        </w:trPr>
        <w:tc>
          <w:tcPr>
            <w:tcW w:w="3980" w:type="dxa"/>
            <w:vAlign w:val="bottom"/>
            <w:shd w:val="clear" w:color="auto" w:fill="D2EEF5"/>
          </w:tcPr>
          <w:p>
            <w:pPr>
              <w:ind w:left="140"/>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EF5"/>
          </w:tcPr>
          <w:p>
            <w:pPr>
              <w:spacing w:after="0"/>
              <w:rPr>
                <w:sz w:val="17"/>
                <w:szCs w:val="17"/>
                <w:color w:val="auto"/>
              </w:rPr>
            </w:pPr>
          </w:p>
        </w:tc>
        <w:tc>
          <w:tcPr>
            <w:tcW w:w="220" w:type="dxa"/>
            <w:vAlign w:val="bottom"/>
            <w:shd w:val="clear" w:color="auto" w:fill="D2EE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D2EEF5"/>
          </w:tcPr>
          <w:p>
            <w:pPr>
              <w:spacing w:after="0"/>
              <w:rPr>
                <w:sz w:val="17"/>
                <w:szCs w:val="17"/>
                <w:color w:val="auto"/>
              </w:rPr>
            </w:pPr>
          </w:p>
        </w:tc>
        <w:tc>
          <w:tcPr>
            <w:tcW w:w="240" w:type="dxa"/>
            <w:vAlign w:val="bottom"/>
            <w:shd w:val="clear" w:color="auto" w:fill="D2EE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shd w:val="clear" w:color="auto" w:fill="D2EEF5"/>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1,372</w:t>
            </w:r>
          </w:p>
        </w:tc>
      </w:tr>
      <w:tr>
        <w:trPr>
          <w:trHeight w:val="22"/>
        </w:trPr>
        <w:tc>
          <w:tcPr>
            <w:tcW w:w="3980" w:type="dxa"/>
            <w:vAlign w:val="bottom"/>
            <w:shd w:val="clear" w:color="auto" w:fill="D2EEF5"/>
          </w:tcPr>
          <w:p>
            <w:pPr>
              <w:spacing w:after="0" w:line="20" w:lineRule="exact"/>
              <w:rPr>
                <w:sz w:val="1"/>
                <w:szCs w:val="1"/>
                <w:color w:val="auto"/>
              </w:rPr>
            </w:pPr>
          </w:p>
        </w:tc>
        <w:tc>
          <w:tcPr>
            <w:tcW w:w="180" w:type="dxa"/>
            <w:vAlign w:val="bottom"/>
            <w:shd w:val="clear" w:color="auto" w:fill="D2EEF5"/>
          </w:tcPr>
          <w:p>
            <w:pPr>
              <w:spacing w:after="0" w:line="20" w:lineRule="exact"/>
              <w:rPr>
                <w:sz w:val="1"/>
                <w:szCs w:val="1"/>
                <w:color w:val="auto"/>
              </w:rPr>
            </w:pPr>
          </w:p>
        </w:tc>
        <w:tc>
          <w:tcPr>
            <w:tcW w:w="1120" w:type="dxa"/>
            <w:vAlign w:val="bottom"/>
            <w:shd w:val="clear" w:color="auto" w:fill="D2EEF5"/>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80" w:type="dxa"/>
            <w:vAlign w:val="bottom"/>
            <w:shd w:val="clear" w:color="auto" w:fill="D2EEF5"/>
          </w:tcPr>
          <w:p>
            <w:pPr>
              <w:spacing w:after="0" w:line="20" w:lineRule="exact"/>
              <w:rPr>
                <w:sz w:val="1"/>
                <w:szCs w:val="1"/>
                <w:color w:val="auto"/>
              </w:rPr>
            </w:pPr>
          </w:p>
        </w:tc>
        <w:tc>
          <w:tcPr>
            <w:tcW w:w="1120" w:type="dxa"/>
            <w:vAlign w:val="bottom"/>
            <w:shd w:val="clear" w:color="auto" w:fill="D2EEF5"/>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220" w:type="dxa"/>
            <w:vAlign w:val="bottom"/>
            <w:shd w:val="clear" w:color="auto" w:fill="D2EEF5"/>
          </w:tcPr>
          <w:p>
            <w:pPr>
              <w:spacing w:after="0" w:line="20" w:lineRule="exact"/>
              <w:rPr>
                <w:sz w:val="1"/>
                <w:szCs w:val="1"/>
                <w:color w:val="auto"/>
              </w:rPr>
            </w:pPr>
          </w:p>
        </w:tc>
        <w:tc>
          <w:tcPr>
            <w:tcW w:w="1080" w:type="dxa"/>
            <w:vAlign w:val="bottom"/>
            <w:shd w:val="clear" w:color="auto" w:fill="D2EEF5"/>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240" w:type="dxa"/>
            <w:vAlign w:val="bottom"/>
            <w:shd w:val="clear" w:color="auto" w:fill="D2EEF5"/>
          </w:tcPr>
          <w:p>
            <w:pPr>
              <w:spacing w:after="0" w:line="20" w:lineRule="exact"/>
              <w:rPr>
                <w:sz w:val="1"/>
                <w:szCs w:val="1"/>
                <w:color w:val="auto"/>
              </w:rPr>
            </w:pPr>
          </w:p>
        </w:tc>
        <w:tc>
          <w:tcPr>
            <w:tcW w:w="1060" w:type="dxa"/>
            <w:vAlign w:val="bottom"/>
            <w:shd w:val="clear" w:color="auto" w:fill="D2EEF5"/>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80" w:type="dxa"/>
            <w:vAlign w:val="bottom"/>
            <w:shd w:val="clear" w:color="auto" w:fill="D2EEF5"/>
          </w:tcPr>
          <w:p>
            <w:pPr>
              <w:spacing w:after="0" w:line="20" w:lineRule="exact"/>
              <w:rPr>
                <w:sz w:val="1"/>
                <w:szCs w:val="1"/>
                <w:color w:val="auto"/>
              </w:rPr>
            </w:pPr>
          </w:p>
        </w:tc>
        <w:tc>
          <w:tcPr>
            <w:tcW w:w="1120" w:type="dxa"/>
            <w:vAlign w:val="bottom"/>
            <w:shd w:val="clear" w:color="auto" w:fill="D2EEF5"/>
          </w:tcPr>
          <w:p>
            <w:pPr>
              <w:spacing w:after="0" w:line="20" w:lineRule="exact"/>
              <w:rPr>
                <w:sz w:val="1"/>
                <w:szCs w:val="1"/>
                <w:color w:val="auto"/>
              </w:rPr>
            </w:pPr>
          </w:p>
        </w:tc>
      </w:tr>
    </w:tbl>
    <w:p>
      <w:pPr>
        <w:spacing w:after="0" w:line="20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 xml:space="preserve">Collateral Dependent Loans Measured for Expected Credit Losses: </w:t>
      </w:r>
      <w:r>
        <w:rPr>
          <w:rFonts w:ascii="Arial" w:cs="Arial" w:eastAsia="Arial" w:hAnsi="Arial"/>
          <w:sz w:val="20"/>
          <w:szCs w:val="20"/>
          <w:color w:val="auto"/>
        </w:rPr>
        <w:t>Fair values of collateral-dependent yacht loans</w:t>
      </w:r>
      <w:r>
        <w:rPr>
          <w:rFonts w:ascii="Arial" w:cs="Arial" w:eastAsia="Arial" w:hAnsi="Arial"/>
          <w:sz w:val="20"/>
          <w:szCs w:val="20"/>
          <w:b w:val="1"/>
          <w:bCs w:val="1"/>
          <w:color w:val="auto"/>
        </w:rPr>
        <w:t xml:space="preserve"> </w:t>
      </w:r>
      <w:r>
        <w:rPr>
          <w:rFonts w:ascii="Arial" w:cs="Arial" w:eastAsia="Arial" w:hAnsi="Arial"/>
          <w:sz w:val="20"/>
          <w:szCs w:val="20"/>
          <w:color w:val="auto"/>
        </w:rPr>
        <w:t>and real estate loans are based on recent boat and real estate appraisals less estimated costs of sale, repossession, and/or holding costs. Appraisals are made by a third party, and its evaluation may use either a comparative sales, cost and/or income approach or a combination of methodologies.</w:t>
      </w:r>
    </w:p>
    <w:p>
      <w:pPr>
        <w:spacing w:after="0" w:line="177"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The fair value of collateral dependent loans considered Level 3 in the fair value hierarchy was $2.0 million with a specific reserve of $651 thousand at December 31, 2024. There were no collateral-dependent loans at December 31, 2023.</w:t>
      </w:r>
    </w:p>
    <w:p>
      <w:pPr>
        <w:spacing w:after="0" w:line="200" w:lineRule="exact"/>
        <w:rPr>
          <w:sz w:val="20"/>
          <w:szCs w:val="20"/>
          <w:color w:val="auto"/>
        </w:rPr>
      </w:pPr>
    </w:p>
    <w:p>
      <w:pPr>
        <w:spacing w:after="0" w:line="383" w:lineRule="exact"/>
        <w:rPr>
          <w:sz w:val="20"/>
          <w:szCs w:val="20"/>
          <w:color w:val="auto"/>
        </w:rPr>
      </w:pPr>
    </w:p>
    <w:p>
      <w:pPr>
        <w:ind w:left="540" w:hanging="540"/>
        <w:spacing w:after="0"/>
        <w:tabs>
          <w:tab w:leader="none" w:pos="5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34290</wp:posOffset>
                </wp:positionV>
                <wp:extent cx="689356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7pt" to="541.4pt,2.7pt" o:allowincell="f" strokecolor="#000000" strokeweight="1.44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July 2021, the Bank completed the initial public offering of its Class A common stock, in which it issued and sold 4,600,000 shares of Class A common stock at a price of $10.00 per share. The Bank received total net proceeds of $40.0 million after deducting underwriting discounts and expenses.</w:t>
      </w:r>
    </w:p>
    <w:p>
      <w:pPr>
        <w:spacing w:after="0" w:line="17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 December 2021, the Company acquired all the issued and outstanding shares of the Class A common stock of the Bank, which at the time were the only issued and outstanding shares of the Bank’s capital stock, in a share exchange (the “Reorganization”) effected under the Florida Business Corporation Act. Each outstanding share of the Bank’s Class A</w:t>
      </w:r>
    </w:p>
    <w:p>
      <w:pPr>
        <w:spacing w:after="0" w:line="200" w:lineRule="exact"/>
        <w:rPr>
          <w:sz w:val="20"/>
          <w:szCs w:val="20"/>
          <w:color w:val="auto"/>
        </w:rPr>
      </w:pPr>
    </w:p>
    <w:p>
      <w:pPr>
        <w:spacing w:after="0" w:line="211"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6" w:name="page117"/>
    <w:bookmarkEnd w:id="116"/>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6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then current shareholders owned the same percentages of the Company’s common stock as they previously owned of the Bank’s common stock.</w:t>
      </w:r>
    </w:p>
    <w:p>
      <w:pPr>
        <w:spacing w:after="0" w:line="17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In 2024, the Company issued 277,922 shares of Class A common stock to employees and directors as restricted stock awards pursuant to the Company's 2015 Option Plan.</w:t>
      </w:r>
    </w:p>
    <w:p>
      <w:pPr>
        <w:spacing w:after="0" w:line="15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 2023, the Company issued 242,713 shares of Class A common stock to employees and directors as restricted stock awards pursuant to the Company's 2015 Option Plan.</w:t>
      </w:r>
    </w:p>
    <w:p>
      <w:pPr>
        <w:spacing w:after="0" w:line="149"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As previously announced, on April 22, 2024, the Board of Directors approved a new share repurchase program of up to 500,000 shares of Class A common stock or approximately 2.5% of the Company’s issued and outstanding shares of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The new repurchase program will commence upon completion of the Company’s current repurchase program. Repurchases under this new program will be funded from the Company’s existing cash and cash equivalents or future cash flow.</w:t>
      </w:r>
    </w:p>
    <w:p>
      <w:pPr>
        <w:spacing w:after="0" w:line="18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During the year ended December 31, 2024, the Company repurchased 42,100 shares of Class A common stock at a weighted average price per share of $11.85. The aggregate purchase price for these transactions was approximately $501 thousand, including transaction costs. As of December 31, 2024, 537,980 shares remained authorized for repurchase under the Company’s two stock repurchase programs.</w:t>
      </w:r>
    </w:p>
    <w:p>
      <w:pPr>
        <w:spacing w:after="0" w:line="17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During the year ended December 31, 2023, the Company repurchased 669,920 shares of Class A common stock at a weighted average price per share of $11.28. The aggregate purchase price for these transactions was approximately $7.6 million, including transaction costs. As of December 31, 2023, 80,080 shares remained authorized for repurchase under the Company’s first stock repurchase program.</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Shares of the Company’s Class A common stock issued and outstanding as of December 31, 2024 and December 31, 2023 were 19,924,632 and 19,575,435,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and bank holding companies from paying dividends if they deem such payment to be an unsafe or unsound practice.</w:t>
      </w:r>
    </w:p>
    <w:p>
      <w:pPr>
        <w:spacing w:after="0" w:line="186"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of December 31, 2024, the Company was not subject to any formal supervisory restrictions on its ability to pay dividends but has agreed to notify the Federal Reserve Bank of Atlanta in advance of any proposed dividend to the Company's shareholders in light of the Bank's negative retained earnings. In addition, under applicable FDIC regulations and policy, because the Bank has negative retained earnings, it must obtain the prior approval of the FDIC before effecting a cash dividend or other capital distribution.</w:t>
      </w:r>
    </w:p>
    <w:p>
      <w:pPr>
        <w:spacing w:after="0" w:line="18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On January 29, 2024, the Company announced that its Board of Directors approved a quarterly cash dividend program. The quarterly dividend for all quarters in 2024 was $0.05 per share of Class A common stock. The aggregate distribution in connection with dividend payments paid during the year ended December 31, 2024 was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7" w:name="page118"/>
    <w:bookmarkEnd w:id="117"/>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Notes to the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Declaration Date</w:t>
            </w:r>
          </w:p>
        </w:tc>
        <w:tc>
          <w:tcPr>
            <w:tcW w:w="100" w:type="dxa"/>
            <w:vAlign w:val="bottom"/>
            <w:tcBorders>
              <w:bottom w:val="single" w:sz="8" w:color="D2EEF5"/>
            </w:tcBorders>
          </w:tcPr>
          <w:p>
            <w:pPr>
              <w:spacing w:after="0"/>
              <w:rPr>
                <w:sz w:val="19"/>
                <w:szCs w:val="19"/>
                <w:color w:val="auto"/>
              </w:rPr>
            </w:pPr>
          </w:p>
        </w:tc>
        <w:tc>
          <w:tcPr>
            <w:tcW w:w="20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Borders>
              <w:bottom w:val="single" w:sz="8" w:color="D2EEF5"/>
            </w:tcBorders>
          </w:tcPr>
          <w:p>
            <w:pPr>
              <w:spacing w:after="0"/>
              <w:rPr>
                <w:sz w:val="19"/>
                <w:szCs w:val="19"/>
                <w:color w:val="auto"/>
              </w:rPr>
            </w:pPr>
          </w:p>
        </w:tc>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Borders>
              <w:bottom w:val="single" w:sz="8" w:color="D2EE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Dividend Per Share</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Dividend Amount</w:t>
            </w:r>
          </w:p>
        </w:tc>
      </w:tr>
      <w:tr>
        <w:trPr>
          <w:trHeight w:val="208"/>
        </w:trPr>
        <w:tc>
          <w:tcPr>
            <w:tcW w:w="2020" w:type="dxa"/>
            <w:vAlign w:val="bottom"/>
            <w:shd w:val="clear" w:color="auto" w:fill="D2EEF5"/>
          </w:tcPr>
          <w:p>
            <w:pPr>
              <w:ind w:left="40"/>
              <w:spacing w:after="0"/>
              <w:rPr>
                <w:sz w:val="20"/>
                <w:szCs w:val="20"/>
                <w:color w:val="auto"/>
              </w:rPr>
            </w:pPr>
            <w:r>
              <w:rPr>
                <w:rFonts w:ascii="Arial" w:cs="Arial" w:eastAsia="Arial" w:hAnsi="Arial"/>
                <w:sz w:val="18"/>
                <w:szCs w:val="18"/>
                <w:color w:val="auto"/>
              </w:rPr>
              <w:t>January 22, 2024</w:t>
            </w:r>
          </w:p>
        </w:tc>
        <w:tc>
          <w:tcPr>
            <w:tcW w:w="100" w:type="dxa"/>
            <w:vAlign w:val="bottom"/>
            <w:shd w:val="clear" w:color="auto" w:fill="D2EEF5"/>
          </w:tcPr>
          <w:p>
            <w:pPr>
              <w:spacing w:after="0"/>
              <w:rPr>
                <w:sz w:val="18"/>
                <w:szCs w:val="18"/>
                <w:color w:val="auto"/>
              </w:rPr>
            </w:pPr>
          </w:p>
        </w:tc>
        <w:tc>
          <w:tcPr>
            <w:tcW w:w="2000" w:type="dxa"/>
            <w:vAlign w:val="bottom"/>
            <w:shd w:val="clear" w:color="auto" w:fill="D2EEF5"/>
          </w:tcPr>
          <w:p>
            <w:pPr>
              <w:ind w:left="40"/>
              <w:spacing w:after="0"/>
              <w:rPr>
                <w:sz w:val="20"/>
                <w:szCs w:val="20"/>
                <w:color w:val="auto"/>
              </w:rPr>
            </w:pPr>
            <w:r>
              <w:rPr>
                <w:rFonts w:ascii="Arial" w:cs="Arial" w:eastAsia="Arial" w:hAnsi="Arial"/>
                <w:sz w:val="18"/>
                <w:szCs w:val="18"/>
                <w:color w:val="auto"/>
              </w:rPr>
              <w:t>February 15, 2024</w:t>
            </w:r>
          </w:p>
        </w:tc>
        <w:tc>
          <w:tcPr>
            <w:tcW w:w="100" w:type="dxa"/>
            <w:vAlign w:val="bottom"/>
            <w:shd w:val="clear" w:color="auto" w:fill="D2EEF5"/>
          </w:tcPr>
          <w:p>
            <w:pPr>
              <w:spacing w:after="0"/>
              <w:rPr>
                <w:sz w:val="18"/>
                <w:szCs w:val="18"/>
                <w:color w:val="auto"/>
              </w:rPr>
            </w:pPr>
          </w:p>
        </w:tc>
        <w:tc>
          <w:tcPr>
            <w:tcW w:w="2020" w:type="dxa"/>
            <w:vAlign w:val="bottom"/>
            <w:shd w:val="clear" w:color="auto" w:fill="D2EEF5"/>
          </w:tcPr>
          <w:p>
            <w:pPr>
              <w:ind w:left="100"/>
              <w:spacing w:after="0"/>
              <w:rPr>
                <w:sz w:val="20"/>
                <w:szCs w:val="20"/>
                <w:color w:val="auto"/>
              </w:rPr>
            </w:pPr>
            <w:r>
              <w:rPr>
                <w:rFonts w:ascii="Arial" w:cs="Arial" w:eastAsia="Arial" w:hAnsi="Arial"/>
                <w:sz w:val="18"/>
                <w:szCs w:val="18"/>
                <w:color w:val="auto"/>
              </w:rPr>
              <w:t>March 5, 2024</w:t>
            </w:r>
          </w:p>
        </w:tc>
        <w:tc>
          <w:tcPr>
            <w:tcW w:w="100" w:type="dxa"/>
            <w:vAlign w:val="bottom"/>
            <w:shd w:val="clear" w:color="auto" w:fill="D2EEF5"/>
          </w:tcPr>
          <w:p>
            <w:pPr>
              <w:spacing w:after="0"/>
              <w:rPr>
                <w:sz w:val="18"/>
                <w:szCs w:val="18"/>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920" w:type="dxa"/>
            <w:vAlign w:val="bottom"/>
            <w:shd w:val="clear" w:color="auto" w:fill="D2EEF5"/>
          </w:tcPr>
          <w:p>
            <w:pPr>
              <w:jc w:val="right"/>
              <w:ind w:right="69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980" w:type="dxa"/>
            <w:vAlign w:val="bottom"/>
            <w:shd w:val="clear" w:color="auto" w:fill="D2EEF5"/>
          </w:tcPr>
          <w:p>
            <w:pPr>
              <w:ind w:left="560"/>
              <w:spacing w:after="0"/>
              <w:rPr>
                <w:sz w:val="20"/>
                <w:szCs w:val="20"/>
                <w:color w:val="auto"/>
              </w:rPr>
            </w:pPr>
            <w:r>
              <w:rPr>
                <w:rFonts w:ascii="Arial" w:cs="Arial" w:eastAsia="Arial" w:hAnsi="Arial"/>
                <w:sz w:val="18"/>
                <w:szCs w:val="18"/>
                <w:color w:val="auto"/>
              </w:rPr>
              <w:t>1.0 million</w:t>
            </w:r>
          </w:p>
        </w:tc>
      </w:tr>
      <w:tr>
        <w:trPr>
          <w:trHeight w:val="228"/>
        </w:trPr>
        <w:tc>
          <w:tcPr>
            <w:tcW w:w="2020" w:type="dxa"/>
            <w:vAlign w:val="bottom"/>
          </w:tcPr>
          <w:p>
            <w:pPr>
              <w:ind w:left="40"/>
              <w:spacing w:after="0"/>
              <w:rPr>
                <w:sz w:val="20"/>
                <w:szCs w:val="20"/>
                <w:color w:val="auto"/>
              </w:rPr>
            </w:pPr>
            <w:r>
              <w:rPr>
                <w:rFonts w:ascii="Arial" w:cs="Arial" w:eastAsia="Arial" w:hAnsi="Arial"/>
                <w:sz w:val="18"/>
                <w:szCs w:val="18"/>
                <w:color w:val="auto"/>
              </w:rPr>
              <w:t>April 22, 2024</w:t>
            </w:r>
          </w:p>
        </w:tc>
        <w:tc>
          <w:tcPr>
            <w:tcW w:w="100" w:type="dxa"/>
            <w:vAlign w:val="bottom"/>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May 15, 2024</w:t>
            </w:r>
          </w:p>
        </w:tc>
        <w:tc>
          <w:tcPr>
            <w:tcW w:w="100" w:type="dxa"/>
            <w:vAlign w:val="bottom"/>
          </w:tcPr>
          <w:p>
            <w:pPr>
              <w:spacing w:after="0"/>
              <w:rPr>
                <w:sz w:val="19"/>
                <w:szCs w:val="19"/>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June 5, 2024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90"/>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ind w:left="560"/>
              <w:spacing w:after="0"/>
              <w:rPr>
                <w:sz w:val="20"/>
                <w:szCs w:val="20"/>
                <w:color w:val="auto"/>
              </w:rPr>
            </w:pPr>
            <w:r>
              <w:rPr>
                <w:rFonts w:ascii="Arial" w:cs="Arial" w:eastAsia="Arial" w:hAnsi="Arial"/>
                <w:sz w:val="18"/>
                <w:szCs w:val="18"/>
                <w:color w:val="auto"/>
              </w:rPr>
              <w:t>1.0 million</w:t>
            </w:r>
          </w:p>
        </w:tc>
      </w:tr>
      <w:tr>
        <w:trPr>
          <w:trHeight w:val="228"/>
        </w:trPr>
        <w:tc>
          <w:tcPr>
            <w:tcW w:w="2020" w:type="dxa"/>
            <w:vAlign w:val="bottom"/>
            <w:shd w:val="clear" w:color="auto" w:fill="D2EEF5"/>
          </w:tcPr>
          <w:p>
            <w:pPr>
              <w:ind w:left="40"/>
              <w:spacing w:after="0"/>
              <w:rPr>
                <w:sz w:val="20"/>
                <w:szCs w:val="20"/>
                <w:color w:val="auto"/>
              </w:rPr>
            </w:pPr>
            <w:r>
              <w:rPr>
                <w:rFonts w:ascii="Arial" w:cs="Arial" w:eastAsia="Arial" w:hAnsi="Arial"/>
                <w:sz w:val="18"/>
                <w:szCs w:val="18"/>
                <w:color w:val="auto"/>
              </w:rPr>
              <w:t>July 22, 2024</w:t>
            </w:r>
          </w:p>
        </w:tc>
        <w:tc>
          <w:tcPr>
            <w:tcW w:w="100" w:type="dxa"/>
            <w:vAlign w:val="bottom"/>
            <w:shd w:val="clear" w:color="auto" w:fill="D2EEF5"/>
          </w:tcPr>
          <w:p>
            <w:pPr>
              <w:spacing w:after="0"/>
              <w:rPr>
                <w:sz w:val="19"/>
                <w:szCs w:val="19"/>
                <w:color w:val="auto"/>
              </w:rPr>
            </w:pPr>
          </w:p>
        </w:tc>
        <w:tc>
          <w:tcPr>
            <w:tcW w:w="2000" w:type="dxa"/>
            <w:vAlign w:val="bottom"/>
            <w:shd w:val="clear" w:color="auto" w:fill="D2EEF5"/>
          </w:tcPr>
          <w:p>
            <w:pPr>
              <w:ind w:left="40"/>
              <w:spacing w:after="0"/>
              <w:rPr>
                <w:sz w:val="20"/>
                <w:szCs w:val="20"/>
                <w:color w:val="auto"/>
              </w:rPr>
            </w:pPr>
            <w:r>
              <w:rPr>
                <w:rFonts w:ascii="Arial" w:cs="Arial" w:eastAsia="Arial" w:hAnsi="Arial"/>
                <w:sz w:val="18"/>
                <w:szCs w:val="18"/>
                <w:color w:val="auto"/>
              </w:rPr>
              <w:t>August 15, 2024</w:t>
            </w:r>
          </w:p>
        </w:tc>
        <w:tc>
          <w:tcPr>
            <w:tcW w:w="100" w:type="dxa"/>
            <w:vAlign w:val="bottom"/>
            <w:shd w:val="clear" w:color="auto" w:fill="D2EEF5"/>
          </w:tcPr>
          <w:p>
            <w:pPr>
              <w:spacing w:after="0"/>
              <w:rPr>
                <w:sz w:val="19"/>
                <w:szCs w:val="19"/>
                <w:color w:val="auto"/>
              </w:rPr>
            </w:pPr>
          </w:p>
        </w:tc>
        <w:tc>
          <w:tcPr>
            <w:tcW w:w="2020" w:type="dxa"/>
            <w:vAlign w:val="bottom"/>
            <w:shd w:val="clear" w:color="auto" w:fill="D2EEF5"/>
          </w:tcPr>
          <w:p>
            <w:pPr>
              <w:ind w:left="100"/>
              <w:spacing w:after="0"/>
              <w:rPr>
                <w:sz w:val="20"/>
                <w:szCs w:val="20"/>
                <w:color w:val="auto"/>
              </w:rPr>
            </w:pPr>
            <w:r>
              <w:rPr>
                <w:rFonts w:ascii="Arial" w:cs="Arial" w:eastAsia="Arial" w:hAnsi="Arial"/>
                <w:sz w:val="18"/>
                <w:szCs w:val="18"/>
                <w:color w:val="auto"/>
              </w:rPr>
              <w:t>September 5, 2024</w:t>
            </w:r>
          </w:p>
        </w:tc>
        <w:tc>
          <w:tcPr>
            <w:tcW w:w="100" w:type="dxa"/>
            <w:vAlign w:val="bottom"/>
            <w:shd w:val="clear" w:color="auto" w:fill="D2EEF5"/>
          </w:tcPr>
          <w:p>
            <w:pPr>
              <w:spacing w:after="0"/>
              <w:rPr>
                <w:sz w:val="19"/>
                <w:szCs w:val="19"/>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920" w:type="dxa"/>
            <w:vAlign w:val="bottom"/>
            <w:shd w:val="clear" w:color="auto" w:fill="D2EEF5"/>
          </w:tcPr>
          <w:p>
            <w:pPr>
              <w:jc w:val="right"/>
              <w:ind w:right="69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shd w:val="clear" w:color="auto" w:fill="D2EEF5"/>
              </w:rPr>
              <w:t>$</w:t>
            </w:r>
          </w:p>
        </w:tc>
        <w:tc>
          <w:tcPr>
            <w:tcW w:w="1980" w:type="dxa"/>
            <w:vAlign w:val="bottom"/>
            <w:shd w:val="clear" w:color="auto" w:fill="D2EEF5"/>
          </w:tcPr>
          <w:p>
            <w:pPr>
              <w:ind w:left="560"/>
              <w:spacing w:after="0"/>
              <w:rPr>
                <w:sz w:val="20"/>
                <w:szCs w:val="20"/>
                <w:color w:val="auto"/>
              </w:rPr>
            </w:pPr>
            <w:r>
              <w:rPr>
                <w:rFonts w:ascii="Arial" w:cs="Arial" w:eastAsia="Arial" w:hAnsi="Arial"/>
                <w:sz w:val="18"/>
                <w:szCs w:val="18"/>
                <w:color w:val="auto"/>
              </w:rPr>
              <w:t>1.0 million</w:t>
            </w:r>
          </w:p>
        </w:tc>
      </w:tr>
      <w:tr>
        <w:trPr>
          <w:trHeight w:val="248"/>
        </w:trPr>
        <w:tc>
          <w:tcPr>
            <w:tcW w:w="2020" w:type="dxa"/>
            <w:vAlign w:val="bottom"/>
          </w:tcPr>
          <w:p>
            <w:pPr>
              <w:ind w:left="40"/>
              <w:spacing w:after="0"/>
              <w:rPr>
                <w:sz w:val="20"/>
                <w:szCs w:val="20"/>
                <w:color w:val="auto"/>
              </w:rPr>
            </w:pPr>
            <w:r>
              <w:rPr>
                <w:rFonts w:ascii="Arial" w:cs="Arial" w:eastAsia="Arial" w:hAnsi="Arial"/>
                <w:sz w:val="18"/>
                <w:szCs w:val="18"/>
                <w:color w:val="auto"/>
              </w:rPr>
              <w:t>October 28, 2024</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November 15, 2024</w:t>
            </w:r>
          </w:p>
        </w:tc>
        <w:tc>
          <w:tcPr>
            <w:tcW w:w="100" w:type="dxa"/>
            <w:vAlign w:val="bottom"/>
          </w:tcPr>
          <w:p>
            <w:pPr>
              <w:spacing w:after="0"/>
              <w:rPr>
                <w:sz w:val="21"/>
                <w:szCs w:val="21"/>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December 5, 2024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90"/>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ind w:left="560"/>
              <w:spacing w:after="0"/>
              <w:rPr>
                <w:sz w:val="20"/>
                <w:szCs w:val="20"/>
                <w:color w:val="auto"/>
              </w:rPr>
            </w:pPr>
            <w:r>
              <w:rPr>
                <w:rFonts w:ascii="Arial" w:cs="Arial" w:eastAsia="Arial" w:hAnsi="Arial"/>
                <w:sz w:val="18"/>
                <w:szCs w:val="18"/>
                <w:color w:val="auto"/>
              </w:rPr>
              <w:t>0.9 million</w:t>
            </w:r>
          </w:p>
        </w:tc>
      </w:tr>
    </w:tbl>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20, “Subsequent Events”, for information regarding dividends declared in January 2025.</w:t>
      </w:r>
    </w:p>
    <w:p>
      <w:pPr>
        <w:spacing w:after="0" w:line="231" w:lineRule="exact"/>
        <w:rPr>
          <w:sz w:val="20"/>
          <w:szCs w:val="20"/>
          <w:color w:val="auto"/>
        </w:rPr>
      </w:pPr>
    </w:p>
    <w:p>
      <w:pPr>
        <w:jc w:val="both"/>
        <w:ind w:right="100" w:firstLine="360"/>
        <w:spacing w:after="0" w:line="260" w:lineRule="auto"/>
        <w:rPr>
          <w:sz w:val="20"/>
          <w:szCs w:val="20"/>
          <w:color w:val="auto"/>
        </w:rPr>
      </w:pPr>
      <w:r>
        <w:rPr>
          <w:rFonts w:ascii="Arial" w:cs="Arial" w:eastAsia="Arial" w:hAnsi="Arial"/>
          <w:sz w:val="20"/>
          <w:szCs w:val="20"/>
          <w:color w:val="auto"/>
        </w:rPr>
        <w:t>The Company and the Bank exceeded all regulatory capital requirements and remained above “well-capitalized” guidelines as of December 31, 2024 and December 31, 2023. At December 31, 2024, the total risk-based capital ratios for the Company and the Bank were 13.51% and 13.34%, respectively.</w:t>
      </w:r>
    </w:p>
    <w:p>
      <w:pPr>
        <w:spacing w:after="0" w:line="168" w:lineRule="exact"/>
        <w:rPr>
          <w:sz w:val="20"/>
          <w:szCs w:val="20"/>
          <w:color w:val="auto"/>
        </w:rPr>
      </w:pPr>
    </w:p>
    <w:p>
      <w:pPr>
        <w:ind w:left="540" w:hanging="540"/>
        <w:spacing w:after="0"/>
        <w:tabs>
          <w:tab w:leader="none" w:pos="5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3" w:lineRule="exact"/>
        <w:rPr>
          <w:sz w:val="20"/>
          <w:szCs w:val="20"/>
          <w:color w:val="auto"/>
        </w:rPr>
      </w:pPr>
    </w:p>
    <w:p>
      <w:pPr>
        <w:jc w:val="both"/>
        <w:ind w:right="100" w:firstLine="360"/>
        <w:spacing w:after="0" w:line="262" w:lineRule="auto"/>
        <w:rPr>
          <w:sz w:val="20"/>
          <w:szCs w:val="20"/>
          <w:color w:val="auto"/>
        </w:rPr>
      </w:pPr>
      <w:r>
        <w:rPr>
          <w:rFonts w:ascii="Arial" w:cs="Arial" w:eastAsia="Arial" w:hAnsi="Arial"/>
          <w:sz w:val="19"/>
          <w:szCs w:val="19"/>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calculation of net income available to common stockholders for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Borders>
              <w:bottom w:val="single" w:sz="8" w:color="D2EEF5"/>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r>
      <w:tr>
        <w:trPr>
          <w:trHeight w:val="220"/>
        </w:trPr>
        <w:tc>
          <w:tcPr>
            <w:tcW w:w="6760" w:type="dxa"/>
            <w:vAlign w:val="bottom"/>
            <w:shd w:val="clear" w:color="auto" w:fill="D2EEF5"/>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shd w:val="clear" w:color="auto" w:fill="D2EEF5"/>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D2EEF5"/>
          </w:tcPr>
          <w:p>
            <w:pPr>
              <w:ind w:left="100"/>
              <w:spacing w:after="0"/>
              <w:rPr>
                <w:sz w:val="20"/>
                <w:szCs w:val="20"/>
                <w:color w:val="auto"/>
              </w:rPr>
            </w:pPr>
            <w:r>
              <w:rPr>
                <w:rFonts w:ascii="Arial" w:cs="Arial" w:eastAsia="Arial" w:hAnsi="Arial"/>
                <w:sz w:val="18"/>
                <w:szCs w:val="18"/>
                <w:color w:val="auto"/>
              </w:rPr>
              <w:t>24,674</w:t>
            </w: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440" w:type="dxa"/>
            <w:vAlign w:val="bottom"/>
            <w:tcBorders>
              <w:bottom w:val="single" w:sz="8" w:color="auto"/>
            </w:tcBorders>
            <w:shd w:val="clear" w:color="auto" w:fill="D2EEF5"/>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16,545</w:t>
            </w:r>
          </w:p>
        </w:tc>
      </w:tr>
      <w:tr>
        <w:trPr>
          <w:trHeight w:val="237"/>
        </w:trPr>
        <w:tc>
          <w:tcPr>
            <w:tcW w:w="6760" w:type="dxa"/>
            <w:vAlign w:val="bottom"/>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100"/>
              <w:spacing w:after="0"/>
              <w:rPr>
                <w:sz w:val="20"/>
                <w:szCs w:val="20"/>
                <w:color w:val="auto"/>
              </w:rPr>
            </w:pPr>
            <w:r>
              <w:rPr>
                <w:rFonts w:ascii="Arial" w:cs="Arial" w:eastAsia="Arial" w:hAnsi="Arial"/>
                <w:sz w:val="18"/>
                <w:szCs w:val="18"/>
                <w:color w:val="auto"/>
              </w:rPr>
              <w:t>24,674</w:t>
            </w: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0"/>
        </w:trPr>
        <w:tc>
          <w:tcPr>
            <w:tcW w:w="67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calculation of basic and diluted earnings per common share class for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2023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7"/>
        </w:trPr>
        <w:tc>
          <w:tcPr>
            <w:tcW w:w="140" w:type="dxa"/>
            <w:vAlign w:val="bottom"/>
            <w:tcBorders>
              <w:bottom w:val="single" w:sz="8" w:color="D2EEF5"/>
            </w:tcBorders>
          </w:tcPr>
          <w:p>
            <w:pPr>
              <w:spacing w:after="0"/>
              <w:rPr>
                <w:sz w:val="19"/>
                <w:szCs w:val="19"/>
                <w:color w:val="auto"/>
              </w:rPr>
            </w:pPr>
          </w:p>
        </w:tc>
        <w:tc>
          <w:tcPr>
            <w:tcW w:w="6600" w:type="dxa"/>
            <w:vAlign w:val="bottom"/>
            <w:tcBorders>
              <w:bottom w:val="single" w:sz="8" w:color="D2EEF5"/>
            </w:tcBorders>
          </w:tcPr>
          <w:p>
            <w:pPr>
              <w:spacing w:after="0"/>
              <w:rPr>
                <w:sz w:val="19"/>
                <w:szCs w:val="19"/>
                <w:color w:val="auto"/>
              </w:rPr>
            </w:pPr>
          </w:p>
        </w:tc>
        <w:tc>
          <w:tcPr>
            <w:tcW w:w="146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Class A</w:t>
            </w:r>
          </w:p>
        </w:tc>
        <w:tc>
          <w:tcPr>
            <w:tcW w:w="8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Class A</w:t>
            </w:r>
          </w:p>
        </w:tc>
      </w:tr>
      <w:tr>
        <w:trPr>
          <w:trHeight w:val="213"/>
        </w:trPr>
        <w:tc>
          <w:tcPr>
            <w:tcW w:w="674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Basic EPS</w:t>
            </w:r>
          </w:p>
        </w:tc>
        <w:tc>
          <w:tcPr>
            <w:tcW w:w="14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120" w:type="dxa"/>
            <w:vAlign w:val="bottom"/>
            <w:shd w:val="clear" w:color="auto" w:fill="D2EEF5"/>
          </w:tcPr>
          <w:p>
            <w:pPr>
              <w:spacing w:after="0"/>
              <w:rPr>
                <w:sz w:val="18"/>
                <w:szCs w:val="18"/>
                <w:color w:val="auto"/>
              </w:rPr>
            </w:pPr>
          </w:p>
        </w:tc>
        <w:tc>
          <w:tcPr>
            <w:tcW w:w="8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140" w:type="dxa"/>
            <w:vAlign w:val="bottom"/>
            <w:shd w:val="clear" w:color="auto" w:fill="D2EEF5"/>
          </w:tcPr>
          <w:p>
            <w:pPr>
              <w:spacing w:after="0"/>
              <w:rPr>
                <w:sz w:val="18"/>
                <w:szCs w:val="18"/>
                <w:color w:val="auto"/>
              </w:rPr>
            </w:pPr>
          </w:p>
        </w:tc>
      </w:tr>
      <w:tr>
        <w:trPr>
          <w:trHeight w:val="240"/>
        </w:trPr>
        <w:tc>
          <w:tcPr>
            <w:tcW w:w="6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140" w:type="dxa"/>
            <w:vAlign w:val="bottom"/>
            <w:shd w:val="clear" w:color="auto" w:fill="D2EEF5"/>
          </w:tcPr>
          <w:p>
            <w:pPr>
              <w:spacing w:after="0"/>
              <w:rPr>
                <w:sz w:val="20"/>
                <w:szCs w:val="20"/>
                <w:color w:val="auto"/>
              </w:rPr>
            </w:pPr>
          </w:p>
        </w:tc>
        <w:tc>
          <w:tcPr>
            <w:tcW w:w="6600" w:type="dxa"/>
            <w:vAlign w:val="bottom"/>
            <w:shd w:val="clear" w:color="auto" w:fill="D2EEF5"/>
          </w:tcPr>
          <w:p>
            <w:pPr>
              <w:spacing w:after="0"/>
              <w:rPr>
                <w:sz w:val="20"/>
                <w:szCs w:val="20"/>
                <w:color w:val="auto"/>
              </w:rPr>
            </w:pPr>
            <w:r>
              <w:rPr>
                <w:rFonts w:ascii="Arial" w:cs="Arial" w:eastAsia="Arial" w:hAnsi="Arial"/>
                <w:sz w:val="18"/>
                <w:szCs w:val="18"/>
                <w:color w:val="auto"/>
              </w:rPr>
              <w:t>Net income available to common shares</w:t>
            </w:r>
          </w:p>
        </w:tc>
        <w:tc>
          <w:tcPr>
            <w:tcW w:w="146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24,674</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16,545</w:t>
            </w:r>
          </w:p>
        </w:tc>
      </w:tr>
      <w:tr>
        <w:trPr>
          <w:trHeight w:val="240"/>
        </w:trPr>
        <w:tc>
          <w:tcPr>
            <w:tcW w:w="6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140" w:type="dxa"/>
            <w:vAlign w:val="bottom"/>
            <w:tcBorders>
              <w:bottom w:val="single" w:sz="8" w:color="D2EEF5"/>
            </w:tcBorders>
            <w:shd w:val="clear" w:color="auto" w:fill="D2EEF5"/>
          </w:tcPr>
          <w:p>
            <w:pPr>
              <w:spacing w:after="0"/>
              <w:rPr>
                <w:sz w:val="21"/>
                <w:szCs w:val="21"/>
                <w:color w:val="auto"/>
              </w:rPr>
            </w:pPr>
          </w:p>
        </w:tc>
        <w:tc>
          <w:tcPr>
            <w:tcW w:w="660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19,675,444</w:t>
            </w:r>
          </w:p>
        </w:tc>
        <w:tc>
          <w:tcPr>
            <w:tcW w:w="80" w:type="dxa"/>
            <w:vAlign w:val="bottom"/>
            <w:tcBorders>
              <w:bottom w:val="single" w:sz="8" w:color="D2EEF5"/>
            </w:tcBorders>
            <w:shd w:val="clear" w:color="auto" w:fill="D2EEF5"/>
          </w:tcPr>
          <w:p>
            <w:pPr>
              <w:spacing w:after="0"/>
              <w:rPr>
                <w:sz w:val="21"/>
                <w:szCs w:val="21"/>
                <w:color w:val="auto"/>
              </w:rPr>
            </w:pPr>
          </w:p>
        </w:tc>
        <w:tc>
          <w:tcPr>
            <w:tcW w:w="180" w:type="dxa"/>
            <w:vAlign w:val="bottom"/>
            <w:tcBorders>
              <w:bottom w:val="single" w:sz="8" w:color="auto"/>
            </w:tcBorders>
            <w:shd w:val="clear" w:color="auto" w:fill="D2EEF5"/>
          </w:tcPr>
          <w:p>
            <w:pPr>
              <w:spacing w:after="0"/>
              <w:rPr>
                <w:sz w:val="21"/>
                <w:szCs w:val="21"/>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19,621,698</w:t>
            </w:r>
          </w:p>
        </w:tc>
      </w:tr>
      <w:tr>
        <w:trPr>
          <w:trHeight w:val="26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 basic</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194"/>
        </w:trPr>
        <w:tc>
          <w:tcPr>
            <w:tcW w:w="140" w:type="dxa"/>
            <w:vAlign w:val="bottom"/>
            <w:tcBorders>
              <w:top w:val="single" w:sz="8" w:color="D2EEF5"/>
            </w:tcBorders>
            <w:shd w:val="clear" w:color="auto" w:fill="D2EEF5"/>
          </w:tcPr>
          <w:p>
            <w:pPr>
              <w:spacing w:after="0"/>
              <w:rPr>
                <w:sz w:val="16"/>
                <w:szCs w:val="16"/>
                <w:color w:val="auto"/>
              </w:rPr>
            </w:pPr>
          </w:p>
        </w:tc>
        <w:tc>
          <w:tcPr>
            <w:tcW w:w="6600" w:type="dxa"/>
            <w:vAlign w:val="bottom"/>
            <w:tcBorders>
              <w:top w:val="single" w:sz="8" w:color="D2EEF5"/>
            </w:tcBorders>
            <w:shd w:val="clear" w:color="auto" w:fill="D2EEF5"/>
          </w:tcPr>
          <w:p>
            <w:pPr>
              <w:spacing w:after="0"/>
              <w:rPr>
                <w:sz w:val="16"/>
                <w:szCs w:val="16"/>
                <w:color w:val="auto"/>
              </w:rPr>
            </w:pPr>
          </w:p>
        </w:tc>
        <w:tc>
          <w:tcPr>
            <w:tcW w:w="146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120" w:type="dxa"/>
            <w:vAlign w:val="bottom"/>
            <w:tcBorders>
              <w:top w:val="single" w:sz="8" w:color="auto"/>
            </w:tcBorders>
            <w:shd w:val="clear" w:color="auto" w:fill="D2EEF5"/>
          </w:tcPr>
          <w:p>
            <w:pPr>
              <w:spacing w:after="0"/>
              <w:rPr>
                <w:sz w:val="16"/>
                <w:szCs w:val="16"/>
                <w:color w:val="auto"/>
              </w:rPr>
            </w:pPr>
          </w:p>
        </w:tc>
        <w:tc>
          <w:tcPr>
            <w:tcW w:w="80" w:type="dxa"/>
            <w:vAlign w:val="bottom"/>
            <w:tcBorders>
              <w:top w:val="single" w:sz="8" w:color="D2EEF5"/>
            </w:tcBorders>
            <w:shd w:val="clear" w:color="auto" w:fill="D2EEF5"/>
          </w:tcPr>
          <w:p>
            <w:pPr>
              <w:spacing w:after="0"/>
              <w:rPr>
                <w:sz w:val="16"/>
                <w:szCs w:val="16"/>
                <w:color w:val="auto"/>
              </w:rPr>
            </w:pPr>
          </w:p>
        </w:tc>
        <w:tc>
          <w:tcPr>
            <w:tcW w:w="180" w:type="dxa"/>
            <w:vAlign w:val="bottom"/>
            <w:tcBorders>
              <w:top w:val="single" w:sz="8" w:color="auto"/>
            </w:tcBorders>
            <w:shd w:val="clear" w:color="auto" w:fill="D2EEF5"/>
          </w:tcPr>
          <w:p>
            <w:pPr>
              <w:spacing w:after="0"/>
              <w:rPr>
                <w:sz w:val="16"/>
                <w:szCs w:val="16"/>
                <w:color w:val="auto"/>
              </w:rPr>
            </w:pPr>
          </w:p>
        </w:tc>
        <w:tc>
          <w:tcPr>
            <w:tcW w:w="1140" w:type="dxa"/>
            <w:vAlign w:val="bottom"/>
            <w:tcBorders>
              <w:top w:val="single" w:sz="8" w:color="auto"/>
            </w:tcBorders>
            <w:shd w:val="clear" w:color="auto" w:fill="D2EEF5"/>
          </w:tcPr>
          <w:p>
            <w:pPr>
              <w:spacing w:after="0"/>
              <w:rPr>
                <w:sz w:val="16"/>
                <w:szCs w:val="16"/>
                <w:color w:val="auto"/>
              </w:rPr>
            </w:pPr>
          </w:p>
        </w:tc>
      </w:tr>
      <w:tr>
        <w:trPr>
          <w:trHeight w:val="254"/>
        </w:trPr>
        <w:tc>
          <w:tcPr>
            <w:tcW w:w="674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b w:val="1"/>
                <w:bCs w:val="1"/>
                <w:color w:val="auto"/>
              </w:rPr>
              <w:t>Diluted EPS</w:t>
            </w:r>
          </w:p>
        </w:tc>
        <w:tc>
          <w:tcPr>
            <w:tcW w:w="1460" w:type="dxa"/>
            <w:vAlign w:val="bottom"/>
            <w:tcBorders>
              <w:bottom w:val="single" w:sz="8" w:color="D2EEF5"/>
            </w:tcBorders>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120" w:type="dxa"/>
            <w:vAlign w:val="bottom"/>
            <w:tcBorders>
              <w:bottom w:val="single" w:sz="8" w:color="D2EEF5"/>
            </w:tcBorders>
          </w:tcPr>
          <w:p>
            <w:pPr>
              <w:spacing w:after="0"/>
              <w:rPr>
                <w:sz w:val="22"/>
                <w:szCs w:val="22"/>
                <w:color w:val="auto"/>
              </w:rPr>
            </w:pPr>
          </w:p>
        </w:tc>
        <w:tc>
          <w:tcPr>
            <w:tcW w:w="80" w:type="dxa"/>
            <w:vAlign w:val="bottom"/>
            <w:tcBorders>
              <w:bottom w:val="single" w:sz="8" w:color="D2EEF5"/>
            </w:tcBorders>
          </w:tcPr>
          <w:p>
            <w:pPr>
              <w:spacing w:after="0"/>
              <w:rPr>
                <w:sz w:val="22"/>
                <w:szCs w:val="22"/>
                <w:color w:val="auto"/>
              </w:rPr>
            </w:pPr>
          </w:p>
        </w:tc>
        <w:tc>
          <w:tcPr>
            <w:tcW w:w="180" w:type="dxa"/>
            <w:vAlign w:val="bottom"/>
            <w:tcBorders>
              <w:bottom w:val="single" w:sz="8" w:color="D2EEF5"/>
            </w:tcBorders>
          </w:tcPr>
          <w:p>
            <w:pPr>
              <w:spacing w:after="0"/>
              <w:rPr>
                <w:sz w:val="22"/>
                <w:szCs w:val="22"/>
                <w:color w:val="auto"/>
              </w:rPr>
            </w:pPr>
          </w:p>
        </w:tc>
        <w:tc>
          <w:tcPr>
            <w:tcW w:w="1140" w:type="dxa"/>
            <w:vAlign w:val="bottom"/>
            <w:tcBorders>
              <w:bottom w:val="single" w:sz="8" w:color="D2EEF5"/>
            </w:tcBorders>
          </w:tcPr>
          <w:p>
            <w:pPr>
              <w:spacing w:after="0"/>
              <w:rPr>
                <w:sz w:val="22"/>
                <w:szCs w:val="22"/>
                <w:color w:val="auto"/>
              </w:rPr>
            </w:pPr>
          </w:p>
        </w:tc>
      </w:tr>
      <w:tr>
        <w:trPr>
          <w:trHeight w:val="206"/>
        </w:trPr>
        <w:tc>
          <w:tcPr>
            <w:tcW w:w="674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Numerator:</w:t>
            </w:r>
          </w:p>
        </w:tc>
        <w:tc>
          <w:tcPr>
            <w:tcW w:w="14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40" w:type="dxa"/>
            <w:vAlign w:val="bottom"/>
            <w:shd w:val="clear" w:color="auto" w:fill="D2EEF5"/>
          </w:tcPr>
          <w:p>
            <w:pPr>
              <w:spacing w:after="0"/>
              <w:rPr>
                <w:sz w:val="17"/>
                <w:szCs w:val="17"/>
                <w:color w:val="auto"/>
              </w:rPr>
            </w:pPr>
          </w:p>
        </w:tc>
      </w:tr>
      <w:tr>
        <w:trPr>
          <w:trHeight w:val="254"/>
        </w:trPr>
        <w:tc>
          <w:tcPr>
            <w:tcW w:w="140" w:type="dxa"/>
            <w:vAlign w:val="bottom"/>
            <w:tcBorders>
              <w:bottom w:val="single" w:sz="8" w:color="D2EEF5"/>
            </w:tcBorders>
          </w:tcPr>
          <w:p>
            <w:pPr>
              <w:spacing w:after="0"/>
              <w:rPr>
                <w:sz w:val="22"/>
                <w:szCs w:val="22"/>
                <w:color w:val="auto"/>
              </w:rPr>
            </w:pPr>
          </w:p>
        </w:tc>
        <w:tc>
          <w:tcPr>
            <w:tcW w:w="660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Net income available to common shares</w:t>
            </w:r>
          </w:p>
        </w:tc>
        <w:tc>
          <w:tcPr>
            <w:tcW w:w="164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24,674</w:t>
            </w:r>
          </w:p>
        </w:tc>
        <w:tc>
          <w:tcPr>
            <w:tcW w:w="260" w:type="dxa"/>
            <w:vAlign w:val="bottom"/>
            <w:tcBorders>
              <w:bottom w:val="single" w:sz="8" w:color="D2EEF5"/>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2EEF5"/>
            </w:tcBorders>
          </w:tcPr>
          <w:p>
            <w:pPr>
              <w:jc w:val="right"/>
              <w:spacing w:after="0"/>
              <w:rPr>
                <w:sz w:val="20"/>
                <w:szCs w:val="20"/>
                <w:color w:val="auto"/>
              </w:rPr>
            </w:pPr>
            <w:r>
              <w:rPr>
                <w:rFonts w:ascii="Arial" w:cs="Arial" w:eastAsia="Arial" w:hAnsi="Arial"/>
                <w:sz w:val="18"/>
                <w:szCs w:val="18"/>
                <w:color w:val="auto"/>
              </w:rPr>
              <w:t>16,545</w:t>
            </w:r>
          </w:p>
        </w:tc>
      </w:tr>
      <w:tr>
        <w:trPr>
          <w:trHeight w:val="206"/>
        </w:trPr>
        <w:tc>
          <w:tcPr>
            <w:tcW w:w="674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Denominator:</w:t>
            </w:r>
          </w:p>
        </w:tc>
        <w:tc>
          <w:tcPr>
            <w:tcW w:w="14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2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140" w:type="dxa"/>
            <w:vAlign w:val="bottom"/>
            <w:shd w:val="clear" w:color="auto" w:fill="D2EEF5"/>
          </w:tcPr>
          <w:p>
            <w:pPr>
              <w:spacing w:after="0"/>
              <w:rPr>
                <w:sz w:val="17"/>
                <w:szCs w:val="17"/>
                <w:color w:val="auto"/>
              </w:rPr>
            </w:pPr>
          </w:p>
        </w:tc>
      </w:tr>
      <w:tr>
        <w:trPr>
          <w:trHeight w:val="240"/>
        </w:trPr>
        <w:tc>
          <w:tcPr>
            <w:tcW w:w="14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Weighted average shares outstanding for basic EPS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19,675,444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19,621,698</w:t>
            </w:r>
          </w:p>
        </w:tc>
      </w:tr>
      <w:tr>
        <w:trPr>
          <w:trHeight w:val="240"/>
        </w:trPr>
        <w:tc>
          <w:tcPr>
            <w:tcW w:w="140" w:type="dxa"/>
            <w:vAlign w:val="bottom"/>
            <w:shd w:val="clear" w:color="auto" w:fill="D2EEF5"/>
          </w:tcPr>
          <w:p>
            <w:pPr>
              <w:spacing w:after="0"/>
              <w:rPr>
                <w:sz w:val="20"/>
                <w:szCs w:val="20"/>
                <w:color w:val="auto"/>
              </w:rPr>
            </w:pPr>
          </w:p>
        </w:tc>
        <w:tc>
          <w:tcPr>
            <w:tcW w:w="6600" w:type="dxa"/>
            <w:vAlign w:val="bottom"/>
            <w:shd w:val="clear" w:color="auto" w:fill="D2EEF5"/>
          </w:tcPr>
          <w:p>
            <w:pPr>
              <w:spacing w:after="0"/>
              <w:rPr>
                <w:sz w:val="20"/>
                <w:szCs w:val="20"/>
                <w:color w:val="auto"/>
              </w:rPr>
            </w:pPr>
            <w:r>
              <w:rPr>
                <w:rFonts w:ascii="Arial" w:cs="Arial" w:eastAsia="Arial" w:hAnsi="Arial"/>
                <w:sz w:val="18"/>
                <w:szCs w:val="18"/>
                <w:color w:val="auto"/>
              </w:rPr>
              <w:t>Add: Dilutive effects of assumed exercises of stock options</w:t>
            </w:r>
          </w:p>
        </w:tc>
        <w:tc>
          <w:tcPr>
            <w:tcW w:w="146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155,977</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spacing w:after="0"/>
              <w:rPr>
                <w:sz w:val="20"/>
                <w:szCs w:val="20"/>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65,936</w:t>
            </w:r>
          </w:p>
        </w:tc>
      </w:tr>
      <w:tr>
        <w:trPr>
          <w:trHeight w:val="237"/>
        </w:trPr>
        <w:tc>
          <w:tcPr>
            <w:tcW w:w="140" w:type="dxa"/>
            <w:vAlign w:val="bottom"/>
            <w:tcBorders>
              <w:bottom w:val="single" w:sz="8" w:color="D2EEF5"/>
            </w:tcBorders>
          </w:tcPr>
          <w:p>
            <w:pPr>
              <w:spacing w:after="0"/>
              <w:rPr>
                <w:sz w:val="20"/>
                <w:szCs w:val="20"/>
                <w:color w:val="auto"/>
              </w:rPr>
            </w:pPr>
          </w:p>
        </w:tc>
        <w:tc>
          <w:tcPr>
            <w:tcW w:w="660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Weighted avg. shares including dilutive potential common shares</w:t>
            </w:r>
          </w:p>
        </w:tc>
        <w:tc>
          <w:tcPr>
            <w:tcW w:w="146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19,831,421</w:t>
            </w:r>
          </w:p>
        </w:tc>
        <w:tc>
          <w:tcPr>
            <w:tcW w:w="80" w:type="dxa"/>
            <w:vAlign w:val="bottom"/>
            <w:tcBorders>
              <w:bottom w:val="single" w:sz="8" w:color="D2EE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19,687,634</w:t>
            </w:r>
          </w:p>
        </w:tc>
      </w:tr>
      <w:tr>
        <w:trPr>
          <w:trHeight w:val="234"/>
        </w:trPr>
        <w:tc>
          <w:tcPr>
            <w:tcW w:w="674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Earnings per share, diluted</w:t>
            </w:r>
          </w:p>
        </w:tc>
        <w:tc>
          <w:tcPr>
            <w:tcW w:w="146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D2EEF5"/>
          </w:tcPr>
          <w:p>
            <w:pPr>
              <w:spacing w:after="0"/>
              <w:rPr>
                <w:sz w:val="20"/>
                <w:szCs w:val="20"/>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0.84</w:t>
            </w:r>
          </w:p>
        </w:tc>
      </w:tr>
      <w:tr>
        <w:trPr>
          <w:trHeight w:val="20"/>
        </w:trPr>
        <w:tc>
          <w:tcPr>
            <w:tcW w:w="6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4"/>
        </w:trPr>
        <w:tc>
          <w:tcPr>
            <w:tcW w:w="6740" w:type="dxa"/>
            <w:vAlign w:val="bottom"/>
            <w:gridSpan w:val="2"/>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0"/>
        </w:trPr>
        <w:tc>
          <w:tcPr>
            <w:tcW w:w="6740" w:type="dxa"/>
            <w:vAlign w:val="bottom"/>
            <w:gridSpan w:val="2"/>
            <w:shd w:val="clear" w:color="auto" w:fill="D2EEF5"/>
          </w:tcPr>
          <w:p>
            <w:pPr>
              <w:spacing w:after="0"/>
              <w:rPr>
                <w:sz w:val="20"/>
                <w:szCs w:val="20"/>
                <w:color w:val="auto"/>
              </w:rPr>
            </w:pPr>
            <w:r>
              <w:rPr>
                <w:rFonts w:ascii="Arial" w:cs="Arial" w:eastAsia="Arial" w:hAnsi="Arial"/>
                <w:sz w:val="18"/>
                <w:szCs w:val="18"/>
                <w:b w:val="1"/>
                <w:bCs w:val="1"/>
                <w:color w:val="auto"/>
              </w:rPr>
              <w:t>Anti-dilutive stock options excluded from diluted EPS</w:t>
            </w:r>
          </w:p>
        </w:tc>
        <w:tc>
          <w:tcPr>
            <w:tcW w:w="14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720,500</w:t>
            </w:r>
          </w:p>
        </w:tc>
      </w:tr>
    </w:tbl>
    <w:p>
      <w:pPr>
        <w:spacing w:after="0" w:line="23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Net income has not been allocated to unvested restricted stock awards that are participating securities because the amounts that would be allocated are not material to net income per share of common stock. Unvested restricted stock awards that are participating securities represent less than one percent of all of the outstanding shares of common stock for each of the periods presented.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-374650</wp:posOffset>
                </wp:positionV>
                <wp:extent cx="520128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12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4999pt" to="409.55pt,-29.4999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00"/>
        <w:spacing w:after="0"/>
        <w:tabs>
          <w:tab w:leader="none" w:pos="360" w:val="left"/>
          <w:tab w:leader="none" w:pos="2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900"/>
          </w:cols>
          <w:pgMar w:left="720" w:top="355" w:right="620" w:bottom="0" w:gutter="0" w:footer="0" w:header="0"/>
        </w:sectPr>
      </w:pPr>
    </w:p>
    <w:bookmarkStart w:id="118" w:name="page119"/>
    <w:bookmarkEnd w:id="11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Company’s and the Bank’s capital amounts and classification are also subject to qualitative judgments by the regulators about components, risk weightings, and other factors.</w:t>
      </w:r>
    </w:p>
    <w:p>
      <w:pPr>
        <w:spacing w:after="0" w:line="19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76"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20"/>
          <w:szCs w:val="20"/>
          <w:color w:val="auto"/>
        </w:rPr>
        <w:t>The Bank elected to permanently opt-out of the inclusion of accumulated other comprehensive income in the capital calculations, as permitted by the regulations. This opt-out reduces the impact of market volatility on the Bank’s regulatory capital levels.</w:t>
      </w:r>
    </w:p>
    <w:p>
      <w:pPr>
        <w:spacing w:after="0" w:line="16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2024 and 2023, the capital ratios for the Bank were sufficient to meet the conservation buffer.</w:t>
      </w:r>
    </w:p>
    <w:p>
      <w:pPr>
        <w:spacing w:after="0" w:line="17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78" w:lineRule="exact"/>
        <w:rPr>
          <w:sz w:val="20"/>
          <w:szCs w:val="20"/>
          <w:color w:val="auto"/>
        </w:rPr>
      </w:pPr>
    </w:p>
    <w:p>
      <w:pPr>
        <w:jc w:val="both"/>
        <w:ind w:firstLine="361"/>
        <w:spacing w:after="0" w:line="246" w:lineRule="auto"/>
        <w:rPr>
          <w:sz w:val="20"/>
          <w:szCs w:val="20"/>
          <w:color w:val="auto"/>
        </w:rPr>
      </w:pPr>
      <w:r>
        <w:rPr>
          <w:rFonts w:ascii="Arial" w:cs="Arial" w:eastAsia="Arial" w:hAnsi="Arial"/>
          <w:sz w:val="20"/>
          <w:szCs w:val="20"/>
          <w:color w:val="auto"/>
        </w:rPr>
        <w:t>At December 31, 2024 and 2023,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19" w:name="page120"/>
    <w:bookmarkEnd w:id="11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Actual and required capital amounts and ratios are presented below for the Bank at December 31, 2024 and 2023 (in thousands, except ratios). The required amounts for capital adequacy shown do not include the capital conservation buffer previously discussed.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Arial" w:cs="Arial" w:eastAsia="Arial" w:hAnsi="Arial"/>
                <w:sz w:val="18"/>
                <w:szCs w:val="18"/>
                <w:b w:val="1"/>
                <w:bCs w:val="1"/>
                <w:color w:val="auto"/>
              </w:rPr>
              <w:t>Minimum 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To be Well Capitalized</w:t>
            </w: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b w:val="1"/>
                <w:bCs w:val="1"/>
                <w:color w:val="auto"/>
              </w:rPr>
              <w:t>Under Prompt Corrective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Actual</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Requirements</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Action Provisions</w:t>
            </w:r>
          </w:p>
        </w:tc>
        <w:tc>
          <w:tcPr>
            <w:tcW w:w="0" w:type="dxa"/>
            <w:vAlign w:val="bottom"/>
          </w:tcPr>
          <w:p>
            <w:pPr>
              <w:spacing w:after="0"/>
              <w:rPr>
                <w:sz w:val="1"/>
                <w:szCs w:val="1"/>
                <w:color w:val="auto"/>
              </w:rPr>
            </w:pPr>
          </w:p>
        </w:tc>
      </w:tr>
      <w:tr>
        <w:trPr>
          <w:trHeight w:val="220"/>
        </w:trPr>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Ratio</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20"/>
        </w:trPr>
        <w:tc>
          <w:tcPr>
            <w:tcW w:w="28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December 31, 2024:</w:t>
            </w:r>
          </w:p>
        </w:tc>
        <w:tc>
          <w:tcPr>
            <w:tcW w:w="54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98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300" w:type="dxa"/>
            <w:vAlign w:val="bottom"/>
            <w:tcBorders>
              <w:top w:val="single" w:sz="8" w:color="auto"/>
            </w:tcBorders>
            <w:shd w:val="clear" w:color="auto" w:fill="D2EEF5"/>
          </w:tcPr>
          <w:p>
            <w:pPr>
              <w:spacing w:after="0"/>
              <w:rPr>
                <w:sz w:val="19"/>
                <w:szCs w:val="19"/>
                <w:color w:val="auto"/>
              </w:rPr>
            </w:pPr>
          </w:p>
        </w:tc>
        <w:tc>
          <w:tcPr>
            <w:tcW w:w="62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auto"/>
            </w:tcBorders>
            <w:shd w:val="clear" w:color="auto" w:fill="D2EEF5"/>
          </w:tcPr>
          <w:p>
            <w:pPr>
              <w:spacing w:after="0"/>
              <w:rPr>
                <w:sz w:val="19"/>
                <w:szCs w:val="19"/>
                <w:color w:val="auto"/>
              </w:rPr>
            </w:pPr>
          </w:p>
        </w:tc>
        <w:tc>
          <w:tcPr>
            <w:tcW w:w="20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180" w:type="dxa"/>
            <w:vAlign w:val="bottom"/>
            <w:tcBorders>
              <w:top w:val="single" w:sz="8" w:color="auto"/>
            </w:tcBorders>
            <w:shd w:val="clear" w:color="auto" w:fill="D2EEF5"/>
          </w:tcPr>
          <w:p>
            <w:pPr>
              <w:spacing w:after="0"/>
              <w:rPr>
                <w:sz w:val="19"/>
                <w:szCs w:val="19"/>
                <w:color w:val="auto"/>
              </w:rPr>
            </w:pPr>
          </w:p>
        </w:tc>
        <w:tc>
          <w:tcPr>
            <w:tcW w:w="98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920" w:type="dxa"/>
            <w:vAlign w:val="bottom"/>
            <w:tcBorders>
              <w:top w:val="single" w:sz="8" w:color="auto"/>
            </w:tcBorders>
            <w:shd w:val="clear" w:color="auto" w:fill="D2EEF5"/>
          </w:tcPr>
          <w:p>
            <w:pPr>
              <w:spacing w:after="0"/>
              <w:rPr>
                <w:sz w:val="19"/>
                <w:szCs w:val="19"/>
                <w:color w:val="auto"/>
              </w:rPr>
            </w:pPr>
          </w:p>
        </w:tc>
        <w:tc>
          <w:tcPr>
            <w:tcW w:w="28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120" w:type="dxa"/>
            <w:vAlign w:val="bottom"/>
            <w:tcBorders>
              <w:top w:val="single" w:sz="8" w:color="auto"/>
            </w:tcBorders>
            <w:shd w:val="clear" w:color="auto" w:fill="D2EEF5"/>
          </w:tcPr>
          <w:p>
            <w:pPr>
              <w:spacing w:after="0"/>
              <w:rPr>
                <w:sz w:val="19"/>
                <w:szCs w:val="19"/>
                <w:color w:val="auto"/>
              </w:rPr>
            </w:pPr>
          </w:p>
        </w:tc>
        <w:tc>
          <w:tcPr>
            <w:tcW w:w="1040" w:type="dxa"/>
            <w:vAlign w:val="bottom"/>
            <w:tcBorders>
              <w:top w:val="single" w:sz="8" w:color="auto"/>
            </w:tcBorders>
            <w:shd w:val="clear" w:color="auto" w:fill="D2EEF5"/>
          </w:tcPr>
          <w:p>
            <w:pPr>
              <w:spacing w:after="0"/>
              <w:rPr>
                <w:sz w:val="19"/>
                <w:szCs w:val="19"/>
                <w:color w:val="auto"/>
              </w:rPr>
            </w:pPr>
          </w:p>
        </w:tc>
        <w:tc>
          <w:tcPr>
            <w:tcW w:w="80" w:type="dxa"/>
            <w:vAlign w:val="bottom"/>
            <w:tcBorders>
              <w:top w:val="single" w:sz="8" w:color="D2EEF5"/>
            </w:tcBorders>
            <w:shd w:val="clear" w:color="auto" w:fill="D2EEF5"/>
          </w:tcPr>
          <w:p>
            <w:pPr>
              <w:spacing w:after="0"/>
              <w:rPr>
                <w:sz w:val="19"/>
                <w:szCs w:val="19"/>
                <w:color w:val="auto"/>
              </w:rPr>
            </w:pPr>
          </w:p>
        </w:tc>
        <w:tc>
          <w:tcPr>
            <w:tcW w:w="920" w:type="dxa"/>
            <w:vAlign w:val="bottom"/>
            <w:tcBorders>
              <w:top w:val="single" w:sz="8" w:color="auto"/>
            </w:tcBorders>
            <w:shd w:val="clear" w:color="auto" w:fill="D2EEF5"/>
          </w:tcPr>
          <w:p>
            <w:pPr>
              <w:spacing w:after="0"/>
              <w:rPr>
                <w:sz w:val="19"/>
                <w:szCs w:val="19"/>
                <w:color w:val="auto"/>
              </w:rPr>
            </w:pPr>
          </w:p>
        </w:tc>
        <w:tc>
          <w:tcPr>
            <w:tcW w:w="260" w:type="dxa"/>
            <w:vAlign w:val="bottom"/>
            <w:tcBorders>
              <w:top w:val="single" w:sz="8" w:color="auto"/>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266,387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13.34 %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159,795</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199,744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0"/>
        </w:trPr>
        <w:tc>
          <w:tcPr>
            <w:tcW w:w="2860" w:type="dxa"/>
            <w:vAlign w:val="bottom"/>
            <w:shd w:val="clear" w:color="auto" w:fill="D2EEF5"/>
          </w:tcPr>
          <w:p>
            <w:pPr>
              <w:spacing w:after="0"/>
              <w:rPr>
                <w:sz w:val="20"/>
                <w:szCs w:val="20"/>
                <w:color w:val="auto"/>
              </w:rPr>
            </w:pPr>
            <w:r>
              <w:rPr>
                <w:rFonts w:ascii="Arial" w:cs="Arial" w:eastAsia="Arial" w:hAnsi="Arial"/>
                <w:sz w:val="18"/>
                <w:szCs w:val="18"/>
                <w:color w:val="auto"/>
              </w:rPr>
              <w:t>Tier 1 risk-based capital:</w:t>
            </w:r>
          </w:p>
        </w:tc>
        <w:tc>
          <w:tcPr>
            <w:tcW w:w="5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620" w:type="dxa"/>
            <w:vAlign w:val="bottom"/>
            <w:shd w:val="clear" w:color="auto" w:fill="D2EEF5"/>
          </w:tcPr>
          <w:p>
            <w:pPr>
              <w:spacing w:after="0"/>
              <w:rPr>
                <w:sz w:val="20"/>
                <w:szCs w:val="20"/>
                <w:color w:val="auto"/>
              </w:rPr>
            </w:pPr>
          </w:p>
        </w:tc>
        <w:tc>
          <w:tcPr>
            <w:tcW w:w="60" w:type="dxa"/>
            <w:vAlign w:val="bottom"/>
            <w:shd w:val="clear" w:color="auto" w:fill="D2EEF5"/>
          </w:tcPr>
          <w:p>
            <w:pPr>
              <w:jc w:val="right"/>
              <w:ind w:right="55"/>
              <w:spacing w:after="0"/>
              <w:rPr>
                <w:sz w:val="20"/>
                <w:szCs w:val="20"/>
                <w:color w:val="auto"/>
              </w:rPr>
            </w:pPr>
            <w:r>
              <w:rPr>
                <w:rFonts w:ascii="Arial" w:cs="Arial" w:eastAsia="Arial" w:hAnsi="Arial"/>
                <w:sz w:val="1"/>
                <w:szCs w:val="1"/>
                <w:color w:val="auto"/>
                <w:w w:val="63"/>
              </w:rPr>
              <w:t>12.  10</w:t>
            </w: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87"/>
                <w:shd w:val="clear" w:color="auto" w:fill="D2EEF5"/>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119,846</w:t>
            </w: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ind w:left="320"/>
              <w:spacing w:after="0"/>
              <w:rPr>
                <w:sz w:val="20"/>
                <w:szCs w:val="20"/>
                <w:color w:val="auto"/>
              </w:rPr>
            </w:pPr>
            <w:r>
              <w:rPr>
                <w:rFonts w:ascii="Arial" w:cs="Arial" w:eastAsia="Arial" w:hAnsi="Arial"/>
                <w:sz w:val="18"/>
                <w:szCs w:val="18"/>
                <w:color w:val="auto"/>
              </w:rPr>
              <w:t>159,795</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Common equity tier 1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89,885</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129,834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0"/>
        </w:trPr>
        <w:tc>
          <w:tcPr>
            <w:tcW w:w="2860" w:type="dxa"/>
            <w:vAlign w:val="bottom"/>
            <w:shd w:val="clear" w:color="auto" w:fill="D2EEF5"/>
          </w:tcPr>
          <w:p>
            <w:pPr>
              <w:spacing w:after="0"/>
              <w:rPr>
                <w:sz w:val="20"/>
                <w:szCs w:val="20"/>
                <w:color w:val="auto"/>
              </w:rPr>
            </w:pPr>
            <w:r>
              <w:rPr>
                <w:rFonts w:ascii="Arial" w:cs="Arial" w:eastAsia="Arial" w:hAnsi="Arial"/>
                <w:sz w:val="18"/>
                <w:szCs w:val="18"/>
                <w:color w:val="auto"/>
              </w:rPr>
              <w:t>Leverage ratio:</w:t>
            </w:r>
          </w:p>
        </w:tc>
        <w:tc>
          <w:tcPr>
            <w:tcW w:w="5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D2EEF5"/>
          </w:tcPr>
          <w:p>
            <w:pPr>
              <w:spacing w:after="0"/>
              <w:rPr>
                <w:sz w:val="20"/>
                <w:szCs w:val="20"/>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87"/>
                <w:shd w:val="clear" w:color="auto" w:fill="D2EEF5"/>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103,074</w:t>
            </w: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ind w:left="320"/>
              <w:spacing w:after="0"/>
              <w:rPr>
                <w:sz w:val="20"/>
                <w:szCs w:val="20"/>
                <w:color w:val="auto"/>
              </w:rPr>
            </w:pPr>
            <w:r>
              <w:rPr>
                <w:rFonts w:ascii="Arial" w:cs="Arial" w:eastAsia="Arial" w:hAnsi="Arial"/>
                <w:sz w:val="18"/>
                <w:szCs w:val="18"/>
                <w:color w:val="auto"/>
              </w:rPr>
              <w:t>128,843</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6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December 31, 2023:</w:t>
            </w:r>
          </w:p>
        </w:tc>
        <w:tc>
          <w:tcPr>
            <w:tcW w:w="5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8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6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9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12.65 %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147,432</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184,290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0"/>
        </w:trPr>
        <w:tc>
          <w:tcPr>
            <w:tcW w:w="2860" w:type="dxa"/>
            <w:vAlign w:val="bottom"/>
            <w:shd w:val="clear" w:color="auto" w:fill="D2EEF5"/>
          </w:tcPr>
          <w:p>
            <w:pPr>
              <w:spacing w:after="0"/>
              <w:rPr>
                <w:sz w:val="20"/>
                <w:szCs w:val="20"/>
                <w:color w:val="auto"/>
              </w:rPr>
            </w:pPr>
            <w:r>
              <w:rPr>
                <w:rFonts w:ascii="Arial" w:cs="Arial" w:eastAsia="Arial" w:hAnsi="Arial"/>
                <w:sz w:val="18"/>
                <w:szCs w:val="18"/>
                <w:color w:val="auto"/>
              </w:rPr>
              <w:t>Tier 1 risk-based capital:</w:t>
            </w:r>
          </w:p>
        </w:tc>
        <w:tc>
          <w:tcPr>
            <w:tcW w:w="5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11.48</w:t>
            </w:r>
          </w:p>
        </w:tc>
        <w:tc>
          <w:tcPr>
            <w:tcW w:w="60" w:type="dxa"/>
            <w:vAlign w:val="bottom"/>
            <w:shd w:val="clear" w:color="auto" w:fill="D2EEF5"/>
          </w:tcPr>
          <w:p>
            <w:pPr>
              <w:spacing w:after="0"/>
              <w:rPr>
                <w:sz w:val="20"/>
                <w:szCs w:val="20"/>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87"/>
                <w:shd w:val="clear" w:color="auto" w:fill="D2EEF5"/>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110,574</w:t>
            </w: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ind w:left="320"/>
              <w:spacing w:after="0"/>
              <w:rPr>
                <w:sz w:val="20"/>
                <w:szCs w:val="20"/>
                <w:color w:val="auto"/>
              </w:rPr>
            </w:pPr>
            <w:r>
              <w:rPr>
                <w:rFonts w:ascii="Arial" w:cs="Arial" w:eastAsia="Arial" w:hAnsi="Arial"/>
                <w:sz w:val="18"/>
                <w:szCs w:val="18"/>
                <w:color w:val="auto"/>
              </w:rPr>
              <w:t>147,432</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Common equity tier 1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11.48 %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82,931</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119,789</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0"/>
        </w:trPr>
        <w:tc>
          <w:tcPr>
            <w:tcW w:w="2860" w:type="dxa"/>
            <w:vAlign w:val="bottom"/>
            <w:shd w:val="clear" w:color="auto" w:fill="D2EEF5"/>
          </w:tcPr>
          <w:p>
            <w:pPr>
              <w:spacing w:after="0"/>
              <w:rPr>
                <w:sz w:val="20"/>
                <w:szCs w:val="20"/>
                <w:color w:val="auto"/>
              </w:rPr>
            </w:pPr>
            <w:r>
              <w:rPr>
                <w:rFonts w:ascii="Arial" w:cs="Arial" w:eastAsia="Arial" w:hAnsi="Arial"/>
                <w:sz w:val="18"/>
                <w:szCs w:val="18"/>
                <w:color w:val="auto"/>
              </w:rPr>
              <w:t>Leverage ratio:</w:t>
            </w:r>
          </w:p>
        </w:tc>
        <w:tc>
          <w:tcPr>
            <w:tcW w:w="5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211,645</w:t>
            </w:r>
          </w:p>
        </w:tc>
        <w:tc>
          <w:tcPr>
            <w:tcW w:w="8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9.17</w:t>
            </w:r>
          </w:p>
        </w:tc>
        <w:tc>
          <w:tcPr>
            <w:tcW w:w="60" w:type="dxa"/>
            <w:vAlign w:val="bottom"/>
            <w:shd w:val="clear" w:color="auto" w:fill="D2EEF5"/>
          </w:tcPr>
          <w:p>
            <w:pPr>
              <w:spacing w:after="0"/>
              <w:rPr>
                <w:sz w:val="20"/>
                <w:szCs w:val="20"/>
                <w:color w:val="auto"/>
              </w:rPr>
            </w:pPr>
          </w:p>
        </w:tc>
        <w:tc>
          <w:tcPr>
            <w:tcW w:w="200" w:type="dxa"/>
            <w:vAlign w:val="bottom"/>
            <w:shd w:val="clear" w:color="auto" w:fill="D2EEF5"/>
          </w:tcPr>
          <w:p>
            <w:pPr>
              <w:jc w:val="right"/>
              <w:spacing w:after="0"/>
              <w:rPr>
                <w:sz w:val="20"/>
                <w:szCs w:val="20"/>
                <w:color w:val="auto"/>
              </w:rPr>
            </w:pPr>
            <w:r>
              <w:rPr>
                <w:rFonts w:ascii="Arial" w:cs="Arial" w:eastAsia="Arial" w:hAnsi="Arial"/>
                <w:sz w:val="18"/>
                <w:szCs w:val="18"/>
                <w:color w:val="auto"/>
                <w:w w:val="87"/>
                <w:shd w:val="clear" w:color="auto" w:fill="D2EEF5"/>
              </w:rPr>
              <w:t>%</w:t>
            </w:r>
          </w:p>
        </w:tc>
        <w:tc>
          <w:tcPr>
            <w:tcW w:w="8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92,328</w:t>
            </w:r>
          </w:p>
        </w:tc>
        <w:tc>
          <w:tcPr>
            <w:tcW w:w="6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0"/>
                <w:szCs w:val="20"/>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EF5"/>
          </w:tcPr>
          <w:p>
            <w:pPr>
              <w:ind w:left="320"/>
              <w:spacing w:after="0"/>
              <w:rPr>
                <w:sz w:val="20"/>
                <w:szCs w:val="20"/>
                <w:color w:val="auto"/>
              </w:rPr>
            </w:pPr>
            <w:r>
              <w:rPr>
                <w:rFonts w:ascii="Arial" w:cs="Arial" w:eastAsia="Arial" w:hAnsi="Arial"/>
                <w:sz w:val="18"/>
                <w:szCs w:val="18"/>
                <w:color w:val="auto"/>
              </w:rPr>
              <w:t>115,410</w:t>
            </w:r>
          </w:p>
        </w:tc>
        <w:tc>
          <w:tcPr>
            <w:tcW w:w="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Company is limited in the amount of cash dividends that it may pay. Payment of dividends is generally limited to the Company’s net income for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including dividends to their parent holding company, if they deem such payment to be an unsafe or unsound practice.</w:t>
      </w:r>
    </w:p>
    <w:p>
      <w:pPr>
        <w:spacing w:after="0" w:line="180" w:lineRule="exact"/>
        <w:rPr>
          <w:sz w:val="20"/>
          <w:szCs w:val="20"/>
          <w:color w:val="auto"/>
        </w:rPr>
      </w:pPr>
    </w:p>
    <w:p>
      <w:pPr>
        <w:ind w:left="720" w:hanging="720"/>
        <w:spacing w:after="0"/>
        <w:tabs>
          <w:tab w:leader="none" w:pos="7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2024 and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Years Ended December 31,</w:t>
            </w:r>
          </w:p>
        </w:tc>
      </w:tr>
      <w:tr>
        <w:trPr>
          <w:trHeight w:val="220"/>
        </w:trPr>
        <w:tc>
          <w:tcPr>
            <w:tcW w:w="5480" w:type="dxa"/>
            <w:vAlign w:val="bottom"/>
            <w:tcBorders>
              <w:bottom w:val="single" w:sz="8" w:color="D2EEF5"/>
            </w:tcBorders>
          </w:tcPr>
          <w:p>
            <w:pPr>
              <w:spacing w:after="0"/>
              <w:rPr>
                <w:sz w:val="19"/>
                <w:szCs w:val="19"/>
                <w:color w:val="auto"/>
              </w:rPr>
            </w:pPr>
          </w:p>
        </w:tc>
        <w:tc>
          <w:tcPr>
            <w:tcW w:w="204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D2EEF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0"/>
        </w:trPr>
        <w:tc>
          <w:tcPr>
            <w:tcW w:w="548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Consolidated Balance Sheets:</w:t>
            </w:r>
          </w:p>
        </w:tc>
        <w:tc>
          <w:tcPr>
            <w:tcW w:w="20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42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340" w:type="dxa"/>
            <w:vAlign w:val="bottom"/>
            <w:shd w:val="clear" w:color="auto" w:fill="D2EEF5"/>
          </w:tcPr>
          <w:p>
            <w:pPr>
              <w:spacing w:after="0"/>
              <w:rPr>
                <w:sz w:val="19"/>
                <w:szCs w:val="19"/>
                <w:color w:val="auto"/>
              </w:rPr>
            </w:pPr>
          </w:p>
        </w:tc>
        <w:tc>
          <w:tcPr>
            <w:tcW w:w="1260" w:type="dxa"/>
            <w:vAlign w:val="bottom"/>
            <w:shd w:val="clear" w:color="auto" w:fill="D2EEF5"/>
          </w:tcPr>
          <w:p>
            <w:pPr>
              <w:spacing w:after="0"/>
              <w:rPr>
                <w:sz w:val="19"/>
                <w:szCs w:val="19"/>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8"/>
                <w:szCs w:val="18"/>
                <w:color w:val="auto"/>
              </w:rPr>
              <w:t>Loans held for investment, net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480" w:type="dxa"/>
            <w:vAlign w:val="bottom"/>
            <w:shd w:val="clear" w:color="auto" w:fill="D2EEF5"/>
          </w:tcPr>
          <w:p>
            <w:pPr>
              <w:ind w:left="140"/>
              <w:spacing w:after="0"/>
              <w:rPr>
                <w:sz w:val="20"/>
                <w:szCs w:val="20"/>
                <w:color w:val="auto"/>
              </w:rPr>
            </w:pPr>
            <w:r>
              <w:rPr>
                <w:rFonts w:ascii="Arial" w:cs="Arial" w:eastAsia="Arial" w:hAnsi="Arial"/>
                <w:sz w:val="18"/>
                <w:szCs w:val="18"/>
                <w:color w:val="auto"/>
              </w:rPr>
              <w:t>Deposits</w:t>
            </w:r>
          </w:p>
        </w:tc>
        <w:tc>
          <w:tcPr>
            <w:tcW w:w="20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D2EEF5"/>
          </w:tcPr>
          <w:p>
            <w:pPr>
              <w:spacing w:after="0"/>
              <w:rPr>
                <w:sz w:val="20"/>
                <w:szCs w:val="20"/>
                <w:color w:val="auto"/>
              </w:rPr>
            </w:pPr>
          </w:p>
        </w:tc>
        <w:tc>
          <w:tcPr>
            <w:tcW w:w="340" w:type="dxa"/>
            <w:vAlign w:val="bottom"/>
            <w:shd w:val="clear" w:color="auto" w:fill="D2EEF5"/>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2,792</w:t>
            </w:r>
          </w:p>
        </w:tc>
      </w:tr>
      <w:tr>
        <w:trPr>
          <w:trHeight w:val="240"/>
        </w:trPr>
        <w:tc>
          <w:tcPr>
            <w:tcW w:w="5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548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4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340" w:type="dxa"/>
            <w:vAlign w:val="bottom"/>
            <w:shd w:val="clear" w:color="auto" w:fill="D2EEF5"/>
          </w:tcPr>
          <w:p>
            <w:pPr>
              <w:spacing w:after="0"/>
              <w:rPr>
                <w:sz w:val="20"/>
                <w:szCs w:val="20"/>
                <w:color w:val="auto"/>
              </w:rPr>
            </w:pPr>
          </w:p>
        </w:tc>
        <w:tc>
          <w:tcPr>
            <w:tcW w:w="1260" w:type="dxa"/>
            <w:vAlign w:val="bottom"/>
            <w:shd w:val="clear" w:color="auto" w:fill="D2EEF5"/>
          </w:tcPr>
          <w:p>
            <w:pPr>
              <w:spacing w:after="0"/>
              <w:rPr>
                <w:sz w:val="20"/>
                <w:szCs w:val="20"/>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480" w:type="dxa"/>
            <w:vAlign w:val="bottom"/>
            <w:shd w:val="clear" w:color="auto" w:fill="D2EEF5"/>
          </w:tcPr>
          <w:p>
            <w:pPr>
              <w:ind w:left="140"/>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D2EEF5"/>
          </w:tcPr>
          <w:p>
            <w:pPr>
              <w:spacing w:after="0"/>
              <w:rPr>
                <w:sz w:val="20"/>
                <w:szCs w:val="20"/>
                <w:color w:val="auto"/>
              </w:rPr>
            </w:pPr>
          </w:p>
        </w:tc>
        <w:tc>
          <w:tcPr>
            <w:tcW w:w="340" w:type="dxa"/>
            <w:vAlign w:val="bottom"/>
            <w:shd w:val="clear" w:color="auto" w:fill="D2EEF5"/>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154</w:t>
            </w:r>
          </w:p>
        </w:tc>
      </w:tr>
    </w:tbl>
    <w:p>
      <w:pPr>
        <w:spacing w:after="0" w:line="21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Loan Purchases</w:t>
      </w:r>
    </w:p>
    <w:p>
      <w:pPr>
        <w:spacing w:after="0" w:line="22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During 2024, the Bank purchased $90.8 million of loans from entities that are deemed to be related parties. The Bank paid those entities fees of $2.7 million.</w:t>
      </w:r>
    </w:p>
    <w:p>
      <w:pPr>
        <w:spacing w:after="0" w:line="151"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During 2023, the Bank purchased $85.1 million of loans from entities that are deemed to be related parties. The Bank paid those entities fees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0" w:name="page121"/>
    <w:bookmarkEnd w:id="120"/>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PARENT COMPANY CONDENSED FINANCIAL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2023</w:t>
            </w:r>
          </w:p>
        </w:tc>
      </w:tr>
      <w:tr>
        <w:trPr>
          <w:trHeight w:val="220"/>
        </w:trPr>
        <w:tc>
          <w:tcPr>
            <w:tcW w:w="676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2EEF5"/>
          </w:tcPr>
          <w:p>
            <w:pPr>
              <w:spacing w:after="0"/>
              <w:rPr>
                <w:sz w:val="19"/>
                <w:szCs w:val="19"/>
                <w:color w:val="auto"/>
              </w:rPr>
            </w:pPr>
          </w:p>
        </w:tc>
        <w:tc>
          <w:tcPr>
            <w:tcW w:w="18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840" w:type="dxa"/>
            <w:vAlign w:val="bottom"/>
            <w:shd w:val="clear" w:color="auto" w:fill="D2EEF5"/>
          </w:tcPr>
          <w:p>
            <w:pPr>
              <w:spacing w:after="0"/>
              <w:rPr>
                <w:sz w:val="19"/>
                <w:szCs w:val="19"/>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40"/>
        </w:trPr>
        <w:tc>
          <w:tcPr>
            <w:tcW w:w="6760" w:type="dxa"/>
            <w:vAlign w:val="bottom"/>
            <w:shd w:val="clear" w:color="auto" w:fill="D2EEF5"/>
          </w:tcPr>
          <w:p>
            <w:pPr>
              <w:ind w:left="140"/>
              <w:spacing w:after="0"/>
              <w:rPr>
                <w:sz w:val="20"/>
                <w:szCs w:val="20"/>
                <w:color w:val="auto"/>
              </w:rPr>
            </w:pPr>
            <w:r>
              <w:rPr>
                <w:rFonts w:ascii="Arial" w:cs="Arial" w:eastAsia="Arial" w:hAnsi="Arial"/>
                <w:sz w:val="18"/>
                <w:szCs w:val="18"/>
                <w:color w:val="auto"/>
              </w:rPr>
              <w:t>Investment in bank subsidiary</w:t>
            </w: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210,253</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188,827</w:t>
            </w:r>
          </w:p>
        </w:tc>
      </w:tr>
      <w:tr>
        <w:trPr>
          <w:trHeight w:val="240"/>
        </w:trPr>
        <w:tc>
          <w:tcPr>
            <w:tcW w:w="6760" w:type="dxa"/>
            <w:vAlign w:val="bottom"/>
            <w:tcBorders>
              <w:bottom w:val="single" w:sz="8" w:color="D2EEF5"/>
            </w:tcBorders>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34"/>
        </w:trPr>
        <w:tc>
          <w:tcPr>
            <w:tcW w:w="6760" w:type="dxa"/>
            <w:vAlign w:val="bottom"/>
            <w:shd w:val="clear" w:color="auto" w:fill="D2EEF5"/>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215,388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191,968</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0"/>
        </w:trPr>
        <w:tc>
          <w:tcPr>
            <w:tcW w:w="676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spacing w:after="0"/>
              <w:rPr>
                <w:sz w:val="20"/>
                <w:szCs w:val="20"/>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60" w:type="dxa"/>
            <w:vAlign w:val="bottom"/>
            <w:shd w:val="clear" w:color="auto" w:fill="D2EEF5"/>
          </w:tcPr>
          <w:p>
            <w:pPr>
              <w:ind w:left="1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D2EEF5"/>
          </w:tcPr>
          <w:p>
            <w:pPr>
              <w:spacing w:after="0"/>
              <w:rPr>
                <w:sz w:val="20"/>
                <w:szCs w:val="20"/>
                <w:color w:val="auto"/>
              </w:rPr>
            </w:pP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215,388</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191,968</w:t>
            </w: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215,388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191,968</w:t>
            </w:r>
          </w:p>
        </w:tc>
      </w:tr>
      <w:tr>
        <w:trPr>
          <w:trHeight w:val="20"/>
        </w:trPr>
        <w:tc>
          <w:tcPr>
            <w:tcW w:w="6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condensed income statement is presented below for USCB Financial Holdings, Inc.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Years Ended</w:t>
            </w:r>
          </w:p>
        </w:tc>
      </w:tr>
      <w:tr>
        <w:trPr>
          <w:trHeight w:val="220"/>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December 31,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2023</w:t>
            </w:r>
          </w:p>
        </w:tc>
      </w:tr>
      <w:tr>
        <w:trPr>
          <w:trHeight w:val="220"/>
        </w:trPr>
        <w:tc>
          <w:tcPr>
            <w:tcW w:w="67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auto"/>
            </w:tcBorders>
            <w:shd w:val="clear" w:color="auto" w:fill="D2EEF5"/>
          </w:tcPr>
          <w:p>
            <w:pPr>
              <w:spacing w:after="0"/>
              <w:rPr>
                <w:sz w:val="19"/>
                <w:szCs w:val="19"/>
                <w:color w:val="auto"/>
              </w:rPr>
            </w:pPr>
          </w:p>
        </w:tc>
        <w:tc>
          <w:tcPr>
            <w:tcW w:w="40" w:type="dxa"/>
            <w:vAlign w:val="bottom"/>
            <w:tcBorders>
              <w:top w:val="single" w:sz="8" w:color="auto"/>
            </w:tcBorders>
            <w:shd w:val="clear" w:color="auto" w:fill="D2EEF5"/>
          </w:tcPr>
          <w:p>
            <w:pPr>
              <w:spacing w:after="0"/>
              <w:rPr>
                <w:sz w:val="19"/>
                <w:szCs w:val="19"/>
                <w:color w:val="auto"/>
              </w:rPr>
            </w:pPr>
          </w:p>
        </w:tc>
        <w:tc>
          <w:tcPr>
            <w:tcW w:w="1800" w:type="dxa"/>
            <w:vAlign w:val="bottom"/>
            <w:tcBorders>
              <w:top w:val="single" w:sz="8" w:color="auto"/>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tcBorders>
            <w:shd w:val="clear" w:color="auto" w:fill="D2EEF5"/>
          </w:tcPr>
          <w:p>
            <w:pPr>
              <w:spacing w:after="0"/>
              <w:rPr>
                <w:sz w:val="19"/>
                <w:szCs w:val="19"/>
                <w:color w:val="auto"/>
              </w:rPr>
            </w:pPr>
          </w:p>
        </w:tc>
        <w:tc>
          <w:tcPr>
            <w:tcW w:w="1840" w:type="dxa"/>
            <w:vAlign w:val="bottom"/>
            <w:tcBorders>
              <w:top w:val="single" w:sz="8" w:color="auto"/>
            </w:tcBorders>
            <w:shd w:val="clear" w:color="auto" w:fill="D2EEF5"/>
          </w:tcPr>
          <w:p>
            <w:pPr>
              <w:spacing w:after="0"/>
              <w:rPr>
                <w:sz w:val="19"/>
                <w:szCs w:val="19"/>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Dividends from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0"/>
                <w:szCs w:val="20"/>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11,100</w:t>
            </w:r>
          </w:p>
        </w:tc>
      </w:tr>
      <w:tr>
        <w:trPr>
          <w:trHeight w:val="220"/>
        </w:trPr>
        <w:tc>
          <w:tcPr>
            <w:tcW w:w="67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2EEF5"/>
          </w:tcPr>
          <w:p>
            <w:pPr>
              <w:spacing w:after="0"/>
              <w:rPr>
                <w:sz w:val="19"/>
                <w:szCs w:val="19"/>
                <w:color w:val="auto"/>
              </w:rPr>
            </w:pPr>
          </w:p>
        </w:tc>
        <w:tc>
          <w:tcPr>
            <w:tcW w:w="184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Borders>
              <w:top w:val="single" w:sz="8" w:color="D2EEF5"/>
            </w:tcBorders>
            <w:shd w:val="clear" w:color="auto" w:fill="D2EEF5"/>
          </w:tcPr>
          <w:p>
            <w:pPr>
              <w:spacing w:after="0"/>
              <w:rPr>
                <w:sz w:val="19"/>
                <w:szCs w:val="19"/>
                <w:color w:val="auto"/>
              </w:rPr>
            </w:pPr>
          </w:p>
        </w:tc>
        <w:tc>
          <w:tcPr>
            <w:tcW w:w="20" w:type="dxa"/>
            <w:vAlign w:val="bottom"/>
            <w:tcBorders>
              <w:top w:val="single" w:sz="8" w:color="D2EEF5"/>
            </w:tcBorders>
            <w:shd w:val="clear" w:color="auto" w:fill="D2EEF5"/>
          </w:tcPr>
          <w:p>
            <w:pPr>
              <w:spacing w:after="0"/>
              <w:rPr>
                <w:sz w:val="19"/>
                <w:szCs w:val="19"/>
                <w:color w:val="auto"/>
              </w:rPr>
            </w:pPr>
          </w:p>
        </w:tc>
        <w:tc>
          <w:tcPr>
            <w:tcW w:w="140" w:type="dxa"/>
            <w:vAlign w:val="bottom"/>
            <w:tcBorders>
              <w:top w:val="single" w:sz="8" w:color="auto"/>
              <w:bottom w:val="single" w:sz="8" w:color="auto"/>
            </w:tcBorders>
            <w:shd w:val="clear" w:color="auto" w:fill="D2EEF5"/>
          </w:tcPr>
          <w:p>
            <w:pPr>
              <w:spacing w:after="0"/>
              <w:rPr>
                <w:sz w:val="19"/>
                <w:szCs w:val="19"/>
                <w:color w:val="auto"/>
              </w:rPr>
            </w:pPr>
          </w:p>
        </w:tc>
        <w:tc>
          <w:tcPr>
            <w:tcW w:w="18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11,100</w:t>
            </w:r>
          </w:p>
        </w:tc>
      </w:tr>
      <w:tr>
        <w:trPr>
          <w:trHeight w:val="220"/>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0"/>
        </w:trPr>
        <w:tc>
          <w:tcPr>
            <w:tcW w:w="6760" w:type="dxa"/>
            <w:vAlign w:val="bottom"/>
            <w:shd w:val="clear" w:color="auto" w:fill="D2EEF5"/>
          </w:tcPr>
          <w:p>
            <w:pPr>
              <w:spacing w:after="0"/>
              <w:rPr>
                <w:sz w:val="20"/>
                <w:szCs w:val="20"/>
                <w:color w:val="auto"/>
              </w:rPr>
            </w:pPr>
            <w:r>
              <w:rPr>
                <w:rFonts w:ascii="Arial" w:cs="Arial" w:eastAsia="Arial" w:hAnsi="Arial"/>
                <w:sz w:val="18"/>
                <w:szCs w:val="18"/>
                <w:b w:val="1"/>
                <w:bCs w:val="1"/>
                <w:color w:val="auto"/>
              </w:rPr>
              <w:t>EXPENSE:</w:t>
            </w:r>
          </w:p>
        </w:tc>
        <w:tc>
          <w:tcPr>
            <w:tcW w:w="1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spacing w:after="0"/>
              <w:rPr>
                <w:sz w:val="20"/>
                <w:szCs w:val="20"/>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Employee compensation and benefits</w:t>
            </w:r>
          </w:p>
        </w:tc>
        <w:tc>
          <w:tcPr>
            <w:tcW w:w="1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40"/>
        </w:trPr>
        <w:tc>
          <w:tcPr>
            <w:tcW w:w="6760" w:type="dxa"/>
            <w:vAlign w:val="bottom"/>
            <w:shd w:val="clear" w:color="auto" w:fill="D2EEF5"/>
          </w:tcPr>
          <w:p>
            <w:pPr>
              <w:ind w:left="140"/>
              <w:spacing w:after="0"/>
              <w:rPr>
                <w:sz w:val="20"/>
                <w:szCs w:val="20"/>
                <w:color w:val="auto"/>
              </w:rPr>
            </w:pPr>
            <w:r>
              <w:rPr>
                <w:rFonts w:ascii="Arial" w:cs="Arial" w:eastAsia="Arial" w:hAnsi="Arial"/>
                <w:sz w:val="18"/>
                <w:szCs w:val="18"/>
                <w:color w:val="auto"/>
              </w:rPr>
              <w:t>Other operating</w:t>
            </w:r>
          </w:p>
        </w:tc>
        <w:tc>
          <w:tcPr>
            <w:tcW w:w="140" w:type="dxa"/>
            <w:vAlign w:val="bottom"/>
            <w:tcBorders>
              <w:bottom w:val="single" w:sz="8" w:color="auto"/>
            </w:tcBorders>
            <w:shd w:val="clear" w:color="auto" w:fill="D2EEF5"/>
          </w:tcPr>
          <w:p>
            <w:pPr>
              <w:spacing w:after="0"/>
              <w:rPr>
                <w:sz w:val="20"/>
                <w:szCs w:val="20"/>
                <w:color w:val="auto"/>
              </w:rPr>
            </w:pPr>
          </w:p>
        </w:tc>
        <w:tc>
          <w:tcPr>
            <w:tcW w:w="40" w:type="dxa"/>
            <w:vAlign w:val="bottom"/>
            <w:tcBorders>
              <w:bottom w:val="single" w:sz="8" w:color="auto"/>
            </w:tcBorders>
            <w:shd w:val="clear" w:color="auto" w:fill="D2EEF5"/>
          </w:tcPr>
          <w:p>
            <w:pPr>
              <w:spacing w:after="0"/>
              <w:rPr>
                <w:sz w:val="20"/>
                <w:szCs w:val="20"/>
                <w:color w:val="auto"/>
              </w:rPr>
            </w:pPr>
          </w:p>
        </w:tc>
        <w:tc>
          <w:tcPr>
            <w:tcW w:w="1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spacing w:after="0"/>
              <w:rPr>
                <w:sz w:val="20"/>
                <w:szCs w:val="20"/>
                <w:color w:val="auto"/>
              </w:rPr>
            </w:pP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2,268</w:t>
            </w:r>
          </w:p>
        </w:tc>
      </w:tr>
      <w:tr>
        <w:trPr>
          <w:trHeight w:val="220"/>
        </w:trPr>
        <w:tc>
          <w:tcPr>
            <w:tcW w:w="676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2,699</w:t>
            </w:r>
          </w:p>
        </w:tc>
        <w:tc>
          <w:tcPr>
            <w:tcW w:w="60" w:type="dxa"/>
            <w:vAlign w:val="bottom"/>
            <w:tcBorders>
              <w:bottom w:val="single" w:sz="8" w:color="D2EEF5"/>
            </w:tcBorders>
          </w:tcPr>
          <w:p>
            <w:pPr>
              <w:spacing w:after="0"/>
              <w:rPr>
                <w:sz w:val="19"/>
                <w:szCs w:val="19"/>
                <w:color w:val="auto"/>
              </w:rPr>
            </w:pPr>
          </w:p>
        </w:tc>
        <w:tc>
          <w:tcPr>
            <w:tcW w:w="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r>
      <w:tr>
        <w:trPr>
          <w:trHeight w:val="220"/>
        </w:trPr>
        <w:tc>
          <w:tcPr>
            <w:tcW w:w="67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18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1840" w:type="dxa"/>
            <w:vAlign w:val="bottom"/>
            <w:shd w:val="clear" w:color="auto" w:fill="D2EEF5"/>
          </w:tcPr>
          <w:p>
            <w:pPr>
              <w:spacing w:after="0"/>
              <w:rPr>
                <w:sz w:val="19"/>
                <w:szCs w:val="19"/>
                <w:color w:val="auto"/>
              </w:rPr>
            </w:pPr>
          </w:p>
        </w:tc>
      </w:tr>
      <w:tr>
        <w:trPr>
          <w:trHeight w:val="240"/>
        </w:trPr>
        <w:tc>
          <w:tcPr>
            <w:tcW w:w="6760" w:type="dxa"/>
            <w:vAlign w:val="bottom"/>
          </w:tcPr>
          <w:p>
            <w:pPr>
              <w:spacing w:after="0"/>
              <w:rPr>
                <w:sz w:val="20"/>
                <w:szCs w:val="20"/>
                <w:color w:val="auto"/>
              </w:rPr>
            </w:pPr>
            <w:r>
              <w:rPr>
                <w:rFonts w:ascii="Arial" w:cs="Arial" w:eastAsia="Arial" w:hAnsi="Arial"/>
                <w:sz w:val="18"/>
                <w:szCs w:val="18"/>
                <w:color w:val="auto"/>
              </w:rPr>
              <w:t>Income before income taxes and undistributed subsidiary income</w:t>
            </w:r>
          </w:p>
        </w:tc>
        <w:tc>
          <w:tcPr>
            <w:tcW w:w="1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8,279</w:t>
            </w:r>
          </w:p>
        </w:tc>
      </w:tr>
      <w:tr>
        <w:trPr>
          <w:trHeight w:val="240"/>
        </w:trPr>
        <w:tc>
          <w:tcPr>
            <w:tcW w:w="6760" w:type="dxa"/>
            <w:vAlign w:val="bottom"/>
            <w:shd w:val="clear" w:color="auto" w:fill="D2EEF5"/>
          </w:tcPr>
          <w:p>
            <w:pPr>
              <w:ind w:left="140"/>
              <w:spacing w:after="0"/>
              <w:rPr>
                <w:sz w:val="20"/>
                <w:szCs w:val="20"/>
                <w:color w:val="auto"/>
              </w:rPr>
            </w:pPr>
            <w:r>
              <w:rPr>
                <w:rFonts w:ascii="Arial" w:cs="Arial" w:eastAsia="Arial" w:hAnsi="Arial"/>
                <w:sz w:val="18"/>
                <w:szCs w:val="18"/>
                <w:color w:val="auto"/>
              </w:rPr>
              <w:t>Benefit from income taxes</w:t>
            </w:r>
          </w:p>
        </w:tc>
        <w:tc>
          <w:tcPr>
            <w:tcW w:w="140" w:type="dxa"/>
            <w:vAlign w:val="bottom"/>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186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(684)</w:t>
            </w: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(715)</w:t>
            </w:r>
          </w:p>
        </w:tc>
      </w:tr>
      <w:tr>
        <w:trPr>
          <w:trHeight w:val="240"/>
        </w:trPr>
        <w:tc>
          <w:tcPr>
            <w:tcW w:w="6760" w:type="dxa"/>
            <w:vAlign w:val="bottom"/>
            <w:tcBorders>
              <w:bottom w:val="single" w:sz="8" w:color="D2EEF5"/>
            </w:tcBorders>
          </w:tcPr>
          <w:p>
            <w:pPr>
              <w:spacing w:after="0"/>
              <w:rPr>
                <w:sz w:val="20"/>
                <w:szCs w:val="20"/>
                <w:color w:val="auto"/>
              </w:rPr>
            </w:pPr>
            <w:r>
              <w:rPr>
                <w:rFonts w:ascii="Arial" w:cs="Arial" w:eastAsia="Arial" w:hAnsi="Arial"/>
                <w:sz w:val="18"/>
                <w:szCs w:val="18"/>
                <w:color w:val="auto"/>
              </w:rPr>
              <w:t>Equity in undisbursed subsidiary income</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21,689</w:t>
            </w:r>
          </w:p>
        </w:tc>
        <w:tc>
          <w:tcPr>
            <w:tcW w:w="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w:t>
            </w:r>
          </w:p>
        </w:tc>
      </w:tr>
      <w:tr>
        <w:trPr>
          <w:trHeight w:val="236"/>
        </w:trPr>
        <w:tc>
          <w:tcPr>
            <w:tcW w:w="6760" w:type="dxa"/>
            <w:vAlign w:val="bottom"/>
            <w:shd w:val="clear" w:color="auto" w:fill="D2EEF5"/>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gridSpan w:val="2"/>
            <w:shd w:val="clear" w:color="auto" w:fill="D2EEF5"/>
          </w:tcPr>
          <w:p>
            <w:pPr>
              <w:jc w:val="right"/>
              <w:spacing w:after="0"/>
              <w:rPr>
                <w:sz w:val="20"/>
                <w:szCs w:val="20"/>
                <w:color w:val="auto"/>
              </w:rPr>
            </w:pPr>
            <w:r>
              <w:rPr>
                <w:rFonts w:ascii="Arial" w:cs="Arial" w:eastAsia="Arial" w:hAnsi="Arial"/>
                <w:sz w:val="18"/>
                <w:szCs w:val="18"/>
                <w:color w:val="auto"/>
              </w:rPr>
              <w:t>24,674</w:t>
            </w:r>
          </w:p>
        </w:tc>
        <w:tc>
          <w:tcPr>
            <w:tcW w:w="60" w:type="dxa"/>
            <w:vAlign w:val="bottom"/>
            <w:shd w:val="clear" w:color="auto" w:fill="D2EEF5"/>
          </w:tcPr>
          <w:p>
            <w:pPr>
              <w:spacing w:after="0"/>
              <w:rPr>
                <w:sz w:val="20"/>
                <w:szCs w:val="20"/>
                <w:color w:val="auto"/>
              </w:rPr>
            </w:pPr>
          </w:p>
        </w:tc>
        <w:tc>
          <w:tcPr>
            <w:tcW w:w="20" w:type="dxa"/>
            <w:vAlign w:val="bottom"/>
            <w:tcBorders>
              <w:bottom w:val="single" w:sz="8" w:color="auto"/>
            </w:tcBorders>
            <w:shd w:val="clear" w:color="auto" w:fill="D2EEF5"/>
          </w:tcPr>
          <w:p>
            <w:pPr>
              <w:spacing w:after="0"/>
              <w:rPr>
                <w:sz w:val="20"/>
                <w:szCs w:val="20"/>
                <w:color w:val="auto"/>
              </w:rPr>
            </w:pPr>
          </w:p>
        </w:tc>
        <w:tc>
          <w:tcPr>
            <w:tcW w:w="140" w:type="dxa"/>
            <w:vAlign w:val="bottom"/>
            <w:tcBorders>
              <w:bottom w:val="single" w:sz="8" w:color="auto"/>
            </w:tcBorders>
            <w:shd w:val="clear" w:color="auto" w:fill="D2EEF5"/>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16,545</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1" w:name="page122"/>
    <w:bookmarkEnd w:id="121"/>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condensed cash flow is presented below for USCB Financial Holdings, Inc. for the periods indicated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December 31,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34"/>
        </w:trPr>
        <w:tc>
          <w:tcPr>
            <w:tcW w:w="6760" w:type="dxa"/>
            <w:vAlign w:val="bottom"/>
            <w:tcBorders>
              <w:top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20" w:type="dxa"/>
            <w:vAlign w:val="bottom"/>
            <w:tcBorders>
              <w:top w:val="single" w:sz="8" w:color="D2EEF5"/>
            </w:tcBorders>
            <w:shd w:val="clear" w:color="auto" w:fill="D2EEF5"/>
          </w:tcPr>
          <w:p>
            <w:pPr>
              <w:spacing w:after="0"/>
              <w:rPr>
                <w:sz w:val="20"/>
                <w:szCs w:val="20"/>
                <w:color w:val="auto"/>
              </w:rPr>
            </w:pPr>
          </w:p>
        </w:tc>
        <w:tc>
          <w:tcPr>
            <w:tcW w:w="120" w:type="dxa"/>
            <w:vAlign w:val="bottom"/>
            <w:tcBorders>
              <w:top w:val="single" w:sz="8" w:color="auto"/>
            </w:tcBorders>
            <w:shd w:val="clear" w:color="auto" w:fill="D2EEF5"/>
          </w:tcPr>
          <w:p>
            <w:pPr>
              <w:spacing w:after="0"/>
              <w:rPr>
                <w:sz w:val="20"/>
                <w:szCs w:val="20"/>
                <w:color w:val="auto"/>
              </w:rPr>
            </w:pPr>
          </w:p>
        </w:tc>
        <w:tc>
          <w:tcPr>
            <w:tcW w:w="40" w:type="dxa"/>
            <w:vAlign w:val="bottom"/>
            <w:tcBorders>
              <w:top w:val="single" w:sz="8" w:color="auto"/>
            </w:tcBorders>
            <w:shd w:val="clear" w:color="auto" w:fill="D2EEF5"/>
          </w:tcPr>
          <w:p>
            <w:pPr>
              <w:spacing w:after="0"/>
              <w:rPr>
                <w:sz w:val="20"/>
                <w:szCs w:val="20"/>
                <w:color w:val="auto"/>
              </w:rPr>
            </w:pPr>
          </w:p>
        </w:tc>
        <w:tc>
          <w:tcPr>
            <w:tcW w:w="1800" w:type="dxa"/>
            <w:vAlign w:val="bottom"/>
            <w:tcBorders>
              <w:top w:val="single" w:sz="8" w:color="auto"/>
            </w:tcBorders>
            <w:shd w:val="clear" w:color="auto" w:fill="D2EEF5"/>
          </w:tcPr>
          <w:p>
            <w:pPr>
              <w:spacing w:after="0"/>
              <w:rPr>
                <w:sz w:val="20"/>
                <w:szCs w:val="20"/>
                <w:color w:val="auto"/>
              </w:rPr>
            </w:pPr>
          </w:p>
        </w:tc>
        <w:tc>
          <w:tcPr>
            <w:tcW w:w="60" w:type="dxa"/>
            <w:vAlign w:val="bottom"/>
            <w:tcBorders>
              <w:top w:val="single" w:sz="8" w:color="D2EEF5"/>
            </w:tcBorders>
            <w:shd w:val="clear" w:color="auto" w:fill="D2EEF5"/>
          </w:tcPr>
          <w:p>
            <w:pPr>
              <w:spacing w:after="0"/>
              <w:rPr>
                <w:sz w:val="20"/>
                <w:szCs w:val="20"/>
                <w:color w:val="auto"/>
              </w:rPr>
            </w:pPr>
          </w:p>
        </w:tc>
        <w:tc>
          <w:tcPr>
            <w:tcW w:w="20" w:type="dxa"/>
            <w:vAlign w:val="bottom"/>
            <w:tcBorders>
              <w:top w:val="single" w:sz="8" w:color="D2EEF5"/>
            </w:tcBorders>
            <w:shd w:val="clear" w:color="auto" w:fill="D2EEF5"/>
          </w:tcPr>
          <w:p>
            <w:pPr>
              <w:spacing w:after="0"/>
              <w:rPr>
                <w:sz w:val="20"/>
                <w:szCs w:val="20"/>
                <w:color w:val="auto"/>
              </w:rPr>
            </w:pPr>
          </w:p>
        </w:tc>
        <w:tc>
          <w:tcPr>
            <w:tcW w:w="140" w:type="dxa"/>
            <w:vAlign w:val="bottom"/>
            <w:tcBorders>
              <w:top w:val="single" w:sz="8" w:color="auto"/>
            </w:tcBorders>
            <w:shd w:val="clear" w:color="auto" w:fill="D2EEF5"/>
          </w:tcPr>
          <w:p>
            <w:pPr>
              <w:spacing w:after="0"/>
              <w:rPr>
                <w:sz w:val="20"/>
                <w:szCs w:val="20"/>
                <w:color w:val="auto"/>
              </w:rPr>
            </w:pPr>
          </w:p>
        </w:tc>
        <w:tc>
          <w:tcPr>
            <w:tcW w:w="1840" w:type="dxa"/>
            <w:vAlign w:val="bottom"/>
            <w:tcBorders>
              <w:top w:val="single" w:sz="8" w:color="auto"/>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760" w:type="dxa"/>
            <w:vAlign w:val="bottom"/>
            <w:gridSpan w:val="3"/>
          </w:tcPr>
          <w:p>
            <w:pPr>
              <w:spacing w:after="0"/>
              <w:rPr>
                <w:sz w:val="20"/>
                <w:szCs w:val="20"/>
                <w:color w:val="auto"/>
              </w:rPr>
            </w:pPr>
            <w:r>
              <w:rPr>
                <w:rFonts w:ascii="Arial" w:cs="Arial" w:eastAsia="Arial" w:hAnsi="Arial"/>
                <w:sz w:val="20"/>
                <w:szCs w:val="20"/>
                <w:color w:val="auto"/>
              </w:rPr>
              <w:t>Net income</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24,674</w:t>
            </w:r>
          </w:p>
        </w:tc>
        <w:tc>
          <w:tcPr>
            <w:tcW w:w="6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62"/>
        </w:trPr>
        <w:tc>
          <w:tcPr>
            <w:tcW w:w="140" w:type="dxa"/>
            <w:vAlign w:val="bottom"/>
            <w:shd w:val="clear" w:color="auto" w:fill="D2EEF5"/>
          </w:tcPr>
          <w:p>
            <w:pPr>
              <w:spacing w:after="0"/>
              <w:rPr>
                <w:sz w:val="22"/>
                <w:szCs w:val="22"/>
                <w:color w:val="auto"/>
              </w:rPr>
            </w:pPr>
          </w:p>
        </w:tc>
        <w:tc>
          <w:tcPr>
            <w:tcW w:w="662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Adjustments to reconcile net income to net cash provided by operating</w:t>
            </w:r>
          </w:p>
        </w:tc>
        <w:tc>
          <w:tcPr>
            <w:tcW w:w="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84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40" w:type="dxa"/>
            <w:vAlign w:val="bottom"/>
            <w:shd w:val="clear" w:color="auto" w:fill="D2EEF5"/>
          </w:tcPr>
          <w:p>
            <w:pPr>
              <w:spacing w:after="0"/>
              <w:rPr>
                <w:sz w:val="21"/>
                <w:szCs w:val="21"/>
                <w:color w:val="auto"/>
              </w:rPr>
            </w:pPr>
          </w:p>
        </w:tc>
        <w:tc>
          <w:tcPr>
            <w:tcW w:w="662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activities:</w:t>
            </w:r>
          </w:p>
        </w:tc>
        <w:tc>
          <w:tcPr>
            <w:tcW w:w="2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40" w:type="dxa"/>
            <w:vAlign w:val="bottom"/>
            <w:shd w:val="clear" w:color="auto" w:fill="D2EEF5"/>
          </w:tcPr>
          <w:p>
            <w:pPr>
              <w:spacing w:after="0"/>
              <w:rPr>
                <w:sz w:val="21"/>
                <w:szCs w:val="21"/>
                <w:color w:val="auto"/>
              </w:rPr>
            </w:pPr>
          </w:p>
        </w:tc>
        <w:tc>
          <w:tcPr>
            <w:tcW w:w="180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2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184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40" w:type="dxa"/>
            <w:vAlign w:val="bottom"/>
          </w:tcPr>
          <w:p>
            <w:pPr>
              <w:spacing w:after="0"/>
              <w:rPr>
                <w:sz w:val="22"/>
                <w:szCs w:val="22"/>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Equity in undistributed earnings of subsidiaries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54"/>
        </w:trPr>
        <w:tc>
          <w:tcPr>
            <w:tcW w:w="140" w:type="dxa"/>
            <w:vAlign w:val="bottom"/>
            <w:shd w:val="clear" w:color="auto" w:fill="D2EEF5"/>
          </w:tcPr>
          <w:p>
            <w:pPr>
              <w:spacing w:after="0"/>
              <w:rPr>
                <w:sz w:val="22"/>
                <w:szCs w:val="22"/>
                <w:color w:val="auto"/>
              </w:rPr>
            </w:pPr>
          </w:p>
        </w:tc>
        <w:tc>
          <w:tcPr>
            <w:tcW w:w="662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Stock-based compensation</w:t>
            </w:r>
          </w:p>
        </w:tc>
        <w:tc>
          <w:tcPr>
            <w:tcW w:w="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8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2,129</w:t>
            </w: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Increase in deferred tax asset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9"/>
        </w:trPr>
        <w:tc>
          <w:tcPr>
            <w:tcW w:w="140" w:type="dxa"/>
            <w:vAlign w:val="bottom"/>
            <w:tcBorders>
              <w:top w:val="single" w:sz="8" w:color="D2EEF5"/>
            </w:tcBorders>
            <w:shd w:val="clear" w:color="auto" w:fill="D2EEF5"/>
          </w:tcPr>
          <w:p>
            <w:pPr>
              <w:spacing w:after="0"/>
              <w:rPr>
                <w:sz w:val="21"/>
                <w:szCs w:val="21"/>
                <w:color w:val="auto"/>
              </w:rPr>
            </w:pPr>
          </w:p>
        </w:tc>
        <w:tc>
          <w:tcPr>
            <w:tcW w:w="140" w:type="dxa"/>
            <w:vAlign w:val="bottom"/>
            <w:tcBorders>
              <w:top w:val="single" w:sz="8" w:color="D2EEF5"/>
            </w:tcBorders>
            <w:shd w:val="clear" w:color="auto" w:fill="D2EEF5"/>
          </w:tcPr>
          <w:p>
            <w:pPr>
              <w:spacing w:after="0"/>
              <w:rPr>
                <w:sz w:val="21"/>
                <w:szCs w:val="21"/>
                <w:color w:val="auto"/>
              </w:rPr>
            </w:pPr>
          </w:p>
        </w:tc>
        <w:tc>
          <w:tcPr>
            <w:tcW w:w="648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20"/>
                <w:szCs w:val="20"/>
                <w:color w:val="auto"/>
              </w:rPr>
              <w:t>Net cash provided by operating activities</w:t>
            </w:r>
          </w:p>
        </w:tc>
        <w:tc>
          <w:tcPr>
            <w:tcW w:w="20" w:type="dxa"/>
            <w:vAlign w:val="bottom"/>
            <w:tcBorders>
              <w:top w:val="single" w:sz="8" w:color="D2EEF5"/>
            </w:tcBorders>
            <w:shd w:val="clear" w:color="auto" w:fill="D2EEF5"/>
          </w:tcPr>
          <w:p>
            <w:pPr>
              <w:spacing w:after="0"/>
              <w:rPr>
                <w:sz w:val="21"/>
                <w:szCs w:val="21"/>
                <w:color w:val="auto"/>
              </w:rPr>
            </w:pPr>
          </w:p>
        </w:tc>
        <w:tc>
          <w:tcPr>
            <w:tcW w:w="120" w:type="dxa"/>
            <w:vAlign w:val="bottom"/>
            <w:tcBorders>
              <w:top w:val="single" w:sz="8" w:color="auto"/>
              <w:bottom w:val="single" w:sz="8" w:color="auto"/>
            </w:tcBorders>
            <w:shd w:val="clear" w:color="auto" w:fill="D2EEF5"/>
          </w:tcPr>
          <w:p>
            <w:pPr>
              <w:spacing w:after="0"/>
              <w:rPr>
                <w:sz w:val="21"/>
                <w:szCs w:val="21"/>
                <w:color w:val="auto"/>
              </w:rPr>
            </w:pPr>
          </w:p>
        </w:tc>
        <w:tc>
          <w:tcPr>
            <w:tcW w:w="40" w:type="dxa"/>
            <w:vAlign w:val="bottom"/>
            <w:tcBorders>
              <w:top w:val="single" w:sz="8" w:color="auto"/>
              <w:bottom w:val="single" w:sz="8" w:color="auto"/>
            </w:tcBorders>
            <w:shd w:val="clear" w:color="auto" w:fill="D2EEF5"/>
          </w:tcPr>
          <w:p>
            <w:pPr>
              <w:spacing w:after="0"/>
              <w:rPr>
                <w:sz w:val="21"/>
                <w:szCs w:val="21"/>
                <w:color w:val="auto"/>
              </w:rPr>
            </w:pPr>
          </w:p>
        </w:tc>
        <w:tc>
          <w:tcPr>
            <w:tcW w:w="18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4,430</w:t>
            </w:r>
          </w:p>
        </w:tc>
        <w:tc>
          <w:tcPr>
            <w:tcW w:w="6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140" w:type="dxa"/>
            <w:vAlign w:val="bottom"/>
            <w:tcBorders>
              <w:top w:val="single" w:sz="8" w:color="auto"/>
              <w:bottom w:val="single" w:sz="8" w:color="auto"/>
            </w:tcBorders>
            <w:shd w:val="clear" w:color="auto" w:fill="D2EEF5"/>
          </w:tcPr>
          <w:p>
            <w:pPr>
              <w:spacing w:after="0"/>
              <w:rPr>
                <w:sz w:val="21"/>
                <w:szCs w:val="21"/>
                <w:color w:val="auto"/>
              </w:rPr>
            </w:pPr>
          </w:p>
        </w:tc>
        <w:tc>
          <w:tcPr>
            <w:tcW w:w="18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76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Capital contributions to subsidiary</w:t>
            </w:r>
          </w:p>
        </w:tc>
        <w:tc>
          <w:tcPr>
            <w:tcW w:w="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184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76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Other</w:t>
            </w:r>
          </w:p>
        </w:tc>
        <w:tc>
          <w:tcPr>
            <w:tcW w:w="20" w:type="dxa"/>
            <w:vAlign w:val="bottom"/>
            <w:tcBorders>
              <w:bottom w:val="single" w:sz="8" w:color="D2EEF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14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6480" w:type="dxa"/>
            <w:vAlign w:val="bottom"/>
            <w:shd w:val="clear" w:color="auto" w:fill="D2EEF5"/>
          </w:tcPr>
          <w:p>
            <w:pPr>
              <w:spacing w:after="0"/>
              <w:rPr>
                <w:sz w:val="20"/>
                <w:szCs w:val="20"/>
                <w:color w:val="auto"/>
              </w:rPr>
            </w:pPr>
            <w:r>
              <w:rPr>
                <w:rFonts w:ascii="Arial" w:cs="Arial" w:eastAsia="Arial" w:hAnsi="Arial"/>
                <w:sz w:val="20"/>
                <w:szCs w:val="20"/>
                <w:color w:val="auto"/>
              </w:rPr>
              <w:t>Net cash used in investing activities</w:t>
            </w:r>
          </w:p>
        </w:tc>
        <w:tc>
          <w:tcPr>
            <w:tcW w:w="20" w:type="dxa"/>
            <w:vAlign w:val="bottom"/>
            <w:shd w:val="clear" w:color="auto" w:fill="D2EEF5"/>
          </w:tcPr>
          <w:p>
            <w:pPr>
              <w:spacing w:after="0"/>
              <w:rPr>
                <w:sz w:val="21"/>
                <w:szCs w:val="21"/>
                <w:color w:val="auto"/>
              </w:rPr>
            </w:pPr>
          </w:p>
        </w:tc>
        <w:tc>
          <w:tcPr>
            <w:tcW w:w="120" w:type="dxa"/>
            <w:vAlign w:val="bottom"/>
            <w:tcBorders>
              <w:bottom w:val="single" w:sz="8" w:color="auto"/>
            </w:tcBorders>
            <w:shd w:val="clear" w:color="auto" w:fill="D2EEF5"/>
          </w:tcPr>
          <w:p>
            <w:pPr>
              <w:spacing w:after="0"/>
              <w:rPr>
                <w:sz w:val="21"/>
                <w:szCs w:val="21"/>
                <w:color w:val="auto"/>
              </w:rPr>
            </w:pPr>
          </w:p>
        </w:tc>
        <w:tc>
          <w:tcPr>
            <w:tcW w:w="40" w:type="dxa"/>
            <w:vAlign w:val="bottom"/>
            <w:tcBorders>
              <w:bottom w:val="single" w:sz="8" w:color="auto"/>
            </w:tcBorders>
            <w:shd w:val="clear" w:color="auto" w:fill="D2EEF5"/>
          </w:tcPr>
          <w:p>
            <w:pPr>
              <w:spacing w:after="0"/>
              <w:rPr>
                <w:sz w:val="21"/>
                <w:szCs w:val="21"/>
                <w:color w:val="auto"/>
              </w:rPr>
            </w:pPr>
          </w:p>
        </w:tc>
        <w:tc>
          <w:tcPr>
            <w:tcW w:w="1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EF5"/>
          </w:tcPr>
          <w:p>
            <w:pPr>
              <w:spacing w:after="0"/>
              <w:rPr>
                <w:sz w:val="21"/>
                <w:szCs w:val="21"/>
                <w:color w:val="auto"/>
              </w:rPr>
            </w:pPr>
          </w:p>
        </w:tc>
        <w:tc>
          <w:tcPr>
            <w:tcW w:w="20" w:type="dxa"/>
            <w:vAlign w:val="bottom"/>
            <w:shd w:val="clear" w:color="auto" w:fill="D2EEF5"/>
          </w:tcPr>
          <w:p>
            <w:pPr>
              <w:spacing w:after="0"/>
              <w:rPr>
                <w:sz w:val="21"/>
                <w:szCs w:val="21"/>
                <w:color w:val="auto"/>
              </w:rPr>
            </w:pPr>
          </w:p>
        </w:tc>
        <w:tc>
          <w:tcPr>
            <w:tcW w:w="140" w:type="dxa"/>
            <w:vAlign w:val="bottom"/>
            <w:tcBorders>
              <w:bottom w:val="single" w:sz="8" w:color="auto"/>
            </w:tcBorders>
            <w:shd w:val="clear" w:color="auto" w:fill="D2EEF5"/>
          </w:tcPr>
          <w:p>
            <w:pPr>
              <w:spacing w:after="0"/>
              <w:rPr>
                <w:sz w:val="21"/>
                <w:szCs w:val="21"/>
                <w:color w:val="auto"/>
              </w:rPr>
            </w:pP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0" w:type="dxa"/>
            <w:vAlign w:val="bottom"/>
            <w:shd w:val="clear" w:color="auto" w:fill="D2EEF5"/>
          </w:tcPr>
          <w:p>
            <w:pPr>
              <w:spacing w:after="0"/>
              <w:rPr>
                <w:sz w:val="22"/>
                <w:szCs w:val="22"/>
                <w:color w:val="auto"/>
              </w:rPr>
            </w:pPr>
          </w:p>
        </w:tc>
        <w:tc>
          <w:tcPr>
            <w:tcW w:w="662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Dividends paid</w:t>
            </w:r>
          </w:p>
        </w:tc>
        <w:tc>
          <w:tcPr>
            <w:tcW w:w="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86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(3,939)</w:t>
            </w: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Proceeds from exercise of stock options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4"/>
        </w:trPr>
        <w:tc>
          <w:tcPr>
            <w:tcW w:w="140" w:type="dxa"/>
            <w:vAlign w:val="bottom"/>
            <w:shd w:val="clear" w:color="auto" w:fill="D2EEF5"/>
          </w:tcPr>
          <w:p>
            <w:pPr>
              <w:spacing w:after="0"/>
              <w:rPr>
                <w:sz w:val="22"/>
                <w:szCs w:val="22"/>
                <w:color w:val="auto"/>
              </w:rPr>
            </w:pPr>
          </w:p>
        </w:tc>
        <w:tc>
          <w:tcPr>
            <w:tcW w:w="662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Repurchase of common stock</w:t>
            </w:r>
          </w:p>
        </w:tc>
        <w:tc>
          <w:tcPr>
            <w:tcW w:w="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860" w:type="dxa"/>
            <w:vAlign w:val="bottom"/>
            <w:gridSpan w:val="2"/>
            <w:shd w:val="clear" w:color="auto" w:fill="D2EEF5"/>
          </w:tcPr>
          <w:p>
            <w:pPr>
              <w:jc w:val="right"/>
              <w:ind w:right="60"/>
              <w:spacing w:after="0"/>
              <w:rPr>
                <w:sz w:val="20"/>
                <w:szCs w:val="20"/>
                <w:color w:val="auto"/>
              </w:rPr>
            </w:pPr>
            <w:r>
              <w:rPr>
                <w:rFonts w:ascii="Arial" w:cs="Arial" w:eastAsia="Arial" w:hAnsi="Arial"/>
                <w:sz w:val="18"/>
                <w:szCs w:val="18"/>
                <w:color w:val="auto"/>
              </w:rPr>
              <w:t>(501)</w:t>
            </w: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8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620" w:type="dxa"/>
            <w:vAlign w:val="bottom"/>
            <w:gridSpan w:val="2"/>
            <w:vMerge w:val="restart"/>
          </w:tcPr>
          <w:p>
            <w:pPr>
              <w:spacing w:after="0"/>
              <w:rPr>
                <w:sz w:val="20"/>
                <w:szCs w:val="20"/>
                <w:color w:val="auto"/>
              </w:rPr>
            </w:pPr>
            <w:r>
              <w:rPr>
                <w:rFonts w:ascii="Arial" w:cs="Arial" w:eastAsia="Arial" w:hAnsi="Arial"/>
                <w:sz w:val="20"/>
                <w:szCs w:val="20"/>
                <w:color w:val="auto"/>
              </w:rPr>
              <w:t>Net cash (used in) provided by financing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4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1"/>
        </w:trPr>
        <w:tc>
          <w:tcPr>
            <w:tcW w:w="140" w:type="dxa"/>
            <w:vAlign w:val="bottom"/>
            <w:tcBorders>
              <w:top w:val="single" w:sz="8" w:color="D2EEF5"/>
            </w:tcBorders>
            <w:shd w:val="clear" w:color="auto" w:fill="D2EEF5"/>
          </w:tcPr>
          <w:p>
            <w:pPr>
              <w:spacing w:after="0"/>
              <w:rPr>
                <w:sz w:val="18"/>
                <w:szCs w:val="18"/>
                <w:color w:val="auto"/>
              </w:rPr>
            </w:pPr>
          </w:p>
        </w:tc>
        <w:tc>
          <w:tcPr>
            <w:tcW w:w="6620" w:type="dxa"/>
            <w:vAlign w:val="bottom"/>
            <w:tcBorders>
              <w:top w:val="single" w:sz="8" w:color="D2EEF5"/>
            </w:tcBorders>
            <w:gridSpan w:val="2"/>
            <w:shd w:val="clear" w:color="auto" w:fill="D2EEF5"/>
          </w:tcPr>
          <w:p>
            <w:pPr>
              <w:spacing w:after="0" w:line="211" w:lineRule="exact"/>
              <w:rPr>
                <w:sz w:val="20"/>
                <w:szCs w:val="20"/>
                <w:color w:val="auto"/>
              </w:rPr>
            </w:pPr>
            <w:r>
              <w:rPr>
                <w:rFonts w:ascii="Arial" w:cs="Arial" w:eastAsia="Arial" w:hAnsi="Arial"/>
                <w:sz w:val="20"/>
                <w:szCs w:val="20"/>
                <w:color w:val="auto"/>
              </w:rPr>
              <w:t>Net increase in cash and cash equivalents</w:t>
            </w:r>
          </w:p>
        </w:tc>
        <w:tc>
          <w:tcPr>
            <w:tcW w:w="20" w:type="dxa"/>
            <w:vAlign w:val="bottom"/>
            <w:tcBorders>
              <w:top w:val="single" w:sz="8" w:color="D2EEF5"/>
            </w:tcBorders>
            <w:shd w:val="clear" w:color="auto" w:fill="D2EEF5"/>
          </w:tcPr>
          <w:p>
            <w:pPr>
              <w:spacing w:after="0"/>
              <w:rPr>
                <w:sz w:val="18"/>
                <w:szCs w:val="18"/>
                <w:color w:val="auto"/>
              </w:rPr>
            </w:pPr>
          </w:p>
        </w:tc>
        <w:tc>
          <w:tcPr>
            <w:tcW w:w="120" w:type="dxa"/>
            <w:vAlign w:val="bottom"/>
            <w:tcBorders>
              <w:top w:val="single" w:sz="8" w:color="auto"/>
            </w:tcBorders>
            <w:shd w:val="clear" w:color="auto" w:fill="D2EEF5"/>
          </w:tcPr>
          <w:p>
            <w:pPr>
              <w:spacing w:after="0"/>
              <w:rPr>
                <w:sz w:val="18"/>
                <w:szCs w:val="18"/>
                <w:color w:val="auto"/>
              </w:rPr>
            </w:pPr>
          </w:p>
        </w:tc>
        <w:tc>
          <w:tcPr>
            <w:tcW w:w="40" w:type="dxa"/>
            <w:vAlign w:val="bottom"/>
            <w:tcBorders>
              <w:top w:val="single" w:sz="8" w:color="auto"/>
            </w:tcBorders>
            <w:shd w:val="clear" w:color="auto" w:fill="D2EEF5"/>
          </w:tcPr>
          <w:p>
            <w:pPr>
              <w:spacing w:after="0"/>
              <w:rPr>
                <w:sz w:val="18"/>
                <w:szCs w:val="18"/>
                <w:color w:val="auto"/>
              </w:rPr>
            </w:pPr>
          </w:p>
        </w:tc>
        <w:tc>
          <w:tcPr>
            <w:tcW w:w="18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40" w:type="dxa"/>
            <w:vAlign w:val="bottom"/>
            <w:tcBorders>
              <w:top w:val="single" w:sz="8" w:color="auto"/>
            </w:tcBorders>
            <w:shd w:val="clear" w:color="auto" w:fill="D2EEF5"/>
          </w:tcPr>
          <w:p>
            <w:pPr>
              <w:spacing w:after="0"/>
              <w:rPr>
                <w:sz w:val="18"/>
                <w:szCs w:val="18"/>
                <w:color w:val="auto"/>
              </w:rPr>
            </w:pPr>
          </w:p>
        </w:tc>
        <w:tc>
          <w:tcPr>
            <w:tcW w:w="18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54"/>
        </w:trPr>
        <w:tc>
          <w:tcPr>
            <w:tcW w:w="140" w:type="dxa"/>
            <w:vAlign w:val="bottom"/>
          </w:tcPr>
          <w:p>
            <w:pPr>
              <w:spacing w:after="0"/>
              <w:rPr>
                <w:sz w:val="22"/>
                <w:szCs w:val="22"/>
                <w:color w:val="auto"/>
              </w:rPr>
            </w:pPr>
          </w:p>
        </w:tc>
        <w:tc>
          <w:tcPr>
            <w:tcW w:w="66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40" w:type="dxa"/>
            <w:vAlign w:val="bottom"/>
            <w:tcBorders>
              <w:bottom w:val="single" w:sz="8" w:color="D2EEF5"/>
            </w:tcBorders>
            <w:shd w:val="clear" w:color="auto" w:fill="D2EEF5"/>
          </w:tcPr>
          <w:p>
            <w:pPr>
              <w:spacing w:after="0"/>
              <w:rPr>
                <w:sz w:val="23"/>
                <w:szCs w:val="23"/>
                <w:color w:val="auto"/>
              </w:rPr>
            </w:pPr>
          </w:p>
        </w:tc>
        <w:tc>
          <w:tcPr>
            <w:tcW w:w="66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Cash and cash equivalents, beginning of period</w:t>
            </w:r>
          </w:p>
        </w:tc>
        <w:tc>
          <w:tcPr>
            <w:tcW w:w="20" w:type="dxa"/>
            <w:vAlign w:val="bottom"/>
            <w:tcBorders>
              <w:bottom w:val="single" w:sz="8" w:color="D2EEF5"/>
            </w:tcBorders>
            <w:shd w:val="clear" w:color="auto" w:fill="D2EEF5"/>
          </w:tcPr>
          <w:p>
            <w:pPr>
              <w:spacing w:after="0"/>
              <w:rPr>
                <w:sz w:val="23"/>
                <w:szCs w:val="23"/>
                <w:color w:val="auto"/>
              </w:rPr>
            </w:pPr>
          </w:p>
        </w:tc>
        <w:tc>
          <w:tcPr>
            <w:tcW w:w="120" w:type="dxa"/>
            <w:vAlign w:val="bottom"/>
            <w:tcBorders>
              <w:bottom w:val="single" w:sz="8" w:color="auto"/>
            </w:tcBorders>
            <w:shd w:val="clear" w:color="auto" w:fill="D2EEF5"/>
          </w:tcPr>
          <w:p>
            <w:pPr>
              <w:spacing w:after="0"/>
              <w:rPr>
                <w:sz w:val="23"/>
                <w:szCs w:val="23"/>
                <w:color w:val="auto"/>
              </w:rPr>
            </w:pPr>
          </w:p>
        </w:tc>
        <w:tc>
          <w:tcPr>
            <w:tcW w:w="40" w:type="dxa"/>
            <w:vAlign w:val="bottom"/>
            <w:tcBorders>
              <w:bottom w:val="single" w:sz="8" w:color="auto"/>
            </w:tcBorders>
            <w:shd w:val="clear" w:color="auto" w:fill="D2EEF5"/>
          </w:tcPr>
          <w:p>
            <w:pPr>
              <w:spacing w:after="0"/>
              <w:rPr>
                <w:sz w:val="23"/>
                <w:szCs w:val="23"/>
                <w:color w:val="auto"/>
              </w:rPr>
            </w:pPr>
          </w:p>
        </w:tc>
        <w:tc>
          <w:tcPr>
            <w:tcW w:w="1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2,426</w:t>
            </w:r>
          </w:p>
        </w:tc>
        <w:tc>
          <w:tcPr>
            <w:tcW w:w="60" w:type="dxa"/>
            <w:vAlign w:val="bottom"/>
            <w:tcBorders>
              <w:bottom w:val="single" w:sz="8" w:color="D2EEF5"/>
            </w:tcBorders>
            <w:shd w:val="clear" w:color="auto" w:fill="D2EEF5"/>
          </w:tcPr>
          <w:p>
            <w:pPr>
              <w:spacing w:after="0"/>
              <w:rPr>
                <w:sz w:val="23"/>
                <w:szCs w:val="23"/>
                <w:color w:val="auto"/>
              </w:rPr>
            </w:pPr>
          </w:p>
        </w:tc>
        <w:tc>
          <w:tcPr>
            <w:tcW w:w="20" w:type="dxa"/>
            <w:vAlign w:val="bottom"/>
            <w:tcBorders>
              <w:bottom w:val="single" w:sz="8" w:color="D2EEF5"/>
            </w:tcBorders>
            <w:shd w:val="clear" w:color="auto" w:fill="D2EEF5"/>
          </w:tcPr>
          <w:p>
            <w:pPr>
              <w:spacing w:after="0"/>
              <w:rPr>
                <w:sz w:val="23"/>
                <w:szCs w:val="23"/>
                <w:color w:val="auto"/>
              </w:rPr>
            </w:pPr>
          </w:p>
        </w:tc>
        <w:tc>
          <w:tcPr>
            <w:tcW w:w="140" w:type="dxa"/>
            <w:vAlign w:val="bottom"/>
            <w:tcBorders>
              <w:bottom w:val="single" w:sz="8" w:color="auto"/>
            </w:tcBorders>
            <w:shd w:val="clear" w:color="auto" w:fill="D2EEF5"/>
          </w:tcPr>
          <w:p>
            <w:pPr>
              <w:spacing w:after="0"/>
              <w:rPr>
                <w:sz w:val="23"/>
                <w:szCs w:val="23"/>
                <w:color w:val="auto"/>
              </w:rPr>
            </w:pPr>
          </w:p>
        </w:tc>
        <w:tc>
          <w:tcPr>
            <w:tcW w:w="1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Cash and cash equivalents, end of period</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3,735</w:t>
            </w:r>
          </w:p>
        </w:tc>
        <w:tc>
          <w:tcPr>
            <w:tcW w:w="60" w:type="dxa"/>
            <w:vAlign w:val="bottom"/>
          </w:tcPr>
          <w:p>
            <w:pPr>
              <w:spacing w:after="0"/>
              <w:rPr>
                <w:sz w:val="20"/>
                <w:szCs w:val="20"/>
                <w:color w:val="auto"/>
              </w:rPr>
            </w:pPr>
          </w:p>
        </w:tc>
        <w:tc>
          <w:tcPr>
            <w:tcW w:w="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2" w:name="page123"/>
    <w:bookmarkEnd w:id="122"/>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SEGMENT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Operating segments are components of an enterprise about which separate financial information is available that is evaluated regularly by the chief operating decision maker (“CODM”) in assessing performance and in deciding how to allocate resources. The Company’s CODM is the President, Chief Executive Officer, and Chairman.</w:t>
      </w:r>
    </w:p>
    <w:p>
      <w:pPr>
        <w:spacing w:after="0" w:line="17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Company through the Bank, its sole direct subsidiary, operates 10 banking centers in South Florida providing a wide range of personal and business banking products and services, and through a subsidiary of the Bank, offers clients title insurance policies for real estate transactions closed at the Bank. The Company’s business activities are similar in their nature, operations and economic characteristics, largely serving commercial and specialty banking clients with products and services that are offered through similar processes and platforms. Accounting policies for the products and services referenced here are the same as those described in Note 1, “Summary of Significant Accounting Policies”. The Company’s segment revenue is driven primarily by interest income on loans as well as fee income from the origination of loans and from fees charged on loans and deposit accounts. Lending activities include loans to individuals, which primarily consist of home equity lines of credit, residential real estate loans, yacht loans, and consumer loans, and loans to commercial clients, which include commercial and industrial loans, commercial real estate loans, residential real estate loans, correspondent banking loans, and letters of credit.</w:t>
      </w:r>
    </w:p>
    <w:p>
      <w:pPr>
        <w:spacing w:after="0" w:line="18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CODM regularly reviews consolidated income and expenses, as presented on the Consolidated Statements of Operations, in addition to consolidated assets presented on the Consolidated Balance Sheets. The significant segment expenses that the CODM receives regularly are interest expense, provision for credit losses, salaries and wages, employee benefits, and occupancy. The CODM evaluates the performance of the segment and allocates resources based on net income that is also reported on the Consolidated Statements of Operations as consolidated net income to maximize shareholder value. Additionally, consolidated internal financial information is used by the CODM to monitor credit quality and credit loss expense. Furthermore, net income, as the measure of profit or loss, is used to monitor budget versus actual results and to perform competitive analyses that benchmark the Company to competitors. As a result, the Company has determined that it has only one reportable segment.</w:t>
      </w:r>
    </w:p>
    <w:p>
      <w:pPr>
        <w:spacing w:after="0" w:line="200" w:lineRule="exact"/>
        <w:rPr>
          <w:sz w:val="20"/>
          <w:szCs w:val="20"/>
          <w:color w:val="auto"/>
        </w:rPr>
      </w:pPr>
    </w:p>
    <w:p>
      <w:pPr>
        <w:spacing w:after="0" w:line="211" w:lineRule="exact"/>
        <w:rPr>
          <w:sz w:val="20"/>
          <w:szCs w:val="20"/>
          <w:color w:val="auto"/>
        </w:rPr>
      </w:pPr>
    </w:p>
    <w:p>
      <w:pPr>
        <w:ind w:left="540" w:hanging="540"/>
        <w:spacing w:after="0"/>
        <w:tabs>
          <w:tab w:leader="none" w:pos="54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LOSS 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67" w:lineRule="exact"/>
        <w:rPr>
          <w:sz w:val="20"/>
          <w:szCs w:val="20"/>
          <w:color w:val="auto"/>
        </w:rPr>
      </w:pPr>
    </w:p>
    <w:p>
      <w:pPr>
        <w:ind w:left="720" w:hanging="720"/>
        <w:spacing w:after="0"/>
        <w:tabs>
          <w:tab w:leader="none" w:pos="72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5"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On January 21, 2025, the Company’s Board of Directors declared a quarterly cash dividend of $0.10 per share of Class A common stock, to be paid on March 5, 2025, to stockholders of record as of the close of business on February 14, 2025.</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BOLI</w:t>
      </w:r>
    </w:p>
    <w:p>
      <w:pPr>
        <w:spacing w:after="0" w:line="23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In January 2025, the Company acquired a bank owned life insurance policy with a cash surrender value of $4.0 million dollars.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3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In January 2025, the Company entered into an agreement in connection with a $20.0 million Fed Funds unsecured uncommitted facility with another insured depository institution.</w:t>
      </w:r>
    </w:p>
    <w:p>
      <w:pPr>
        <w:spacing w:after="0" w:line="151" w:lineRule="exact"/>
        <w:rPr>
          <w:sz w:val="20"/>
          <w:szCs w:val="20"/>
          <w:color w:val="auto"/>
        </w:rPr>
      </w:pPr>
    </w:p>
    <w:p>
      <w:pPr>
        <w:ind w:firstLine="360"/>
        <w:spacing w:after="0" w:line="280" w:lineRule="auto"/>
        <w:rPr>
          <w:sz w:val="20"/>
          <w:szCs w:val="20"/>
          <w:color w:val="auto"/>
        </w:rPr>
      </w:pPr>
      <w:r>
        <w:rPr>
          <w:rFonts w:ascii="Arial" w:cs="Arial" w:eastAsia="Arial" w:hAnsi="Arial"/>
          <w:sz w:val="20"/>
          <w:szCs w:val="20"/>
          <w:color w:val="auto"/>
        </w:rPr>
        <w:t>In February 2025, the Company entered into an agreement in connection with a $20.0 million Fed Funds unsecured uncommitted facility with another insured depository institution.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February 28, 2025 there are no advances under these new Fed Funds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3" w:name="page124"/>
    <w:bookmarkEnd w:id="123"/>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Under the supervision and with the participation of our management, including our Chief Executive Officer and our Chief Financial Officer, we evaluated the effectiveness of the design and operation of the Company’s disclosure controls and procedures as of December 31, 2024.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Annual Report on Form 10-K.</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This annual report does not include an integrated audit report of the Company's registered public accounting firm regarding internal control over financial reporting. Management's report was not subject to audit by the Company's registered public accounting firm pursuant to the rules of the SEC that permit the Company, as an emerging growth company to provide only management's report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55" w:lineRule="exact"/>
        <w:rPr>
          <w:sz w:val="20"/>
          <w:szCs w:val="20"/>
          <w:color w:val="auto"/>
        </w:rPr>
      </w:pPr>
    </w:p>
    <w:p>
      <w:pPr>
        <w:ind w:left="720" w:hanging="360"/>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maintain records that accurately reflect the Company’s transactions;</w:t>
      </w:r>
    </w:p>
    <w:p>
      <w:pPr>
        <w:spacing w:after="0" w:line="26" w:lineRule="exact"/>
        <w:rPr>
          <w:rFonts w:ascii="Arial" w:cs="Arial" w:eastAsia="Arial" w:hAnsi="Arial"/>
          <w:sz w:val="20"/>
          <w:szCs w:val="20"/>
          <w:color w:val="auto"/>
        </w:rPr>
      </w:pPr>
    </w:p>
    <w:p>
      <w:pPr>
        <w:ind w:left="720" w:hanging="360"/>
        <w:spacing w:after="0" w:line="239"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prepare financial statement and footnote disclosures in accordance with U.S. GAAP that can be relied upon by external users; and</w:t>
      </w:r>
    </w:p>
    <w:p>
      <w:pPr>
        <w:ind w:left="720" w:hanging="360"/>
        <w:spacing w:after="0" w:line="255"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prevent and detect unauthorized acquisition, use or disposition of the Company's assets that could have a material effect on the financial statements.</w:t>
      </w:r>
    </w:p>
    <w:p>
      <w:pPr>
        <w:spacing w:after="0" w:line="1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2024. Furthermore, during the conduct of its assessment, management identified no material weakness in its financial reporting control system.</w:t>
      </w:r>
    </w:p>
    <w:p>
      <w:pPr>
        <w:spacing w:after="0" w:line="170"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Board of the Company,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company’s independent registered public accounting firm throughout the year to provide assurance as to the adequacy of the financial reporting process and to monitor the overall scope of the work performed by the internal audit staff and the independent registered public accounting firm.</w:t>
      </w:r>
    </w:p>
    <w:p>
      <w:pPr>
        <w:spacing w:after="0" w:line="1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There has been no change in our internal control over financial reporting (as defined in Rules 13a-15(f) and 15d-15(f) under the Exchange Act) during our most recent fiscal quarter that has materially affected, or is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None</w:t>
      </w:r>
    </w:p>
    <w:p>
      <w:pPr>
        <w:spacing w:after="0" w:line="200" w:lineRule="exact"/>
        <w:rPr>
          <w:sz w:val="20"/>
          <w:szCs w:val="20"/>
          <w:color w:val="auto"/>
        </w:rPr>
      </w:pPr>
    </w:p>
    <w:p>
      <w:pPr>
        <w:spacing w:after="0" w:line="382"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4" w:name="page125"/>
    <w:bookmarkEnd w:id="124"/>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5" w:lineRule="exact"/>
        <w:rPr>
          <w:sz w:val="20"/>
          <w:szCs w:val="20"/>
          <w:color w:val="auto"/>
        </w:rPr>
      </w:pPr>
    </w:p>
    <w:p>
      <w:pPr>
        <w:jc w:val="both"/>
        <w:ind w:left="720" w:hanging="360"/>
        <w:spacing w:after="0" w:line="261"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During the three months ended December 31, 2024, none of the Company’s directors or Section 16 reporting officers adopted or terminated any Rule 10b5-1 trading arrangement or non-Rule 10b5-1 trading arrangement (as such terms are defined in Item 408 of the SEC’s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5" w:name="page126"/>
    <w:bookmarkEnd w:id="125"/>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27, 2025, is expected to be filed with the SEC within 120 days of December 31, 2024 (“2025 Definitive Proxy Statement”).</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8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There have been no material changes to the procedures by which shareholders may recommend nominees to the Company’s Board.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The information required herein is incorporated by reference from the sections captioned "Executive Compensation" and “Information with Respect to Nominees for Director and Information About Executive Officers – Corporate Governance Principles and Board Matters” and “- Director Compensation” in the Company’s 2025 Definitive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180" w:firstLine="720"/>
        <w:spacing w:after="0" w:line="263" w:lineRule="auto"/>
        <w:rPr>
          <w:sz w:val="20"/>
          <w:szCs w:val="20"/>
          <w:color w:val="auto"/>
        </w:rPr>
      </w:pPr>
      <w:r>
        <w:rPr>
          <w:rFonts w:ascii="Arial" w:cs="Arial" w:eastAsia="Arial" w:hAnsi="Arial"/>
          <w:sz w:val="20"/>
          <w:szCs w:val="20"/>
          <w:b w:val="1"/>
          <w:bCs w:val="1"/>
          <w:color w:val="auto"/>
        </w:rPr>
        <w:t>Equity compensation Plan information</w:t>
      </w:r>
      <w:r>
        <w:rPr>
          <w:rFonts w:ascii="Arial" w:cs="Arial" w:eastAsia="Arial" w:hAnsi="Arial"/>
          <w:sz w:val="20"/>
          <w:szCs w:val="20"/>
          <w:color w:val="auto"/>
        </w:rPr>
        <w:t>. The following table provide information as of December 31, 2024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shares of common stock that may be issued under our existing equity compensation plans, which consists of 2015 Equity Incentive Plan (the “2015 Option Plan”) which was approved by our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securities issued</w:t>
            </w:r>
          </w:p>
        </w:tc>
        <w:tc>
          <w:tcPr>
            <w:tcW w:w="40" w:type="dxa"/>
            <w:vAlign w:val="bottom"/>
          </w:tcPr>
          <w:p>
            <w:pPr>
              <w:spacing w:after="0"/>
              <w:rPr>
                <w:sz w:val="17"/>
                <w:szCs w:val="17"/>
                <w:color w:val="auto"/>
              </w:rPr>
            </w:pPr>
          </w:p>
        </w:tc>
        <w:tc>
          <w:tcPr>
            <w:tcW w:w="174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rPr>
              <w:t>Weighted-average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or to be upon</w:t>
            </w:r>
          </w:p>
        </w:tc>
        <w:tc>
          <w:tcPr>
            <w:tcW w:w="4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exercise price of</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outstanding</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plans (excluding</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options, warrants</w:t>
            </w:r>
          </w:p>
        </w:tc>
        <w:tc>
          <w:tcPr>
            <w:tcW w:w="40" w:type="dxa"/>
            <w:vAlign w:val="bottom"/>
          </w:tcPr>
          <w:p>
            <w:pPr>
              <w:spacing w:after="0"/>
              <w:rPr>
                <w:sz w:val="17"/>
                <w:szCs w:val="17"/>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9"/>
              </w:rPr>
              <w:t>options, warrants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and rights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and rights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column (a))</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i w:val="1"/>
                <w:iCs w:val="1"/>
                <w:color w:val="auto"/>
              </w:rPr>
              <w:t>Per Category</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 (1)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(b) (1)</w:t>
            </w:r>
          </w:p>
        </w:tc>
        <w:tc>
          <w:tcPr>
            <w:tcW w:w="60" w:type="dxa"/>
            <w:vAlign w:val="bottom"/>
            <w:gridSpan w:val="2"/>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220"/>
        </w:trPr>
        <w:tc>
          <w:tcPr>
            <w:tcW w:w="5100" w:type="dxa"/>
            <w:vAlign w:val="bottom"/>
            <w:gridSpan w:val="2"/>
            <w:shd w:val="clear" w:color="auto" w:fill="D2EEF5"/>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1,127,243</w:t>
            </w:r>
          </w:p>
        </w:tc>
        <w:tc>
          <w:tcPr>
            <w:tcW w:w="40" w:type="dxa"/>
            <w:vAlign w:val="bottom"/>
            <w:shd w:val="clear" w:color="auto" w:fill="D2EEF5"/>
          </w:tcPr>
          <w:p>
            <w:pPr>
              <w:spacing w:after="0"/>
              <w:rPr>
                <w:sz w:val="19"/>
                <w:szCs w:val="19"/>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D2EEF5"/>
          </w:tcPr>
          <w:p>
            <w:pPr>
              <w:spacing w:after="0"/>
              <w:rPr>
                <w:sz w:val="19"/>
                <w:szCs w:val="19"/>
                <w:color w:val="auto"/>
              </w:rPr>
            </w:pP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966,436</w:t>
            </w:r>
          </w:p>
        </w:tc>
        <w:tc>
          <w:tcPr>
            <w:tcW w:w="0" w:type="dxa"/>
            <w:vAlign w:val="bottom"/>
          </w:tcPr>
          <w:p>
            <w:pPr>
              <w:spacing w:after="0"/>
              <w:rPr>
                <w:sz w:val="1"/>
                <w:szCs w:val="1"/>
                <w:color w:val="auto"/>
              </w:rPr>
            </w:pPr>
          </w:p>
        </w:tc>
      </w:tr>
      <w:tr>
        <w:trPr>
          <w:trHeight w:val="240"/>
        </w:trPr>
        <w:tc>
          <w:tcPr>
            <w:tcW w:w="5100" w:type="dxa"/>
            <w:vAlign w:val="bottom"/>
            <w:tcBorders>
              <w:bottom w:val="single" w:sz="8" w:color="D2EEF5"/>
            </w:tcBorders>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D2EEF5"/>
          </w:tcPr>
          <w:p>
            <w:pPr>
              <w:ind w:left="1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1,127,243</w:t>
            </w:r>
          </w:p>
        </w:tc>
        <w:tc>
          <w:tcPr>
            <w:tcW w:w="40" w:type="dxa"/>
            <w:vAlign w:val="bottom"/>
            <w:shd w:val="clear" w:color="auto" w:fill="D2EEF5"/>
          </w:tcPr>
          <w:p>
            <w:pPr>
              <w:spacing w:after="0"/>
              <w:rPr>
                <w:sz w:val="22"/>
                <w:szCs w:val="22"/>
                <w:color w:val="auto"/>
              </w:rPr>
            </w:pPr>
          </w:p>
        </w:tc>
        <w:tc>
          <w:tcPr>
            <w:tcW w:w="120" w:type="dxa"/>
            <w:vAlign w:val="bottom"/>
            <w:shd w:val="clear" w:color="auto" w:fill="D2EEF5"/>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2EEF5"/>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D2EEF5"/>
          </w:tcPr>
          <w:p>
            <w:pPr>
              <w:spacing w:after="0"/>
              <w:rPr>
                <w:sz w:val="22"/>
                <w:szCs w:val="22"/>
                <w:color w:val="auto"/>
              </w:rPr>
            </w:pPr>
          </w:p>
        </w:tc>
        <w:tc>
          <w:tcPr>
            <w:tcW w:w="2240" w:type="dxa"/>
            <w:vAlign w:val="bottom"/>
            <w:shd w:val="clear" w:color="auto" w:fill="D2EEF5"/>
          </w:tcPr>
          <w:p>
            <w:pPr>
              <w:jc w:val="right"/>
              <w:spacing w:after="0"/>
              <w:rPr>
                <w:sz w:val="20"/>
                <w:szCs w:val="20"/>
                <w:color w:val="auto"/>
              </w:rPr>
            </w:pPr>
            <w:r>
              <w:rPr>
                <w:rFonts w:ascii="Arial" w:cs="Arial" w:eastAsia="Arial" w:hAnsi="Arial"/>
                <w:sz w:val="18"/>
                <w:szCs w:val="18"/>
                <w:color w:val="auto"/>
              </w:rPr>
              <w:t>966,436</w:t>
            </w:r>
          </w:p>
        </w:tc>
        <w:tc>
          <w:tcPr>
            <w:tcW w:w="0" w:type="dxa"/>
            <w:vAlign w:val="bottom"/>
          </w:tcPr>
          <w:p>
            <w:pPr>
              <w:spacing w:after="0"/>
              <w:rPr>
                <w:sz w:val="1"/>
                <w:szCs w:val="1"/>
                <w:color w:val="auto"/>
              </w:rPr>
            </w:pPr>
          </w:p>
        </w:tc>
      </w:tr>
      <w:tr>
        <w:trPr>
          <w:trHeight w:val="20"/>
        </w:trPr>
        <w:tc>
          <w:tcPr>
            <w:tcW w:w="508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EEF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4305300</wp:posOffset>
                </wp:positionH>
                <wp:positionV relativeFrom="paragraph">
                  <wp:posOffset>-498475</wp:posOffset>
                </wp:positionV>
                <wp:extent cx="28575" cy="1270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D2EEF5"/>
                        </a:solidFill>
                      </wps:spPr>
                      <wps:bodyPr/>
                    </wps:wsp>
                  </a:graphicData>
                </a:graphic>
              </wp:anchor>
            </w:drawing>
          </mc:Choice>
          <mc:Fallback>
            <w:pict>
              <v:rect id="Shape 173" o:spid="_x0000_s1198" style="position:absolute;margin-left:339pt;margin-top:-39.2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-498475</wp:posOffset>
                </wp:positionV>
                <wp:extent cx="29210" cy="1270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174" o:spid="_x0000_s1199" style="position:absolute;margin-left:425.25pt;margin-top:-39.2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4305300</wp:posOffset>
                </wp:positionH>
                <wp:positionV relativeFrom="paragraph">
                  <wp:posOffset>-193675</wp:posOffset>
                </wp:positionV>
                <wp:extent cx="28575" cy="127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D2EEF5"/>
                        </a:solidFill>
                      </wps:spPr>
                      <wps:bodyPr/>
                    </wps:wsp>
                  </a:graphicData>
                </a:graphic>
              </wp:anchor>
            </w:drawing>
          </mc:Choice>
          <mc:Fallback>
            <w:pict>
              <v:rect id="Shape 175" o:spid="_x0000_s1200" style="position:absolute;margin-left:339pt;margin-top:-15.2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-193675</wp:posOffset>
                </wp:positionV>
                <wp:extent cx="29210" cy="1270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2EEF5"/>
                        </a:solidFill>
                      </wps:spPr>
                      <wps:bodyPr/>
                    </wps:wsp>
                  </a:graphicData>
                </a:graphic>
              </wp:anchor>
            </w:drawing>
          </mc:Choice>
          <mc:Fallback>
            <w:pict>
              <v:rect id="Shape 176" o:spid="_x0000_s1201" style="position:absolute;margin-left:425.25pt;margin-top:-15.2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91" w:lineRule="exact"/>
        <w:rPr>
          <w:sz w:val="20"/>
          <w:szCs w:val="20"/>
          <w:color w:val="auto"/>
        </w:rPr>
      </w:pPr>
    </w:p>
    <w:p>
      <w:pPr>
        <w:ind w:left="360" w:right="460" w:hanging="360"/>
        <w:spacing w:after="0" w:line="254"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Includes 402,076 shares subject to restricted stock awards which were not vested as of December 31, 2024. The weighted average exercise price excludes such restricted stock awards.</w:t>
      </w:r>
    </w:p>
    <w:p>
      <w:pPr>
        <w:ind w:left="720"/>
        <w:spacing w:after="0"/>
        <w:rPr>
          <w:rFonts w:ascii="Arial" w:cs="Arial" w:eastAsia="Arial" w:hAnsi="Arial"/>
          <w:sz w:val="20"/>
          <w:szCs w:val="20"/>
          <w:color w:val="auto"/>
        </w:rPr>
      </w:pPr>
      <w:r>
        <w:rPr>
          <w:rFonts w:ascii="Arial" w:cs="Arial" w:eastAsia="Arial" w:hAnsi="Arial"/>
          <w:sz w:val="20"/>
          <w:szCs w:val="20"/>
          <w:b w:val="1"/>
          <w:bCs w:val="1"/>
          <w:color w:val="auto"/>
        </w:rPr>
        <w:t>Security Ownership of Certain Beneficial Owners and Management</w:t>
      </w:r>
      <w:r>
        <w:rPr>
          <w:rFonts w:ascii="Arial" w:cs="Arial" w:eastAsia="Arial" w:hAnsi="Arial"/>
          <w:sz w:val="20"/>
          <w:szCs w:val="20"/>
          <w:color w:val="auto"/>
        </w:rPr>
        <w:t>. Information regarding security ownership</w:t>
      </w:r>
    </w:p>
    <w:p>
      <w:pPr>
        <w:ind w:right="100"/>
        <w:spacing w:after="0" w:line="252" w:lineRule="auto"/>
        <w:rPr>
          <w:sz w:val="20"/>
          <w:szCs w:val="20"/>
          <w:color w:val="auto"/>
        </w:rPr>
      </w:pPr>
      <w:r>
        <w:rPr>
          <w:rFonts w:ascii="Arial" w:cs="Arial" w:eastAsia="Arial" w:hAnsi="Arial"/>
          <w:sz w:val="20"/>
          <w:szCs w:val="20"/>
          <w:color w:val="auto"/>
        </w:rPr>
        <w:t>of certain beneficial owners and management is incorporated by reference to “Beneficial Ownership of Common Stock by Certain Beneficial Owners and Management” in the 2025 Definitive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information required herein is incorporated by reference from the sections captioned “Certain Relationships and Related Party Transactions” and “Information with Respect to Nominees for Director and Information About Executive Officers” in the 2025 Definitive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35" w:lineRule="exact"/>
        <w:rPr>
          <w:sz w:val="20"/>
          <w:szCs w:val="20"/>
          <w:color w:val="auto"/>
        </w:rPr>
      </w:pPr>
    </w:p>
    <w:p>
      <w:pPr>
        <w:ind w:right="20" w:firstLine="720"/>
        <w:spacing w:after="0" w:line="260" w:lineRule="auto"/>
        <w:rPr>
          <w:sz w:val="20"/>
          <w:szCs w:val="20"/>
          <w:color w:val="auto"/>
        </w:rPr>
      </w:pPr>
      <w:r>
        <w:rPr>
          <w:rFonts w:ascii="Arial" w:cs="Arial" w:eastAsia="Arial" w:hAnsi="Arial"/>
          <w:sz w:val="20"/>
          <w:szCs w:val="20"/>
          <w:color w:val="auto"/>
        </w:rPr>
        <w:t>The information required herein is incorporated by reference from the section captioned “Ratification of Appointment of Independent Registered Public Accounting Firm (Proposal Two) – Audit Fees” in the 2025 Definitive Proxy Statement.</w:t>
      </w:r>
    </w:p>
    <w:p>
      <w:pPr>
        <w:spacing w:after="0" w:line="200" w:lineRule="exact"/>
        <w:rPr>
          <w:sz w:val="20"/>
          <w:szCs w:val="20"/>
          <w:color w:val="auto"/>
        </w:rPr>
      </w:pPr>
    </w:p>
    <w:p>
      <w:pPr>
        <w:spacing w:after="0" w:line="372"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sectPr>
      </w:pPr>
    </w:p>
    <w:bookmarkStart w:id="126" w:name="page127"/>
    <w:bookmarkEnd w:id="126"/>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5" w:lineRule="exact"/>
        <w:rPr>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List of documents filed as part of this Annual Report:</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1"/>
          <w:numId w:val="57"/>
        </w:numPr>
        <w:rPr>
          <w:rFonts w:ascii="Arial" w:cs="Arial" w:eastAsia="Arial" w:hAnsi="Arial"/>
          <w:sz w:val="20"/>
          <w:szCs w:val="20"/>
          <w:color w:val="auto"/>
        </w:rPr>
      </w:pPr>
      <w:r>
        <w:rPr>
          <w:rFonts w:ascii="Arial" w:cs="Arial" w:eastAsia="Arial" w:hAnsi="Arial"/>
          <w:sz w:val="20"/>
          <w:szCs w:val="20"/>
          <w:i w:val="1"/>
          <w:iCs w:val="1"/>
          <w:color w:val="auto"/>
        </w:rPr>
        <w:t>Financial Statements:</w:t>
      </w:r>
    </w:p>
    <w:p>
      <w:pPr>
        <w:spacing w:after="0" w:line="14" w:lineRule="exact"/>
        <w:rPr>
          <w:sz w:val="20"/>
          <w:szCs w:val="20"/>
          <w:color w:val="auto"/>
        </w:rPr>
      </w:pPr>
    </w:p>
    <w:p>
      <w:pPr>
        <w:ind w:left="860" w:right="4040"/>
        <w:spacing w:after="0" w:line="260" w:lineRule="auto"/>
        <w:rPr>
          <w:sz w:val="20"/>
          <w:szCs w:val="20"/>
          <w:color w:val="auto"/>
        </w:rPr>
      </w:pPr>
      <w:r>
        <w:rPr>
          <w:rFonts w:ascii="Arial" w:cs="Arial" w:eastAsia="Arial" w:hAnsi="Arial"/>
          <w:sz w:val="20"/>
          <w:szCs w:val="20"/>
          <w:color w:val="auto"/>
        </w:rPr>
        <w:t>Report of Independent Registered Public Accounting Firm Consolidated Balance Sheets as of December 31, 2024 and 2023</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Operations for the years ended December 31, 2024 and 2023</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Comprehensive Income for the years ended December 31, 2024 and 2023</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Consolidated Statements of Changes in Stockholders' Equity for the years ended December 31, 2024 and 2023</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Cash Flows for the years ended December 31, 2024 and 2023</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Notes to Consolidated Financial Statements</w:t>
      </w:r>
    </w:p>
    <w:p>
      <w:pPr>
        <w:spacing w:after="0" w:line="20" w:lineRule="exact"/>
        <w:rPr>
          <w:sz w:val="20"/>
          <w:szCs w:val="20"/>
          <w:color w:val="auto"/>
        </w:rPr>
      </w:pPr>
    </w:p>
    <w:p>
      <w:pPr>
        <w:ind w:left="720" w:hanging="360"/>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Financial Statement Schedules:</w:t>
      </w:r>
    </w:p>
    <w:p>
      <w:pPr>
        <w:spacing w:after="0" w:line="20" w:lineRule="exact"/>
        <w:rPr>
          <w:sz w:val="20"/>
          <w:szCs w:val="20"/>
          <w:color w:val="auto"/>
        </w:rPr>
      </w:pPr>
    </w:p>
    <w:p>
      <w:pPr>
        <w:ind w:left="860" w:right="580"/>
        <w:spacing w:after="0" w:line="250" w:lineRule="auto"/>
        <w:rPr>
          <w:sz w:val="20"/>
          <w:szCs w:val="20"/>
          <w:color w:val="auto"/>
        </w:rPr>
      </w:pPr>
      <w:r>
        <w:rPr>
          <w:rFonts w:ascii="Arial" w:cs="Arial" w:eastAsia="Arial" w:hAnsi="Arial"/>
          <w:sz w:val="20"/>
          <w:szCs w:val="20"/>
          <w:color w:val="auto"/>
        </w:rPr>
        <w:t>Financial statement schedules are omitted as not required or not applicable or because the information is included in the Consolidated Financial Statements or notes thereto.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 List of Exhibits:</w:t>
      </w:r>
    </w:p>
    <w:p>
      <w:pPr>
        <w:spacing w:after="0" w:line="20" w:lineRule="exact"/>
        <w:rPr>
          <w:sz w:val="20"/>
          <w:szCs w:val="20"/>
          <w:color w:val="auto"/>
        </w:rPr>
      </w:pPr>
    </w:p>
    <w:p>
      <w:pPr>
        <w:ind w:left="860" w:right="160"/>
        <w:spacing w:after="0" w:line="260" w:lineRule="auto"/>
        <w:rPr>
          <w:sz w:val="20"/>
          <w:szCs w:val="20"/>
          <w:color w:val="auto"/>
        </w:rPr>
      </w:pPr>
      <w:r>
        <w:rPr>
          <w:rFonts w:ascii="Arial" w:cs="Arial" w:eastAsia="Arial" w:hAnsi="Arial"/>
          <w:sz w:val="20"/>
          <w:szCs w:val="20"/>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tabs>
          <w:tab w:leader="none" w:pos="360" w:val="left"/>
          <w:tab w:leader="none" w:pos="2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720"/>
          </w:cols>
          <w:pgMar w:left="720" w:top="355" w:right="800" w:bottom="0" w:gutter="0" w:footer="0" w:header="0"/>
        </w:sectPr>
      </w:pPr>
    </w:p>
    <w:bookmarkStart w:id="127" w:name="page128"/>
    <w:bookmarkEnd w:id="127"/>
    <w:p>
      <w:pPr>
        <w:spacing w:after="0" w:line="37"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480" w:type="dxa"/>
            <w:vAlign w:val="bottom"/>
            <w:gridSpan w:val="9"/>
            <w:vMerge w:val="restart"/>
          </w:tcPr>
          <w:p>
            <w:pPr>
              <w:jc w:val="center"/>
              <w:ind w:right="400"/>
              <w:spacing w:after="0"/>
              <w:rPr>
                <w:sz w:val="20"/>
                <w:szCs w:val="20"/>
                <w:color w:val="auto"/>
              </w:rPr>
            </w:pPr>
            <w:r>
              <w:rPr>
                <w:rFonts w:ascii="Arial" w:cs="Arial" w:eastAsia="Arial" w:hAnsi="Arial"/>
                <w:sz w:val="18"/>
                <w:szCs w:val="18"/>
                <w:b w:val="1"/>
                <w:bCs w:val="1"/>
                <w:color w:val="auto"/>
                <w:w w:val="99"/>
              </w:rPr>
              <w:t>Exhibit</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20" w:type="dxa"/>
            <w:vAlign w:val="bottom"/>
            <w:gridSpan w:val="17"/>
          </w:tcPr>
          <w:p>
            <w:pPr>
              <w:ind w:left="24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57"/>
        </w:trPr>
        <w:tc>
          <w:tcPr>
            <w:tcW w:w="1480" w:type="dxa"/>
            <w:vAlign w:val="bottom"/>
            <w:gridSpan w:val="9"/>
            <w:vMerge w:val="continue"/>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48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9"/>
              </w:rPr>
              <w:t>Number</w:t>
            </w:r>
          </w:p>
        </w:tc>
        <w:tc>
          <w:tcPr>
            <w:tcW w:w="10080" w:type="dxa"/>
            <w:vAlign w:val="bottom"/>
            <w:gridSpan w:val="23"/>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7"/>
        </w:trPr>
        <w:tc>
          <w:tcPr>
            <w:tcW w:w="720" w:type="dxa"/>
            <w:vAlign w:val="bottom"/>
            <w:tcBorders>
              <w:top w:val="single" w:sz="8" w:color="auto"/>
            </w:tcBorders>
            <w:gridSpan w:val="5"/>
          </w:tcPr>
          <w:p>
            <w:pPr>
              <w:jc w:val="center"/>
              <w:ind w:left="289"/>
              <w:spacing w:after="0" w:line="177" w:lineRule="exact"/>
              <w:rPr>
                <w:sz w:val="20"/>
                <w:szCs w:val="20"/>
                <w:color w:val="auto"/>
              </w:rPr>
            </w:pPr>
            <w:r>
              <w:rPr>
                <w:rFonts w:ascii="Arial" w:cs="Arial" w:eastAsia="Arial" w:hAnsi="Arial"/>
                <w:sz w:val="18"/>
                <w:szCs w:val="18"/>
                <w:color w:val="1C2790"/>
              </w:rPr>
              <w:t>2.</w:t>
            </w:r>
            <w:r>
              <w:rPr>
                <w:rFonts w:ascii="Arial" w:cs="Arial" w:eastAsia="Arial" w:hAnsi="Arial"/>
                <w:sz w:val="18"/>
                <w:szCs w:val="18"/>
                <w:u w:val="single" w:color="auto"/>
                <w:color w:val="1C2790"/>
              </w:rPr>
              <w:t>1</w:t>
            </w: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23"/>
          </w:tcPr>
          <w:p>
            <w:pPr>
              <w:spacing w:after="0" w:line="177" w:lineRule="exact"/>
              <w:rPr>
                <w:sz w:val="20"/>
                <w:szCs w:val="20"/>
                <w:color w:val="auto"/>
              </w:rPr>
            </w:pPr>
            <w:r>
              <w:rPr>
                <w:rFonts w:ascii="Arial" w:cs="Arial" w:eastAsia="Arial" w:hAnsi="Arial"/>
                <w:sz w:val="18"/>
                <w:szCs w:val="18"/>
                <w:color w:val="1C2790"/>
              </w:rPr>
              <w:t>Agreement and Plan of Share Exchange, dated December 27, 2021, by and between U.S. Century Bank and USCB Financial</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Holdings, Inc. (incorporated by reference to Exhibit 2.1 to the Registrant’s Current Report on Form 8-K (File No. 001-41196)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gridSpan w:val="3"/>
            <w:vMerge w:val="restart"/>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8"/>
                <w:szCs w:val="18"/>
                <w:color w:val="1C2790"/>
              </w:rPr>
              <w:t>3.</w:t>
            </w:r>
            <w:r>
              <w:rPr>
                <w:rFonts w:ascii="Arial" w:cs="Arial" w:eastAsia="Arial" w:hAnsi="Arial"/>
                <w:sz w:val="18"/>
                <w:szCs w:val="18"/>
                <w:u w:val="single" w:color="auto"/>
                <w:color w:val="1C2790"/>
              </w:rPr>
              <w:t>1</w:t>
            </w:r>
          </w:p>
        </w:tc>
        <w:tc>
          <w:tcPr>
            <w:tcW w:w="4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0"/>
          </w:tcPr>
          <w:p>
            <w:pPr>
              <w:spacing w:after="0" w:line="189" w:lineRule="exact"/>
              <w:rPr>
                <w:sz w:val="20"/>
                <w:szCs w:val="20"/>
                <w:color w:val="auto"/>
              </w:rPr>
            </w:pPr>
            <w:r>
              <w:rPr>
                <w:rFonts w:ascii="Arial" w:cs="Arial" w:eastAsia="Arial" w:hAnsi="Arial"/>
                <w:sz w:val="18"/>
                <w:szCs w:val="18"/>
                <w:color w:val="1C2790"/>
              </w:rPr>
              <w:t>filed with the Securities and Exchange Commission on December 30, 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gridSpan w:val="3"/>
            <w:vMerge w:val="continue"/>
          </w:tcPr>
          <w:p>
            <w:pPr>
              <w:spacing w:after="0"/>
              <w:rPr>
                <w:sz w:val="16"/>
                <w:szCs w:val="16"/>
                <w:color w:val="auto"/>
              </w:rPr>
            </w:pPr>
          </w:p>
        </w:tc>
        <w:tc>
          <w:tcPr>
            <w:tcW w:w="260" w:type="dxa"/>
            <w:vAlign w:val="bottom"/>
            <w:tcBorders>
              <w:bottom w:val="single" w:sz="8" w:color="1C2790"/>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80" w:type="dxa"/>
            <w:vAlign w:val="bottom"/>
            <w:tcBorders>
              <w:top w:val="single" w:sz="8" w:color="1C2790"/>
              <w:bottom w:val="single" w:sz="8" w:color="1C2790"/>
            </w:tcBorders>
            <w:gridSpan w:val="10"/>
          </w:tcPr>
          <w:p>
            <w:pPr>
              <w:spacing w:after="0" w:line="187" w:lineRule="exact"/>
              <w:rPr>
                <w:sz w:val="20"/>
                <w:szCs w:val="20"/>
                <w:color w:val="auto"/>
              </w:rPr>
            </w:pPr>
            <w:r>
              <w:rPr>
                <w:rFonts w:ascii="Arial" w:cs="Arial" w:eastAsia="Arial" w:hAnsi="Arial"/>
                <w:sz w:val="18"/>
                <w:szCs w:val="18"/>
                <w:color w:val="1C2790"/>
              </w:rPr>
              <w:t>Articles of Incorporation of USCB Financial Holdings, Inc. (incorporated by</w:t>
            </w:r>
          </w:p>
        </w:tc>
        <w:tc>
          <w:tcPr>
            <w:tcW w:w="3900" w:type="dxa"/>
            <w:vAlign w:val="bottom"/>
            <w:tcBorders>
              <w:bottom w:val="single" w:sz="8" w:color="1C2790"/>
            </w:tcBorders>
            <w:gridSpan w:val="10"/>
          </w:tcPr>
          <w:p>
            <w:pPr>
              <w:jc w:val="right"/>
              <w:spacing w:after="0" w:line="187" w:lineRule="exact"/>
              <w:rPr>
                <w:sz w:val="20"/>
                <w:szCs w:val="20"/>
                <w:color w:val="auto"/>
              </w:rPr>
            </w:pPr>
            <w:r>
              <w:rPr>
                <w:rFonts w:ascii="Arial" w:cs="Arial" w:eastAsia="Arial" w:hAnsi="Arial"/>
                <w:sz w:val="18"/>
                <w:szCs w:val="18"/>
                <w:color w:val="1C2790"/>
                <w:w w:val="93"/>
              </w:rPr>
              <w:t>reference to Exhibit 3.1 to the Registrant’s Quarterly</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gridSpan w:val="3"/>
            <w:vMerge w:val="restart"/>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8"/>
                <w:szCs w:val="18"/>
                <w:color w:val="1C2790"/>
              </w:rPr>
              <w:t>3.</w:t>
            </w:r>
            <w:r>
              <w:rPr>
                <w:rFonts w:ascii="Arial" w:cs="Arial" w:eastAsia="Arial" w:hAnsi="Arial"/>
                <w:sz w:val="18"/>
                <w:szCs w:val="18"/>
                <w:u w:val="single" w:color="auto"/>
                <w:color w:val="1C2790"/>
              </w:rPr>
              <w:t>2</w:t>
            </w:r>
          </w:p>
        </w:tc>
        <w:tc>
          <w:tcPr>
            <w:tcW w:w="4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0"/>
          </w:tcPr>
          <w:p>
            <w:pPr>
              <w:spacing w:after="0" w:line="187" w:lineRule="exact"/>
              <w:rPr>
                <w:sz w:val="20"/>
                <w:szCs w:val="20"/>
                <w:color w:val="auto"/>
              </w:rPr>
            </w:pPr>
            <w:r>
              <w:rPr>
                <w:rFonts w:ascii="Arial" w:cs="Arial" w:eastAsia="Arial" w:hAnsi="Arial"/>
                <w:sz w:val="18"/>
                <w:szCs w:val="18"/>
                <w:color w:val="1C2790"/>
              </w:rPr>
              <w:t>Report on Form 10-Q (File No. 001-41196) filed with the Securities and Exchange Commission on August 11, 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1300" w:type="dxa"/>
            <w:vAlign w:val="bottom"/>
            <w:shd w:val="clear" w:color="auto" w:fill="1C2790"/>
          </w:tcPr>
          <w:p>
            <w:pPr>
              <w:spacing w:after="0" w:line="20" w:lineRule="exact"/>
              <w:rPr>
                <w:sz w:val="1"/>
                <w:szCs w:val="1"/>
                <w:color w:val="auto"/>
              </w:rPr>
            </w:pPr>
          </w:p>
        </w:tc>
        <w:tc>
          <w:tcPr>
            <w:tcW w:w="120" w:type="dxa"/>
            <w:vAlign w:val="bottom"/>
            <w:shd w:val="clear" w:color="auto" w:fill="1C2790"/>
          </w:tcPr>
          <w:p>
            <w:pPr>
              <w:spacing w:after="0" w:line="20" w:lineRule="exact"/>
              <w:rPr>
                <w:sz w:val="1"/>
                <w:szCs w:val="1"/>
                <w:color w:val="auto"/>
              </w:rPr>
            </w:pPr>
          </w:p>
        </w:tc>
        <w:tc>
          <w:tcPr>
            <w:tcW w:w="72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380" w:type="dxa"/>
            <w:vAlign w:val="bottom"/>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2320" w:type="dxa"/>
            <w:vAlign w:val="bottom"/>
            <w:gridSpan w:val="2"/>
            <w:shd w:val="clear" w:color="auto" w:fill="1C2790"/>
          </w:tcPr>
          <w:p>
            <w:pPr>
              <w:spacing w:after="0" w:line="20" w:lineRule="exact"/>
              <w:rPr>
                <w:sz w:val="1"/>
                <w:szCs w:val="1"/>
                <w:color w:val="auto"/>
              </w:rPr>
            </w:pPr>
          </w:p>
        </w:tc>
        <w:tc>
          <w:tcPr>
            <w:tcW w:w="14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2340" w:type="dxa"/>
            <w:vAlign w:val="bottom"/>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gridSpan w:val="3"/>
            <w:vMerge w:val="continue"/>
          </w:tcPr>
          <w:p>
            <w:pPr>
              <w:spacing w:after="0"/>
              <w:rPr>
                <w:sz w:val="16"/>
                <w:szCs w:val="16"/>
                <w:color w:val="auto"/>
              </w:rPr>
            </w:pPr>
          </w:p>
        </w:tc>
        <w:tc>
          <w:tcPr>
            <w:tcW w:w="260" w:type="dxa"/>
            <w:vAlign w:val="bottom"/>
            <w:tcBorders>
              <w:bottom w:val="single" w:sz="8" w:color="1C2790"/>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Amended and Restated Bylaws of USCB Financial Holdings, Inc. (incorporated by reference to Exhibit 3.1 to the Registrant’s</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rPr>
              <w:t>4.</w:t>
            </w:r>
            <w:r>
              <w:rPr>
                <w:rFonts w:ascii="Arial" w:cs="Arial" w:eastAsia="Arial" w:hAnsi="Arial"/>
                <w:sz w:val="18"/>
                <w:szCs w:val="18"/>
                <w:u w:val="single" w:color="auto"/>
                <w:color w:val="1C2790"/>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0"/>
          </w:tcPr>
          <w:p>
            <w:pPr>
              <w:spacing w:after="0" w:line="187" w:lineRule="exact"/>
              <w:rPr>
                <w:sz w:val="20"/>
                <w:szCs w:val="20"/>
                <w:color w:val="auto"/>
              </w:rPr>
            </w:pPr>
            <w:r>
              <w:rPr>
                <w:rFonts w:ascii="Arial" w:cs="Arial" w:eastAsia="Arial" w:hAnsi="Arial"/>
                <w:sz w:val="18"/>
                <w:szCs w:val="18"/>
                <w:color w:val="1C2790"/>
              </w:rPr>
              <w:t>Current Report on Form 8-K (File No. 001-41196) filed with the Securities and Exchange Commission on July 26, 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60" w:type="dxa"/>
            <w:vAlign w:val="bottom"/>
            <w:tcBorders>
              <w:top w:val="single" w:sz="8" w:color="1C2790"/>
            </w:tcBorders>
            <w:gridSpan w:val="19"/>
          </w:tcPr>
          <w:p>
            <w:pPr>
              <w:spacing w:after="0" w:line="189" w:lineRule="exact"/>
              <w:rPr>
                <w:sz w:val="20"/>
                <w:szCs w:val="20"/>
                <w:color w:val="auto"/>
              </w:rPr>
            </w:pPr>
            <w:r>
              <w:rPr>
                <w:rFonts w:ascii="Arial" w:cs="Arial" w:eastAsia="Arial" w:hAnsi="Arial"/>
                <w:sz w:val="18"/>
                <w:szCs w:val="18"/>
                <w:color w:val="1C2790"/>
              </w:rPr>
              <w:t>Side Letter Agreement, dated December 30, 2021, between USCB Financial Holdings, Inc., U.S. Century Bank, Priam</w:t>
            </w:r>
          </w:p>
        </w:tc>
        <w:tc>
          <w:tcPr>
            <w:tcW w:w="520" w:type="dxa"/>
            <w:vAlign w:val="bottom"/>
            <w:gridSpan w:val="4"/>
          </w:tcPr>
          <w:p>
            <w:pPr>
              <w:jc w:val="right"/>
              <w:ind w:right="100"/>
              <w:spacing w:after="0" w:line="189" w:lineRule="exact"/>
              <w:rPr>
                <w:sz w:val="20"/>
                <w:szCs w:val="20"/>
                <w:color w:val="auto"/>
              </w:rPr>
            </w:pPr>
            <w:r>
              <w:rPr>
                <w:rFonts w:ascii="Arial" w:cs="Arial" w:eastAsia="Arial" w:hAnsi="Arial"/>
                <w:sz w:val="18"/>
                <w:szCs w:val="18"/>
                <w:color w:val="1C2790"/>
                <w:w w:val="71"/>
              </w:rPr>
              <w:t>Capital</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w w:val="97"/>
              </w:rPr>
              <w:t>Fund II, LP, Patriot Financial Partners II, L.P. and Patriot Financial Partners Parallel II, L.P. (incorporated by reference to Exhibit</w:t>
            </w:r>
          </w:p>
        </w:tc>
        <w:tc>
          <w:tcPr>
            <w:tcW w:w="20" w:type="dxa"/>
            <w:vAlign w:val="bottom"/>
            <w:tcBorders>
              <w:bottom w:val="single" w:sz="8" w:color="1C2790"/>
            </w:tcBorders>
          </w:tcPr>
          <w:p>
            <w:pPr>
              <w:spacing w:after="0"/>
              <w:rPr>
                <w:sz w:val="16"/>
                <w:szCs w:val="16"/>
                <w:color w:val="auto"/>
              </w:rPr>
            </w:pPr>
          </w:p>
        </w:tc>
        <w:tc>
          <w:tcPr>
            <w:tcW w:w="20" w:type="dxa"/>
            <w:vAlign w:val="bottom"/>
            <w:tcBorders>
              <w:bottom w:val="single" w:sz="8" w:color="1C2790"/>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20" w:type="dxa"/>
            <w:vAlign w:val="bottom"/>
            <w:gridSpan w:val="22"/>
          </w:tcPr>
          <w:p>
            <w:pPr>
              <w:spacing w:after="0" w:line="187" w:lineRule="exact"/>
              <w:rPr>
                <w:sz w:val="20"/>
                <w:szCs w:val="20"/>
                <w:color w:val="auto"/>
              </w:rPr>
            </w:pPr>
            <w:r>
              <w:rPr>
                <w:rFonts w:ascii="Arial" w:cs="Arial" w:eastAsia="Arial" w:hAnsi="Arial"/>
                <w:sz w:val="18"/>
                <w:szCs w:val="18"/>
                <w:color w:val="1C2790"/>
              </w:rPr>
              <w:t>4.</w:t>
            </w:r>
            <w:r>
              <w:rPr>
                <w:rFonts w:ascii="Arial" w:cs="Arial" w:eastAsia="Arial" w:hAnsi="Arial"/>
                <w:sz w:val="18"/>
                <w:szCs w:val="18"/>
                <w:u w:val="single" w:color="auto"/>
                <w:color w:val="1C2790"/>
              </w:rPr>
              <w:t>1</w:t>
            </w:r>
            <w:r>
              <w:rPr>
                <w:rFonts w:ascii="Arial" w:cs="Arial" w:eastAsia="Arial" w:hAnsi="Arial"/>
                <w:sz w:val="18"/>
                <w:szCs w:val="18"/>
                <w:color w:val="1C2790"/>
              </w:rPr>
              <w:t xml:space="preserve"> to the Registrant’s Current Report on Form 8-K (File No. 001-41196) filed with the Securities and Exchange Commission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rPr>
              <w:t>4.</w:t>
            </w:r>
            <w:r>
              <w:rPr>
                <w:rFonts w:ascii="Arial" w:cs="Arial" w:eastAsia="Arial" w:hAnsi="Arial"/>
                <w:sz w:val="18"/>
                <w:szCs w:val="18"/>
                <w:u w:val="single" w:color="auto"/>
                <w:color w:val="1C2790"/>
              </w:rPr>
              <w:t>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on December 30, 2021).</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1300" w:type="dxa"/>
            <w:vAlign w:val="bottom"/>
            <w:shd w:val="clear" w:color="auto" w:fill="1C2790"/>
          </w:tcPr>
          <w:p>
            <w:pPr>
              <w:spacing w:after="0" w:line="20" w:lineRule="exact"/>
              <w:rPr>
                <w:sz w:val="1"/>
                <w:szCs w:val="1"/>
                <w:color w:val="auto"/>
              </w:rPr>
            </w:pPr>
          </w:p>
        </w:tc>
        <w:tc>
          <w:tcPr>
            <w:tcW w:w="120" w:type="dxa"/>
            <w:vAlign w:val="bottom"/>
            <w:shd w:val="clear" w:color="auto" w:fill="1C279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5"/>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3"/>
          </w:tcPr>
          <w:p>
            <w:pPr>
              <w:spacing w:after="0" w:line="189" w:lineRule="exact"/>
              <w:rPr>
                <w:sz w:val="20"/>
                <w:szCs w:val="20"/>
                <w:color w:val="auto"/>
              </w:rPr>
            </w:pPr>
            <w:r>
              <w:rPr>
                <w:rFonts w:ascii="Arial" w:cs="Arial" w:eastAsia="Arial" w:hAnsi="Arial"/>
                <w:sz w:val="18"/>
                <w:szCs w:val="18"/>
                <w:color w:val="1C2790"/>
                <w:w w:val="99"/>
              </w:rPr>
              <w:t>Registration Rights Agreement, dated March 17, 2015, between U.S. Century Bank, Priam Capital Fund II, LP, Patriot Financial</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w w:val="99"/>
              </w:rPr>
              <w:t>Partners II, L.P., Patriot Financial Partners Parallel II, L.P., and certain other shareholders of U.S. Century Bank (incorporated</w:t>
            </w:r>
          </w:p>
        </w:tc>
        <w:tc>
          <w:tcPr>
            <w:tcW w:w="20" w:type="dxa"/>
            <w:vAlign w:val="bottom"/>
            <w:tcBorders>
              <w:bottom w:val="single" w:sz="8" w:color="1C2790"/>
            </w:tcBorders>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21"/>
          </w:tcPr>
          <w:p>
            <w:pPr>
              <w:spacing w:after="0" w:line="187" w:lineRule="exact"/>
              <w:rPr>
                <w:sz w:val="20"/>
                <w:szCs w:val="20"/>
                <w:color w:val="auto"/>
              </w:rPr>
            </w:pPr>
            <w:r>
              <w:rPr>
                <w:rFonts w:ascii="Arial" w:cs="Arial" w:eastAsia="Arial" w:hAnsi="Arial"/>
                <w:sz w:val="18"/>
                <w:szCs w:val="18"/>
                <w:color w:val="1C2790"/>
              </w:rPr>
              <w:t>by reference to Exhibit 4.2 to the Registrant’s Current Report on Form 8-K (File No. 001-41196) filed with the Securities and</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rPr>
              <w:t>4.</w:t>
            </w:r>
            <w:r>
              <w:rPr>
                <w:rFonts w:ascii="Arial" w:cs="Arial" w:eastAsia="Arial" w:hAnsi="Arial"/>
                <w:sz w:val="18"/>
                <w:szCs w:val="18"/>
                <w:u w:val="single" w:color="auto"/>
                <w:color w:val="1C2790"/>
              </w:rPr>
              <w:t>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tcBorders>
              <w:top w:val="single" w:sz="8" w:color="1C2790"/>
              <w:bottom w:val="single" w:sz="8" w:color="1C2790"/>
            </w:tcBorders>
            <w:gridSpan w:val="7"/>
          </w:tcPr>
          <w:p>
            <w:pPr>
              <w:spacing w:after="0" w:line="187" w:lineRule="exact"/>
              <w:rPr>
                <w:sz w:val="20"/>
                <w:szCs w:val="20"/>
                <w:color w:val="auto"/>
              </w:rPr>
            </w:pPr>
            <w:r>
              <w:rPr>
                <w:rFonts w:ascii="Arial" w:cs="Arial" w:eastAsia="Arial" w:hAnsi="Arial"/>
                <w:sz w:val="18"/>
                <w:szCs w:val="18"/>
                <w:color w:val="1C2790"/>
                <w:w w:val="99"/>
              </w:rPr>
              <w:t>Exchange Commission on December 30, 2021).</w:t>
            </w:r>
          </w:p>
        </w:tc>
        <w:tc>
          <w:tcPr>
            <w:tcW w:w="6140" w:type="dxa"/>
            <w:vAlign w:val="bottom"/>
            <w:tcBorders>
              <w:top w:val="single" w:sz="8" w:color="1C2790"/>
            </w:tcBorders>
            <w:gridSpan w:val="13"/>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3"/>
          </w:tcPr>
          <w:p>
            <w:pPr>
              <w:spacing w:after="0" w:line="189" w:lineRule="exact"/>
              <w:rPr>
                <w:sz w:val="20"/>
                <w:szCs w:val="20"/>
                <w:color w:val="auto"/>
              </w:rPr>
            </w:pPr>
            <w:r>
              <w:rPr>
                <w:rFonts w:ascii="Arial" w:cs="Arial" w:eastAsia="Arial" w:hAnsi="Arial"/>
                <w:sz w:val="18"/>
                <w:szCs w:val="18"/>
                <w:color w:val="1C2790"/>
              </w:rPr>
              <w:t>Assignment and Assumption of Agreement, dated December 30, 2021, between U.S. Century Bank and USCB Financial</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Holdings, Inc. (incorporated by reference to Exhibit 4.3 to the Registrant’s Current Report on Form 8-K (File No. 001-41196)</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rPr>
              <w:t>4.</w:t>
            </w:r>
            <w:r>
              <w:rPr>
                <w:rFonts w:ascii="Arial" w:cs="Arial" w:eastAsia="Arial" w:hAnsi="Arial"/>
                <w:sz w:val="18"/>
                <w:szCs w:val="18"/>
                <w:u w:val="single" w:color="auto"/>
                <w:color w:val="1C2790"/>
              </w:rPr>
              <w:t>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0"/>
          </w:tcPr>
          <w:p>
            <w:pPr>
              <w:spacing w:after="0" w:line="187" w:lineRule="exact"/>
              <w:rPr>
                <w:sz w:val="20"/>
                <w:szCs w:val="20"/>
                <w:color w:val="auto"/>
              </w:rPr>
            </w:pPr>
            <w:r>
              <w:rPr>
                <w:rFonts w:ascii="Arial" w:cs="Arial" w:eastAsia="Arial" w:hAnsi="Arial"/>
                <w:sz w:val="18"/>
                <w:szCs w:val="18"/>
                <w:color w:val="1C2790"/>
              </w:rPr>
              <w:t>filed with the Securities and Exchange Commission on December 30, 2021).</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80" w:type="dxa"/>
            <w:vAlign w:val="bottom"/>
            <w:tcBorders>
              <w:top w:val="single" w:sz="8" w:color="1C2790"/>
            </w:tcBorders>
            <w:gridSpan w:val="10"/>
          </w:tcPr>
          <w:p>
            <w:pPr>
              <w:spacing w:after="0" w:line="187" w:lineRule="exact"/>
              <w:rPr>
                <w:sz w:val="20"/>
                <w:szCs w:val="20"/>
                <w:color w:val="auto"/>
              </w:rPr>
            </w:pPr>
            <w:r>
              <w:rPr>
                <w:rFonts w:ascii="Arial" w:cs="Arial" w:eastAsia="Arial" w:hAnsi="Arial"/>
                <w:sz w:val="18"/>
                <w:szCs w:val="18"/>
                <w:color w:val="1C2790"/>
              </w:rPr>
              <w:t>Description of USCB Financial Holdings, Inc.’s securities (incorporated by</w:t>
            </w:r>
          </w:p>
        </w:tc>
        <w:tc>
          <w:tcPr>
            <w:tcW w:w="4000" w:type="dxa"/>
            <w:vAlign w:val="bottom"/>
            <w:gridSpan w:val="13"/>
          </w:tcPr>
          <w:p>
            <w:pPr>
              <w:jc w:val="right"/>
              <w:ind w:right="100"/>
              <w:spacing w:after="0" w:line="187" w:lineRule="exact"/>
              <w:rPr>
                <w:sz w:val="20"/>
                <w:szCs w:val="20"/>
                <w:color w:val="auto"/>
              </w:rPr>
            </w:pPr>
            <w:r>
              <w:rPr>
                <w:rFonts w:ascii="Arial" w:cs="Arial" w:eastAsia="Arial" w:hAnsi="Arial"/>
                <w:sz w:val="18"/>
                <w:szCs w:val="18"/>
                <w:color w:val="1C2790"/>
                <w:w w:val="97"/>
              </w:rPr>
              <w:t>reference to Exhibit 4.4 to the Registrant’s Annual</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9" w:lineRule="exact"/>
              <w:rPr>
                <w:sz w:val="20"/>
                <w:szCs w:val="20"/>
                <w:color w:val="auto"/>
              </w:rPr>
            </w:pPr>
            <w:r>
              <w:rPr>
                <w:rFonts w:ascii="Arial" w:cs="Arial" w:eastAsia="Arial" w:hAnsi="Arial"/>
                <w:sz w:val="18"/>
                <w:szCs w:val="18"/>
                <w:color w:val="1C2790"/>
              </w:rPr>
              <w:t>Report on Form 10-K for the year ended December 31, 2023 (File No. 001-41196) filed with the Securities and Exchange</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w w:val="96"/>
              </w:rPr>
              <w:t>10.</w:t>
            </w:r>
            <w:r>
              <w:rPr>
                <w:rFonts w:ascii="Arial" w:cs="Arial" w:eastAsia="Arial" w:hAnsi="Arial"/>
                <w:sz w:val="18"/>
                <w:szCs w:val="18"/>
                <w:u w:val="single" w:color="auto"/>
                <w:color w:val="1C2790"/>
                <w:w w:val="96"/>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1C2790"/>
            </w:tcBorders>
            <w:gridSpan w:val="4"/>
          </w:tcPr>
          <w:p>
            <w:pPr>
              <w:spacing w:after="0" w:line="187" w:lineRule="exact"/>
              <w:rPr>
                <w:sz w:val="20"/>
                <w:szCs w:val="20"/>
                <w:color w:val="auto"/>
              </w:rPr>
            </w:pPr>
            <w:r>
              <w:rPr>
                <w:rFonts w:ascii="Arial" w:cs="Arial" w:eastAsia="Arial" w:hAnsi="Arial"/>
                <w:sz w:val="18"/>
                <w:szCs w:val="18"/>
                <w:color w:val="1C2790"/>
                <w:w w:val="99"/>
              </w:rPr>
              <w:t>Commission on March 22, 2024).</w:t>
            </w:r>
          </w:p>
        </w:tc>
        <w:tc>
          <w:tcPr>
            <w:tcW w:w="7320" w:type="dxa"/>
            <w:vAlign w:val="bottom"/>
            <w:gridSpan w:val="16"/>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3"/>
          </w:tcPr>
          <w:p>
            <w:pPr>
              <w:spacing w:after="0" w:line="187" w:lineRule="exact"/>
              <w:rPr>
                <w:sz w:val="20"/>
                <w:szCs w:val="20"/>
                <w:color w:val="auto"/>
              </w:rPr>
            </w:pPr>
            <w:r>
              <w:rPr>
                <w:rFonts w:ascii="Arial" w:cs="Arial" w:eastAsia="Arial" w:hAnsi="Arial"/>
                <w:sz w:val="18"/>
                <w:szCs w:val="18"/>
                <w:color w:val="1C2790"/>
              </w:rPr>
              <w:t>U.S. Century Bank Amended and Restated 2015 Equity Incentive Plan (incorporated by reference to Exhibit 10.1 to the</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1C2790"/>
            </w:tcBorders>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Borders>
              <w:top w:val="single" w:sz="8" w:color="1C2790"/>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Registrant’s Current Report on Form 8-K (File No. 001-41196) filed with the Securities and Exchange Commission on</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w w:val="96"/>
              </w:rPr>
              <w:t>10.</w:t>
            </w:r>
            <w:r>
              <w:rPr>
                <w:rFonts w:ascii="Arial" w:cs="Arial" w:eastAsia="Arial" w:hAnsi="Arial"/>
                <w:sz w:val="18"/>
                <w:szCs w:val="18"/>
                <w:u w:val="single" w:color="auto"/>
                <w:color w:val="1C2790"/>
                <w:w w:val="96"/>
              </w:rPr>
              <w:t>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0"/>
          </w:tcPr>
          <w:p>
            <w:pPr>
              <w:spacing w:after="0" w:line="205" w:lineRule="exact"/>
              <w:rPr>
                <w:sz w:val="20"/>
                <w:szCs w:val="20"/>
                <w:color w:val="auto"/>
              </w:rPr>
            </w:pPr>
            <w:r>
              <w:rPr>
                <w:rFonts w:ascii="Arial" w:cs="Arial" w:eastAsia="Arial" w:hAnsi="Arial"/>
                <w:sz w:val="18"/>
                <w:szCs w:val="18"/>
                <w:color w:val="1C2790"/>
              </w:rPr>
              <w:t xml:space="preserve">December 30, 2021). </w:t>
            </w:r>
            <w:r>
              <w:rPr>
                <w:rFonts w:ascii="Arial" w:cs="Arial" w:eastAsia="Arial" w:hAnsi="Arial"/>
                <w:sz w:val="19"/>
                <w:szCs w:val="19"/>
                <w:color w:val="1C2790"/>
              </w:rPr>
              <w:t>*</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1300" w:type="dxa"/>
            <w:vAlign w:val="bottom"/>
            <w:shd w:val="clear" w:color="auto" w:fill="1C279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0" w:type="dxa"/>
            <w:vAlign w:val="bottom"/>
            <w:gridSpan w:val="5"/>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3"/>
          </w:tcPr>
          <w:p>
            <w:pPr>
              <w:spacing w:after="0" w:line="191" w:lineRule="exact"/>
              <w:rPr>
                <w:sz w:val="20"/>
                <w:szCs w:val="20"/>
                <w:color w:val="auto"/>
              </w:rPr>
            </w:pPr>
            <w:r>
              <w:rPr>
                <w:rFonts w:ascii="Arial" w:cs="Arial" w:eastAsia="Arial" w:hAnsi="Arial"/>
                <w:sz w:val="20"/>
                <w:szCs w:val="20"/>
                <w:color w:val="1C2790"/>
                <w:w w:val="99"/>
              </w:rPr>
              <w:t>Amended and Restated Employment Agreement by and among USCB Financial Holdings, Inc., U.S. Century Bank</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60" w:type="dxa"/>
            <w:vAlign w:val="bottom"/>
            <w:tcBorders>
              <w:top w:val="single" w:sz="8" w:color="1C2790"/>
            </w:tcBorders>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top w:val="single" w:sz="8" w:color="1C2790"/>
              <w:bottom w:val="single" w:sz="8" w:color="1C2790"/>
            </w:tcBorders>
            <w:gridSpan w:val="20"/>
          </w:tcPr>
          <w:p>
            <w:pPr>
              <w:spacing w:after="0" w:line="210" w:lineRule="exact"/>
              <w:rPr>
                <w:sz w:val="20"/>
                <w:szCs w:val="20"/>
                <w:color w:val="auto"/>
              </w:rPr>
            </w:pPr>
            <w:r>
              <w:rPr>
                <w:rFonts w:ascii="Arial" w:cs="Arial" w:eastAsia="Arial" w:hAnsi="Arial"/>
                <w:sz w:val="20"/>
                <w:szCs w:val="20"/>
                <w:color w:val="1C2790"/>
                <w:w w:val="98"/>
              </w:rPr>
              <w:t>and Luis de la Aguilera dated as of January 29, 2023 (incorporated by reference to Exhibit 10.2 to the Registrant’s</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bottom w:val="single" w:sz="8" w:color="1C2790"/>
            </w:tcBorders>
            <w:gridSpan w:val="20"/>
          </w:tcPr>
          <w:p>
            <w:pPr>
              <w:spacing w:after="0" w:line="210" w:lineRule="exact"/>
              <w:rPr>
                <w:sz w:val="20"/>
                <w:szCs w:val="20"/>
                <w:color w:val="auto"/>
              </w:rPr>
            </w:pPr>
            <w:r>
              <w:rPr>
                <w:rFonts w:ascii="Arial" w:cs="Arial" w:eastAsia="Arial" w:hAnsi="Arial"/>
                <w:sz w:val="20"/>
                <w:szCs w:val="20"/>
                <w:color w:val="1C2790"/>
              </w:rPr>
              <w:t>Current Report on Form 8-K dated as of January 29, 2023 (File No. 001-41196) filed with the Securities and</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gridSpan w:val="5"/>
            <w:vMerge w:val="restart"/>
          </w:tcPr>
          <w:p>
            <w:pPr>
              <w:jc w:val="center"/>
              <w:ind w:left="289"/>
              <w:spacing w:after="0"/>
              <w:rPr>
                <w:sz w:val="20"/>
                <w:szCs w:val="20"/>
                <w:color w:val="auto"/>
              </w:rPr>
            </w:pPr>
            <w:r>
              <w:rPr>
                <w:rFonts w:ascii="Arial" w:cs="Arial" w:eastAsia="Arial" w:hAnsi="Arial"/>
                <w:sz w:val="18"/>
                <w:szCs w:val="18"/>
                <w:color w:val="1C2790"/>
                <w:w w:val="96"/>
              </w:rPr>
              <w:t>10.</w:t>
            </w:r>
            <w:r>
              <w:rPr>
                <w:rFonts w:ascii="Arial" w:cs="Arial" w:eastAsia="Arial" w:hAnsi="Arial"/>
                <w:sz w:val="18"/>
                <w:szCs w:val="18"/>
                <w:u w:val="single" w:color="auto"/>
                <w:color w:val="1C2790"/>
                <w:w w:val="96"/>
              </w:rPr>
              <w:t>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0"/>
          </w:tcPr>
          <w:p>
            <w:pPr>
              <w:spacing w:after="0" w:line="210" w:lineRule="exact"/>
              <w:rPr>
                <w:sz w:val="20"/>
                <w:szCs w:val="20"/>
                <w:color w:val="auto"/>
              </w:rPr>
            </w:pPr>
            <w:r>
              <w:rPr>
                <w:rFonts w:ascii="Arial" w:cs="Arial" w:eastAsia="Arial" w:hAnsi="Arial"/>
                <w:sz w:val="20"/>
                <w:szCs w:val="20"/>
                <w:color w:val="1C2790"/>
              </w:rPr>
              <w:t>Exchange Commission on February 1, 2023).*</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top w:val="single" w:sz="8" w:color="1C2790"/>
            </w:tcBorders>
            <w:gridSpan w:val="9"/>
          </w:tcPr>
          <w:p>
            <w:pPr>
              <w:spacing w:after="0" w:line="189" w:lineRule="exact"/>
              <w:rPr>
                <w:sz w:val="20"/>
                <w:szCs w:val="20"/>
                <w:color w:val="auto"/>
              </w:rPr>
            </w:pPr>
            <w:r>
              <w:rPr>
                <w:rFonts w:ascii="Arial" w:cs="Arial" w:eastAsia="Arial" w:hAnsi="Arial"/>
                <w:sz w:val="20"/>
                <w:szCs w:val="20"/>
                <w:color w:val="1C2790"/>
                <w:w w:val="94"/>
              </w:rPr>
              <w:t>Amended and Restated Employment Agreement</w:t>
            </w:r>
          </w:p>
        </w:tc>
        <w:tc>
          <w:tcPr>
            <w:tcW w:w="5980" w:type="dxa"/>
            <w:vAlign w:val="bottom"/>
            <w:gridSpan w:val="14"/>
          </w:tcPr>
          <w:p>
            <w:pPr>
              <w:jc w:val="right"/>
              <w:ind w:right="120"/>
              <w:spacing w:after="0" w:line="189" w:lineRule="exact"/>
              <w:rPr>
                <w:sz w:val="20"/>
                <w:szCs w:val="20"/>
                <w:color w:val="auto"/>
              </w:rPr>
            </w:pPr>
            <w:r>
              <w:rPr>
                <w:rFonts w:ascii="Arial" w:cs="Arial" w:eastAsia="Arial" w:hAnsi="Arial"/>
                <w:sz w:val="20"/>
                <w:szCs w:val="20"/>
                <w:color w:val="1C2790"/>
              </w:rPr>
              <w:t>by and among USCB Financial Holdings, Inc., U.S. Century Bank</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60" w:type="dxa"/>
            <w:vAlign w:val="bottom"/>
            <w:tcBorders>
              <w:top w:val="single" w:sz="8" w:color="1C2790"/>
            </w:tcBorders>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top w:val="single" w:sz="8" w:color="1C2790"/>
              <w:bottom w:val="single" w:sz="8" w:color="1C2790"/>
            </w:tcBorders>
            <w:gridSpan w:val="20"/>
          </w:tcPr>
          <w:p>
            <w:pPr>
              <w:spacing w:after="0" w:line="208" w:lineRule="exact"/>
              <w:rPr>
                <w:sz w:val="20"/>
                <w:szCs w:val="20"/>
                <w:color w:val="auto"/>
              </w:rPr>
            </w:pPr>
            <w:r>
              <w:rPr>
                <w:rFonts w:ascii="Arial" w:cs="Arial" w:eastAsia="Arial" w:hAnsi="Arial"/>
                <w:sz w:val="20"/>
                <w:szCs w:val="20"/>
                <w:color w:val="1C2790"/>
              </w:rPr>
              <w:t>and Robert Anderson dated as of January 29, 2023 (incorporated by reference to Exhibit 10.1 to the Registrant’s</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bottom w:val="single" w:sz="8" w:color="1C2790"/>
            </w:tcBorders>
            <w:gridSpan w:val="20"/>
          </w:tcPr>
          <w:p>
            <w:pPr>
              <w:spacing w:after="0" w:line="210" w:lineRule="exact"/>
              <w:rPr>
                <w:sz w:val="20"/>
                <w:szCs w:val="20"/>
                <w:color w:val="auto"/>
              </w:rPr>
            </w:pPr>
            <w:r>
              <w:rPr>
                <w:rFonts w:ascii="Arial" w:cs="Arial" w:eastAsia="Arial" w:hAnsi="Arial"/>
                <w:sz w:val="20"/>
                <w:szCs w:val="20"/>
                <w:color w:val="1C2790"/>
              </w:rPr>
              <w:t>Current Report on Form 8-K dated as of January 29, 2023 (File No. 001-41196) filed with the Securities and</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gridSpan w:val="6"/>
            <w:vMerge w:val="restart"/>
          </w:tcPr>
          <w:p>
            <w:pPr>
              <w:jc w:val="center"/>
              <w:ind w:left="269"/>
              <w:spacing w:after="0"/>
              <w:rPr>
                <w:sz w:val="20"/>
                <w:szCs w:val="20"/>
                <w:color w:val="auto"/>
              </w:rPr>
            </w:pPr>
            <w:r>
              <w:rPr>
                <w:rFonts w:ascii="Arial" w:cs="Arial" w:eastAsia="Arial" w:hAnsi="Arial"/>
                <w:sz w:val="20"/>
                <w:szCs w:val="20"/>
                <w:color w:val="1C2790"/>
                <w:w w:val="97"/>
              </w:rPr>
              <w:t>10.</w:t>
            </w:r>
            <w:r>
              <w:rPr>
                <w:rFonts w:ascii="Arial" w:cs="Arial" w:eastAsia="Arial" w:hAnsi="Arial"/>
                <w:sz w:val="20"/>
                <w:szCs w:val="20"/>
                <w:u w:val="single" w:color="auto"/>
                <w:color w:val="1C2790"/>
                <w:w w:val="97"/>
              </w:rPr>
              <w:t>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0"/>
          </w:tcPr>
          <w:p>
            <w:pPr>
              <w:spacing w:after="0" w:line="210" w:lineRule="exact"/>
              <w:rPr>
                <w:sz w:val="20"/>
                <w:szCs w:val="20"/>
                <w:color w:val="auto"/>
              </w:rPr>
            </w:pPr>
            <w:r>
              <w:rPr>
                <w:rFonts w:ascii="Arial" w:cs="Arial" w:eastAsia="Arial" w:hAnsi="Arial"/>
                <w:sz w:val="20"/>
                <w:szCs w:val="20"/>
                <w:color w:val="1C2790"/>
              </w:rPr>
              <w:t>Exchange Commission on February 1, 2023).*</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top w:val="single" w:sz="8" w:color="1C2790"/>
            </w:tcBorders>
            <w:gridSpan w:val="9"/>
          </w:tcPr>
          <w:p>
            <w:pPr>
              <w:spacing w:after="0" w:line="210" w:lineRule="exact"/>
              <w:rPr>
                <w:sz w:val="20"/>
                <w:szCs w:val="20"/>
                <w:color w:val="auto"/>
              </w:rPr>
            </w:pPr>
            <w:r>
              <w:rPr>
                <w:rFonts w:ascii="Arial" w:cs="Arial" w:eastAsia="Arial" w:hAnsi="Arial"/>
                <w:sz w:val="20"/>
                <w:szCs w:val="20"/>
                <w:color w:val="1C2790"/>
                <w:w w:val="96"/>
              </w:rPr>
              <w:t>Amendment No. 1 dated January 6, 2025 to the</w:t>
            </w:r>
          </w:p>
        </w:tc>
        <w:tc>
          <w:tcPr>
            <w:tcW w:w="5980" w:type="dxa"/>
            <w:vAlign w:val="bottom"/>
            <w:gridSpan w:val="14"/>
          </w:tcPr>
          <w:p>
            <w:pPr>
              <w:jc w:val="right"/>
              <w:ind w:right="100"/>
              <w:spacing w:after="0" w:line="210" w:lineRule="exact"/>
              <w:rPr>
                <w:sz w:val="20"/>
                <w:szCs w:val="20"/>
                <w:color w:val="auto"/>
              </w:rPr>
            </w:pPr>
            <w:r>
              <w:rPr>
                <w:rFonts w:ascii="Arial" w:cs="Arial" w:eastAsia="Arial" w:hAnsi="Arial"/>
                <w:sz w:val="20"/>
                <w:szCs w:val="20"/>
                <w:color w:val="1C2790"/>
              </w:rPr>
              <w:t>Employment Agreement by and among U.S. Century Bank, USCB</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Borders>
              <w:top w:val="single" w:sz="8" w:color="1C2790"/>
            </w:tcBorders>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60" w:type="dxa"/>
            <w:vAlign w:val="bottom"/>
            <w:tcBorders>
              <w:top w:val="single" w:sz="8" w:color="1C2790"/>
            </w:tcBorders>
          </w:tcPr>
          <w:p>
            <w:pPr>
              <w:spacing w:after="0"/>
              <w:rPr>
                <w:sz w:val="18"/>
                <w:szCs w:val="18"/>
                <w:color w:val="auto"/>
              </w:rPr>
            </w:pPr>
          </w:p>
        </w:tc>
        <w:tc>
          <w:tcPr>
            <w:tcW w:w="40" w:type="dxa"/>
            <w:vAlign w:val="bottom"/>
            <w:tcBorders>
              <w:top w:val="single" w:sz="8" w:color="1C2790"/>
            </w:tcBorders>
          </w:tcPr>
          <w:p>
            <w:pPr>
              <w:spacing w:after="0"/>
              <w:rPr>
                <w:sz w:val="18"/>
                <w:szCs w:val="18"/>
                <w:color w:val="auto"/>
              </w:rPr>
            </w:pPr>
          </w:p>
        </w:tc>
        <w:tc>
          <w:tcPr>
            <w:tcW w:w="20" w:type="dxa"/>
            <w:vAlign w:val="bottom"/>
            <w:tcBorders>
              <w:top w:val="single" w:sz="8" w:color="1C2790"/>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top w:val="single" w:sz="8" w:color="1C2790"/>
              <w:bottom w:val="single" w:sz="8" w:color="1C2790"/>
            </w:tcBorders>
            <w:gridSpan w:val="20"/>
          </w:tcPr>
          <w:p>
            <w:pPr>
              <w:spacing w:after="0" w:line="210" w:lineRule="exact"/>
              <w:rPr>
                <w:sz w:val="20"/>
                <w:szCs w:val="20"/>
                <w:color w:val="auto"/>
              </w:rPr>
            </w:pPr>
            <w:r>
              <w:rPr>
                <w:rFonts w:ascii="Arial" w:cs="Arial" w:eastAsia="Arial" w:hAnsi="Arial"/>
                <w:sz w:val="20"/>
                <w:szCs w:val="20"/>
                <w:color w:val="1C2790"/>
              </w:rPr>
              <w:t>Financial Holdings, Inc. and Robert Anderson dated as of January 29, 2023 (incorporated by reference to Exhibit</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bottom w:val="single" w:sz="8" w:color="1C2790"/>
            </w:tcBorders>
            <w:gridSpan w:val="20"/>
          </w:tcPr>
          <w:p>
            <w:pPr>
              <w:spacing w:after="0" w:line="210" w:lineRule="exact"/>
              <w:rPr>
                <w:sz w:val="20"/>
                <w:szCs w:val="20"/>
                <w:color w:val="auto"/>
              </w:rPr>
            </w:pPr>
            <w:r>
              <w:rPr>
                <w:rFonts w:ascii="Arial" w:cs="Arial" w:eastAsia="Arial" w:hAnsi="Arial"/>
                <w:sz w:val="20"/>
                <w:szCs w:val="20"/>
                <w:color w:val="1C2790"/>
              </w:rPr>
              <w:t>10.</w:t>
            </w:r>
            <w:r>
              <w:rPr>
                <w:rFonts w:ascii="Arial" w:cs="Arial" w:eastAsia="Arial" w:hAnsi="Arial"/>
                <w:sz w:val="20"/>
                <w:szCs w:val="20"/>
                <w:u w:val="single" w:color="auto"/>
                <w:color w:val="1C2790"/>
              </w:rPr>
              <w:t>1</w:t>
            </w:r>
            <w:r>
              <w:rPr>
                <w:rFonts w:ascii="Arial" w:cs="Arial" w:eastAsia="Arial" w:hAnsi="Arial"/>
                <w:sz w:val="20"/>
                <w:szCs w:val="20"/>
                <w:color w:val="1C2790"/>
              </w:rPr>
              <w:t xml:space="preserve"> the Registrant’s Current Report on Form 8-K (File No. 001-41196) filed with the Securities and Exchange</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0" w:type="dxa"/>
            <w:vAlign w:val="bottom"/>
            <w:gridSpan w:val="6"/>
            <w:vMerge w:val="restart"/>
          </w:tcPr>
          <w:p>
            <w:pPr>
              <w:jc w:val="center"/>
              <w:ind w:left="269"/>
              <w:spacing w:after="0"/>
              <w:rPr>
                <w:sz w:val="20"/>
                <w:szCs w:val="20"/>
                <w:color w:val="auto"/>
              </w:rPr>
            </w:pPr>
            <w:r>
              <w:rPr>
                <w:rFonts w:ascii="Arial" w:cs="Arial" w:eastAsia="Arial" w:hAnsi="Arial"/>
                <w:sz w:val="20"/>
                <w:szCs w:val="20"/>
                <w:color w:val="1C2790"/>
                <w:w w:val="97"/>
              </w:rPr>
              <w:t>10.</w:t>
            </w:r>
            <w:r>
              <w:rPr>
                <w:rFonts w:ascii="Arial" w:cs="Arial" w:eastAsia="Arial" w:hAnsi="Arial"/>
                <w:sz w:val="20"/>
                <w:szCs w:val="20"/>
                <w:u w:val="single" w:color="auto"/>
                <w:color w:val="1C2790"/>
                <w:w w:val="97"/>
              </w:rPr>
              <w:t>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0"/>
          </w:tcPr>
          <w:p>
            <w:pPr>
              <w:spacing w:after="0" w:line="208" w:lineRule="exact"/>
              <w:rPr>
                <w:sz w:val="20"/>
                <w:szCs w:val="20"/>
                <w:color w:val="auto"/>
              </w:rPr>
            </w:pPr>
            <w:r>
              <w:rPr>
                <w:rFonts w:ascii="Arial" w:cs="Arial" w:eastAsia="Arial" w:hAnsi="Arial"/>
                <w:sz w:val="20"/>
                <w:szCs w:val="20"/>
                <w:color w:val="1C2790"/>
              </w:rPr>
              <w:t>Commission on January 6, 2025).*</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gridSpan w:val="6"/>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2540" w:type="dxa"/>
            <w:vAlign w:val="bottom"/>
            <w:gridSpan w:val="4"/>
            <w:shd w:val="clear" w:color="auto" w:fill="1C279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3"/>
          </w:tcPr>
          <w:p>
            <w:pPr>
              <w:spacing w:after="0" w:line="210" w:lineRule="exact"/>
              <w:rPr>
                <w:sz w:val="20"/>
                <w:szCs w:val="20"/>
                <w:color w:val="auto"/>
              </w:rPr>
            </w:pPr>
            <w:r>
              <w:rPr>
                <w:rFonts w:ascii="Arial" w:cs="Arial" w:eastAsia="Arial" w:hAnsi="Arial"/>
                <w:sz w:val="20"/>
                <w:szCs w:val="20"/>
                <w:color w:val="1C2790"/>
              </w:rPr>
              <w:t>Change in Control Agreement between U.S. Century Bank and Nicholas Bustle dated May 17, 2019*, **</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80" w:type="dxa"/>
            <w:vAlign w:val="bottom"/>
            <w:tcBorders>
              <w:top w:val="single" w:sz="8" w:color="1C2790"/>
            </w:tcBorders>
            <w:gridSpan w:val="5"/>
          </w:tcPr>
          <w:p>
            <w:pPr>
              <w:jc w:val="center"/>
              <w:spacing w:after="0" w:line="210" w:lineRule="exact"/>
              <w:rPr>
                <w:sz w:val="20"/>
                <w:szCs w:val="20"/>
                <w:color w:val="auto"/>
              </w:rPr>
            </w:pPr>
            <w:r>
              <w:rPr>
                <w:rFonts w:ascii="Arial" w:cs="Arial" w:eastAsia="Arial" w:hAnsi="Arial"/>
                <w:sz w:val="20"/>
                <w:szCs w:val="20"/>
                <w:color w:val="1C2790"/>
                <w:w w:val="97"/>
              </w:rPr>
              <w:t>10.</w:t>
            </w:r>
            <w:r>
              <w:rPr>
                <w:rFonts w:ascii="Arial" w:cs="Arial" w:eastAsia="Arial" w:hAnsi="Arial"/>
                <w:sz w:val="20"/>
                <w:szCs w:val="20"/>
                <w:u w:val="single" w:color="auto"/>
                <w:color w:val="1C2790"/>
                <w:w w:val="97"/>
              </w:rPr>
              <w:t>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60" w:type="dxa"/>
            <w:vAlign w:val="bottom"/>
            <w:tcBorders>
              <w:top w:val="single" w:sz="8" w:color="1C2790"/>
            </w:tcBorders>
            <w:gridSpan w:val="15"/>
          </w:tcPr>
          <w:p>
            <w:pPr>
              <w:spacing w:after="0" w:line="210" w:lineRule="exact"/>
              <w:rPr>
                <w:sz w:val="20"/>
                <w:szCs w:val="20"/>
                <w:color w:val="auto"/>
              </w:rPr>
            </w:pPr>
            <w:r>
              <w:rPr>
                <w:rFonts w:ascii="Arial" w:cs="Arial" w:eastAsia="Arial" w:hAnsi="Arial"/>
                <w:sz w:val="20"/>
                <w:szCs w:val="20"/>
                <w:color w:val="1C2790"/>
              </w:rPr>
              <w:t>Change in Control Agreement between U.S. Century Bank and William Turner dated May 2, 2024*, **</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80" w:type="dxa"/>
            <w:vAlign w:val="bottom"/>
            <w:tcBorders>
              <w:top w:val="single" w:sz="8" w:color="1C2790"/>
            </w:tcBorders>
            <w:gridSpan w:val="5"/>
          </w:tcPr>
          <w:p>
            <w:pPr>
              <w:jc w:val="center"/>
              <w:spacing w:after="0" w:line="210" w:lineRule="exact"/>
              <w:rPr>
                <w:sz w:val="20"/>
                <w:szCs w:val="20"/>
                <w:color w:val="auto"/>
              </w:rPr>
            </w:pPr>
            <w:r>
              <w:rPr>
                <w:rFonts w:ascii="Arial" w:cs="Arial" w:eastAsia="Arial" w:hAnsi="Arial"/>
                <w:sz w:val="20"/>
                <w:szCs w:val="20"/>
                <w:color w:val="1C2790"/>
                <w:w w:val="97"/>
              </w:rPr>
              <w:t>19.</w:t>
            </w:r>
            <w:r>
              <w:rPr>
                <w:rFonts w:ascii="Arial" w:cs="Arial" w:eastAsia="Arial" w:hAnsi="Arial"/>
                <w:sz w:val="20"/>
                <w:szCs w:val="20"/>
                <w:u w:val="single" w:color="auto"/>
                <w:color w:val="1C2790"/>
                <w:w w:val="97"/>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tcBorders>
              <w:top w:val="single" w:sz="8" w:color="1C2790"/>
            </w:tcBorders>
            <w:gridSpan w:val="14"/>
          </w:tcPr>
          <w:p>
            <w:pPr>
              <w:spacing w:after="0" w:line="210" w:lineRule="exact"/>
              <w:rPr>
                <w:sz w:val="20"/>
                <w:szCs w:val="20"/>
                <w:color w:val="auto"/>
              </w:rPr>
            </w:pPr>
            <w:r>
              <w:rPr>
                <w:rFonts w:ascii="Arial" w:cs="Arial" w:eastAsia="Arial" w:hAnsi="Arial"/>
                <w:sz w:val="20"/>
                <w:szCs w:val="20"/>
                <w:color w:val="1C2790"/>
              </w:rPr>
              <w:t>Insider Trading and Disclosure Policy**</w:t>
            </w:r>
          </w:p>
        </w:tc>
        <w:tc>
          <w:tcPr>
            <w:tcW w:w="3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60" w:type="dxa"/>
            <w:vAlign w:val="bottom"/>
            <w:tcBorders>
              <w:top w:val="single" w:sz="8" w:color="1C2790"/>
            </w:tcBorders>
            <w:gridSpan w:val="4"/>
          </w:tcPr>
          <w:p>
            <w:pPr>
              <w:jc w:val="center"/>
              <w:spacing w:after="0" w:line="189" w:lineRule="exact"/>
              <w:rPr>
                <w:sz w:val="20"/>
                <w:szCs w:val="20"/>
                <w:color w:val="auto"/>
              </w:rPr>
            </w:pPr>
            <w:r>
              <w:rPr>
                <w:rFonts w:ascii="Arial" w:cs="Arial" w:eastAsia="Arial" w:hAnsi="Arial"/>
                <w:sz w:val="18"/>
                <w:szCs w:val="18"/>
                <w:color w:val="1C2790"/>
                <w:w w:val="96"/>
              </w:rPr>
              <w:t>21.</w:t>
            </w:r>
            <w:r>
              <w:rPr>
                <w:rFonts w:ascii="Arial" w:cs="Arial" w:eastAsia="Arial" w:hAnsi="Arial"/>
                <w:sz w:val="18"/>
                <w:szCs w:val="18"/>
                <w:u w:val="single" w:color="auto"/>
                <w:color w:val="1C2790"/>
                <w:w w:val="96"/>
              </w:rPr>
              <w:t>1</w:t>
            </w:r>
          </w:p>
        </w:tc>
        <w:tc>
          <w:tcPr>
            <w:tcW w:w="20" w:type="dxa"/>
            <w:vAlign w:val="bottom"/>
            <w:tcBorders>
              <w:top w:val="single" w:sz="8" w:color="1C2790"/>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top w:val="single" w:sz="8" w:color="1C2790"/>
            </w:tcBorders>
            <w:gridSpan w:val="6"/>
          </w:tcPr>
          <w:p>
            <w:pPr>
              <w:spacing w:after="0" w:line="189" w:lineRule="exact"/>
              <w:rPr>
                <w:sz w:val="20"/>
                <w:szCs w:val="20"/>
                <w:color w:val="auto"/>
              </w:rPr>
            </w:pPr>
            <w:r>
              <w:rPr>
                <w:rFonts w:ascii="Arial" w:cs="Arial" w:eastAsia="Arial" w:hAnsi="Arial"/>
                <w:sz w:val="20"/>
                <w:szCs w:val="20"/>
                <w:color w:val="1C2790"/>
                <w:w w:val="93"/>
              </w:rPr>
              <w:t>Subsidiaries of USCB Financial Holdings,</w:t>
            </w:r>
          </w:p>
        </w:tc>
        <w:tc>
          <w:tcPr>
            <w:tcW w:w="6620" w:type="dxa"/>
            <w:vAlign w:val="bottom"/>
            <w:gridSpan w:val="17"/>
          </w:tcPr>
          <w:p>
            <w:pPr>
              <w:ind w:left="260"/>
              <w:spacing w:after="0" w:line="189" w:lineRule="exact"/>
              <w:rPr>
                <w:sz w:val="20"/>
                <w:szCs w:val="20"/>
                <w:color w:val="auto"/>
              </w:rPr>
            </w:pPr>
            <w:r>
              <w:rPr>
                <w:rFonts w:ascii="Arial" w:cs="Arial" w:eastAsia="Arial" w:hAnsi="Arial"/>
                <w:sz w:val="20"/>
                <w:szCs w:val="20"/>
                <w:color w:val="1C2790"/>
              </w:rPr>
              <w:t>Inc.</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40" w:type="dxa"/>
            <w:vAlign w:val="bottom"/>
            <w:gridSpan w:val="3"/>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1C2790"/>
            </w:tcBorders>
          </w:tcPr>
          <w:p>
            <w:pPr>
              <w:spacing w:after="0" w:line="20" w:lineRule="exact"/>
              <w:rPr>
                <w:sz w:val="1"/>
                <w:szCs w:val="1"/>
                <w:color w:val="auto"/>
              </w:rPr>
            </w:pPr>
          </w:p>
        </w:tc>
        <w:tc>
          <w:tcPr>
            <w:tcW w:w="3520" w:type="dxa"/>
            <w:vAlign w:val="bottom"/>
            <w:tcBorders>
              <w:bottom w:val="single" w:sz="8" w:color="1C2790"/>
            </w:tcBorders>
            <w:gridSpan w:val="7"/>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 w:type="dxa"/>
            <w:vAlign w:val="bottom"/>
            <w:gridSpan w:val="5"/>
          </w:tcPr>
          <w:p>
            <w:pPr>
              <w:jc w:val="center"/>
              <w:ind w:left="289"/>
              <w:spacing w:after="0" w:line="190" w:lineRule="exact"/>
              <w:rPr>
                <w:sz w:val="20"/>
                <w:szCs w:val="20"/>
                <w:color w:val="auto"/>
              </w:rPr>
            </w:pPr>
            <w:r>
              <w:rPr>
                <w:rFonts w:ascii="Arial" w:cs="Arial" w:eastAsia="Arial" w:hAnsi="Arial"/>
                <w:sz w:val="18"/>
                <w:szCs w:val="18"/>
                <w:color w:val="1C2790"/>
                <w:w w:val="96"/>
              </w:rPr>
              <w:t>23.</w:t>
            </w:r>
            <w:r>
              <w:rPr>
                <w:rFonts w:ascii="Arial" w:cs="Arial" w:eastAsia="Arial" w:hAnsi="Arial"/>
                <w:sz w:val="18"/>
                <w:szCs w:val="18"/>
                <w:u w:val="single" w:color="auto"/>
                <w:color w:val="1C2790"/>
                <w:w w:val="96"/>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gridSpan w:val="8"/>
          </w:tcPr>
          <w:p>
            <w:pPr>
              <w:spacing w:after="0" w:line="190" w:lineRule="exact"/>
              <w:rPr>
                <w:sz w:val="20"/>
                <w:szCs w:val="20"/>
                <w:color w:val="auto"/>
              </w:rPr>
            </w:pPr>
            <w:r>
              <w:rPr>
                <w:rFonts w:ascii="Arial" w:cs="Arial" w:eastAsia="Arial" w:hAnsi="Arial"/>
                <w:sz w:val="20"/>
                <w:szCs w:val="20"/>
                <w:color w:val="1C2790"/>
                <w:w w:val="94"/>
              </w:rPr>
              <w:t>Consent of Crowe LLP, Independent Registered</w:t>
            </w:r>
          </w:p>
        </w:tc>
        <w:tc>
          <w:tcPr>
            <w:tcW w:w="6040" w:type="dxa"/>
            <w:vAlign w:val="bottom"/>
            <w:gridSpan w:val="15"/>
          </w:tcPr>
          <w:p>
            <w:pPr>
              <w:ind w:left="280"/>
              <w:spacing w:after="0" w:line="190" w:lineRule="exact"/>
              <w:rPr>
                <w:sz w:val="20"/>
                <w:szCs w:val="20"/>
                <w:color w:val="auto"/>
              </w:rPr>
            </w:pPr>
            <w:r>
              <w:rPr>
                <w:rFonts w:ascii="Arial" w:cs="Arial" w:eastAsia="Arial" w:hAnsi="Arial"/>
                <w:sz w:val="20"/>
                <w:szCs w:val="20"/>
                <w:color w:val="1C2790"/>
              </w:rPr>
              <w:t>Public Accounting Firm.</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40" w:type="dxa"/>
            <w:vAlign w:val="bottom"/>
            <w:gridSpan w:val="3"/>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1C2790"/>
            </w:tcBorders>
          </w:tcPr>
          <w:p>
            <w:pPr>
              <w:spacing w:after="0" w:line="20" w:lineRule="exact"/>
              <w:rPr>
                <w:sz w:val="1"/>
                <w:szCs w:val="1"/>
                <w:color w:val="auto"/>
              </w:rPr>
            </w:pPr>
          </w:p>
        </w:tc>
        <w:tc>
          <w:tcPr>
            <w:tcW w:w="5900" w:type="dxa"/>
            <w:vAlign w:val="bottom"/>
            <w:tcBorders>
              <w:bottom w:val="single" w:sz="8" w:color="1C2790"/>
            </w:tcBorders>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20" w:type="dxa"/>
            <w:vAlign w:val="bottom"/>
            <w:gridSpan w:val="5"/>
          </w:tcPr>
          <w:p>
            <w:pPr>
              <w:jc w:val="center"/>
              <w:ind w:left="289"/>
              <w:spacing w:after="0" w:line="176" w:lineRule="exact"/>
              <w:rPr>
                <w:sz w:val="20"/>
                <w:szCs w:val="20"/>
                <w:color w:val="auto"/>
              </w:rPr>
            </w:pPr>
            <w:r>
              <w:rPr>
                <w:rFonts w:ascii="Arial" w:cs="Arial" w:eastAsia="Arial" w:hAnsi="Arial"/>
                <w:sz w:val="18"/>
                <w:szCs w:val="18"/>
                <w:color w:val="1C2790"/>
                <w:w w:val="96"/>
              </w:rPr>
              <w:t>31.</w:t>
            </w:r>
            <w:r>
              <w:rPr>
                <w:rFonts w:ascii="Arial" w:cs="Arial" w:eastAsia="Arial" w:hAnsi="Arial"/>
                <w:sz w:val="18"/>
                <w:szCs w:val="18"/>
                <w:u w:val="single" w:color="auto"/>
                <w:color w:val="1C2790"/>
                <w:w w:val="96"/>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gridSpan w:val="11"/>
          </w:tcPr>
          <w:p>
            <w:pPr>
              <w:spacing w:after="0" w:line="175" w:lineRule="exact"/>
              <w:rPr>
                <w:sz w:val="20"/>
                <w:szCs w:val="20"/>
                <w:color w:val="auto"/>
              </w:rPr>
            </w:pPr>
            <w:r>
              <w:rPr>
                <w:rFonts w:ascii="Arial" w:cs="Arial" w:eastAsia="Arial" w:hAnsi="Arial"/>
                <w:sz w:val="20"/>
                <w:szCs w:val="20"/>
                <w:color w:val="1C2790"/>
              </w:rPr>
              <w:t>Certification of Chief Executive Officer pursuant to Rule 13a-14(a) of the</w:t>
            </w:r>
          </w:p>
        </w:tc>
        <w:tc>
          <w:tcPr>
            <w:tcW w:w="3660" w:type="dxa"/>
            <w:vAlign w:val="bottom"/>
            <w:gridSpan w:val="12"/>
          </w:tcPr>
          <w:p>
            <w:pPr>
              <w:spacing w:after="0" w:line="169" w:lineRule="exact"/>
              <w:rPr>
                <w:sz w:val="20"/>
                <w:szCs w:val="20"/>
                <w:color w:val="auto"/>
              </w:rPr>
            </w:pPr>
            <w:r>
              <w:rPr>
                <w:rFonts w:ascii="Arial" w:cs="Arial" w:eastAsia="Arial" w:hAnsi="Arial"/>
                <w:sz w:val="19"/>
                <w:szCs w:val="19"/>
                <w:color w:val="1C2790"/>
              </w:rPr>
              <w:t>Securities Exchange Act of 1934.</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22"/>
        </w:trPr>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1C2790"/>
            </w:tcBorders>
          </w:tcPr>
          <w:p>
            <w:pPr>
              <w:spacing w:after="0" w:line="20" w:lineRule="exact"/>
              <w:rPr>
                <w:sz w:val="1"/>
                <w:szCs w:val="1"/>
                <w:color w:val="auto"/>
              </w:rPr>
            </w:pPr>
          </w:p>
        </w:tc>
        <w:tc>
          <w:tcPr>
            <w:tcW w:w="6040" w:type="dxa"/>
            <w:vAlign w:val="bottom"/>
            <w:tcBorders>
              <w:bottom w:val="single" w:sz="8" w:color="1C2790"/>
            </w:tcBorders>
            <w:gridSpan w:val="11"/>
          </w:tcPr>
          <w:p>
            <w:pPr>
              <w:spacing w:after="0" w:line="20" w:lineRule="exact"/>
              <w:rPr>
                <w:sz w:val="1"/>
                <w:szCs w:val="1"/>
                <w:color w:val="auto"/>
              </w:rPr>
            </w:pPr>
          </w:p>
        </w:tc>
        <w:tc>
          <w:tcPr>
            <w:tcW w:w="60" w:type="dxa"/>
            <w:vAlign w:val="bottom"/>
            <w:tcBorders>
              <w:bottom w:val="single" w:sz="8" w:color="1C2790"/>
            </w:tcBorders>
          </w:tcPr>
          <w:p>
            <w:pPr>
              <w:spacing w:after="0" w:line="20" w:lineRule="exact"/>
              <w:rPr>
                <w:sz w:val="1"/>
                <w:szCs w:val="1"/>
                <w:color w:val="auto"/>
              </w:rPr>
            </w:pPr>
          </w:p>
        </w:tc>
        <w:tc>
          <w:tcPr>
            <w:tcW w:w="2680" w:type="dxa"/>
            <w:vAlign w:val="bottom"/>
            <w:tcBorders>
              <w:bottom w:val="single" w:sz="8" w:color="1C2790"/>
            </w:tcBorders>
            <w:gridSpan w:val="4"/>
          </w:tcPr>
          <w:p>
            <w:pPr>
              <w:spacing w:after="0" w:line="20" w:lineRule="exact"/>
              <w:rPr>
                <w:sz w:val="1"/>
                <w:szCs w:val="1"/>
                <w:color w:val="auto"/>
              </w:rPr>
            </w:pPr>
          </w:p>
        </w:tc>
        <w:tc>
          <w:tcPr>
            <w:tcW w:w="80" w:type="dxa"/>
            <w:vAlign w:val="bottom"/>
            <w:tcBorders>
              <w:bottom w:val="single" w:sz="8" w:color="1C2790"/>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80" w:type="dxa"/>
            <w:vAlign w:val="bottom"/>
            <w:gridSpan w:val="2"/>
          </w:tcPr>
          <w:p>
            <w:pPr>
              <w:spacing w:after="0"/>
              <w:rPr>
                <w:sz w:val="16"/>
                <w:szCs w:val="16"/>
                <w:color w:val="auto"/>
              </w:rPr>
            </w:pPr>
          </w:p>
        </w:tc>
        <w:tc>
          <w:tcPr>
            <w:tcW w:w="340" w:type="dxa"/>
            <w:vAlign w:val="bottom"/>
            <w:gridSpan w:val="3"/>
          </w:tcPr>
          <w:p>
            <w:pPr>
              <w:jc w:val="center"/>
              <w:spacing w:after="0" w:line="169" w:lineRule="exact"/>
              <w:rPr>
                <w:sz w:val="20"/>
                <w:szCs w:val="20"/>
                <w:color w:val="auto"/>
              </w:rPr>
            </w:pPr>
            <w:r>
              <w:rPr>
                <w:rFonts w:ascii="Arial" w:cs="Arial" w:eastAsia="Arial" w:hAnsi="Arial"/>
                <w:sz w:val="18"/>
                <w:szCs w:val="18"/>
                <w:color w:val="1C2790"/>
                <w:w w:val="96"/>
              </w:rPr>
              <w:t>31.</w:t>
            </w:r>
            <w:r>
              <w:rPr>
                <w:rFonts w:ascii="Arial" w:cs="Arial" w:eastAsia="Arial" w:hAnsi="Arial"/>
                <w:sz w:val="18"/>
                <w:szCs w:val="18"/>
                <w:u w:val="single" w:color="auto"/>
                <w:color w:val="1C2790"/>
                <w:w w:val="96"/>
              </w:rPr>
              <w:t>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3"/>
          </w:tcPr>
          <w:p>
            <w:pPr>
              <w:spacing w:after="0" w:line="189" w:lineRule="exact"/>
              <w:rPr>
                <w:sz w:val="20"/>
                <w:szCs w:val="20"/>
                <w:color w:val="auto"/>
              </w:rPr>
            </w:pPr>
            <w:r>
              <w:rPr>
                <w:rFonts w:ascii="Arial" w:cs="Arial" w:eastAsia="Arial" w:hAnsi="Arial"/>
                <w:sz w:val="20"/>
                <w:szCs w:val="20"/>
                <w:color w:val="1C2790"/>
              </w:rPr>
              <w:t>Certification of Chief Financial Officer pursuant to Rule 13a-14(a) of the Securities Exchange Act of 1934.</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2"/>
        </w:trPr>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80" w:type="dxa"/>
            <w:vAlign w:val="bottom"/>
            <w:gridSpan w:val="2"/>
          </w:tcPr>
          <w:p>
            <w:pPr>
              <w:spacing w:after="0"/>
              <w:rPr>
                <w:sz w:val="16"/>
                <w:szCs w:val="16"/>
                <w:color w:val="auto"/>
              </w:rPr>
            </w:pPr>
          </w:p>
        </w:tc>
        <w:tc>
          <w:tcPr>
            <w:tcW w:w="340" w:type="dxa"/>
            <w:vAlign w:val="bottom"/>
            <w:gridSpan w:val="3"/>
          </w:tcPr>
          <w:p>
            <w:pPr>
              <w:jc w:val="center"/>
              <w:spacing w:after="0" w:line="169" w:lineRule="exact"/>
              <w:rPr>
                <w:sz w:val="20"/>
                <w:szCs w:val="20"/>
                <w:color w:val="auto"/>
              </w:rPr>
            </w:pPr>
            <w:r>
              <w:rPr>
                <w:rFonts w:ascii="Arial" w:cs="Arial" w:eastAsia="Arial" w:hAnsi="Arial"/>
                <w:sz w:val="18"/>
                <w:szCs w:val="18"/>
                <w:color w:val="1C2790"/>
                <w:w w:val="96"/>
              </w:rPr>
              <w:t>32.</w:t>
            </w:r>
            <w:r>
              <w:rPr>
                <w:rFonts w:ascii="Arial" w:cs="Arial" w:eastAsia="Arial" w:hAnsi="Arial"/>
                <w:sz w:val="18"/>
                <w:szCs w:val="18"/>
                <w:u w:val="single" w:color="auto"/>
                <w:color w:val="1C2790"/>
                <w:w w:val="96"/>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00" w:type="dxa"/>
            <w:vAlign w:val="bottom"/>
            <w:tcBorders>
              <w:top w:val="single" w:sz="8" w:color="1C2790"/>
            </w:tcBorders>
            <w:gridSpan w:val="17"/>
          </w:tcPr>
          <w:p>
            <w:pPr>
              <w:spacing w:after="0" w:line="189" w:lineRule="exact"/>
              <w:rPr>
                <w:sz w:val="20"/>
                <w:szCs w:val="20"/>
                <w:color w:val="auto"/>
              </w:rPr>
            </w:pPr>
            <w:r>
              <w:rPr>
                <w:rFonts w:ascii="Arial" w:cs="Arial" w:eastAsia="Arial" w:hAnsi="Arial"/>
                <w:sz w:val="20"/>
                <w:szCs w:val="20"/>
                <w:color w:val="1C2790"/>
              </w:rPr>
              <w:t>Certification of Chief Executive Officer pursuant to 18 U.S.C. Section 1350.</w:t>
            </w:r>
            <w:r>
              <w:rPr>
                <w:rFonts w:ascii="Arial" w:cs="Arial" w:eastAsia="Arial" w:hAnsi="Arial"/>
                <w:sz w:val="20"/>
                <w:szCs w:val="20"/>
                <w:color w:val="000000"/>
              </w:rPr>
              <w:t>***</w:t>
            </w:r>
          </w:p>
        </w:tc>
        <w:tc>
          <w:tcPr>
            <w:tcW w:w="7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1C2790"/>
            </w:tcBorders>
          </w:tcPr>
          <w:p>
            <w:pPr>
              <w:spacing w:after="0" w:line="20" w:lineRule="exact"/>
              <w:rPr>
                <w:sz w:val="1"/>
                <w:szCs w:val="1"/>
                <w:color w:val="auto"/>
              </w:rPr>
            </w:pPr>
          </w:p>
        </w:tc>
        <w:tc>
          <w:tcPr>
            <w:tcW w:w="6040" w:type="dxa"/>
            <w:vAlign w:val="bottom"/>
            <w:tcBorders>
              <w:bottom w:val="single" w:sz="8" w:color="1C2790"/>
            </w:tcBorders>
            <w:gridSpan w:val="11"/>
          </w:tcPr>
          <w:p>
            <w:pPr>
              <w:spacing w:after="0" w:line="20" w:lineRule="exact"/>
              <w:rPr>
                <w:sz w:val="1"/>
                <w:szCs w:val="1"/>
                <w:color w:val="auto"/>
              </w:rPr>
            </w:pPr>
          </w:p>
        </w:tc>
        <w:tc>
          <w:tcPr>
            <w:tcW w:w="60" w:type="dxa"/>
            <w:vAlign w:val="bottom"/>
            <w:tcBorders>
              <w:bottom w:val="single" w:sz="8" w:color="1C2790"/>
            </w:tcBorders>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0" w:type="dxa"/>
            <w:vAlign w:val="bottom"/>
            <w:gridSpan w:val="2"/>
          </w:tcPr>
          <w:p>
            <w:pPr>
              <w:spacing w:after="0"/>
              <w:rPr>
                <w:sz w:val="18"/>
                <w:szCs w:val="18"/>
                <w:color w:val="auto"/>
              </w:rPr>
            </w:pPr>
          </w:p>
        </w:tc>
        <w:tc>
          <w:tcPr>
            <w:tcW w:w="340" w:type="dxa"/>
            <w:vAlign w:val="bottom"/>
            <w:tcBorders>
              <w:bottom w:val="single" w:sz="8" w:color="1C2790"/>
            </w:tcBorders>
            <w:gridSpan w:val="3"/>
          </w:tcPr>
          <w:p>
            <w:pPr>
              <w:jc w:val="center"/>
              <w:spacing w:after="0" w:line="169" w:lineRule="exact"/>
              <w:rPr>
                <w:sz w:val="20"/>
                <w:szCs w:val="20"/>
                <w:color w:val="auto"/>
              </w:rPr>
            </w:pPr>
            <w:r>
              <w:rPr>
                <w:rFonts w:ascii="Arial" w:cs="Arial" w:eastAsia="Arial" w:hAnsi="Arial"/>
                <w:sz w:val="18"/>
                <w:szCs w:val="18"/>
                <w:color w:val="1C2790"/>
                <w:w w:val="96"/>
              </w:rPr>
              <w:t>32.</w:t>
            </w:r>
            <w:r>
              <w:rPr>
                <w:rFonts w:ascii="Arial" w:cs="Arial" w:eastAsia="Arial" w:hAnsi="Arial"/>
                <w:sz w:val="18"/>
                <w:szCs w:val="18"/>
                <w:u w:val="single" w:color="auto"/>
                <w:color w:val="1C2790"/>
                <w:w w:val="96"/>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3"/>
          </w:tcPr>
          <w:p>
            <w:pPr>
              <w:spacing w:after="0" w:line="189" w:lineRule="exact"/>
              <w:rPr>
                <w:sz w:val="20"/>
                <w:szCs w:val="20"/>
                <w:color w:val="auto"/>
              </w:rPr>
            </w:pPr>
            <w:r>
              <w:rPr>
                <w:rFonts w:ascii="Arial" w:cs="Arial" w:eastAsia="Arial" w:hAnsi="Arial"/>
                <w:sz w:val="20"/>
                <w:szCs w:val="20"/>
                <w:color w:val="1C2790"/>
              </w:rPr>
              <w:t>Certification of Chief Financial Officer pursuant to 18 U.S.C. Section 1350.</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90"/>
        </w:trPr>
        <w:tc>
          <w:tcPr>
            <w:tcW w:w="720" w:type="dxa"/>
            <w:vAlign w:val="bottom"/>
            <w:gridSpan w:val="5"/>
          </w:tcPr>
          <w:p>
            <w:pPr>
              <w:jc w:val="center"/>
              <w:ind w:left="289"/>
              <w:spacing w:after="0" w:line="190" w:lineRule="exact"/>
              <w:rPr>
                <w:sz w:val="20"/>
                <w:szCs w:val="20"/>
                <w:color w:val="auto"/>
              </w:rPr>
            </w:pPr>
            <w:r>
              <w:rPr>
                <w:rFonts w:ascii="Arial" w:cs="Arial" w:eastAsia="Arial" w:hAnsi="Arial"/>
                <w:sz w:val="18"/>
                <w:szCs w:val="18"/>
                <w:color w:val="1C2790"/>
                <w:w w:val="96"/>
              </w:rPr>
              <w:t>97.</w:t>
            </w:r>
            <w:r>
              <w:rPr>
                <w:rFonts w:ascii="Arial" w:cs="Arial" w:eastAsia="Arial" w:hAnsi="Arial"/>
                <w:sz w:val="18"/>
                <w:szCs w:val="18"/>
                <w:u w:val="single" w:color="auto"/>
                <w:color w:val="1C2790"/>
                <w:w w:val="96"/>
              </w:rPr>
              <w:t>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60" w:type="dxa"/>
            <w:vAlign w:val="bottom"/>
            <w:tcBorders>
              <w:top w:val="single" w:sz="8" w:color="1C2790"/>
            </w:tcBorders>
            <w:gridSpan w:val="12"/>
          </w:tcPr>
          <w:p>
            <w:pPr>
              <w:spacing w:after="0" w:line="190" w:lineRule="exact"/>
              <w:rPr>
                <w:sz w:val="20"/>
                <w:szCs w:val="20"/>
                <w:color w:val="auto"/>
              </w:rPr>
            </w:pPr>
            <w:r>
              <w:rPr>
                <w:rFonts w:ascii="Arial" w:cs="Arial" w:eastAsia="Arial" w:hAnsi="Arial"/>
                <w:sz w:val="18"/>
                <w:szCs w:val="18"/>
                <w:color w:val="1C2790"/>
              </w:rPr>
              <w:t>Compensation Recovery Policy (incorporated by reference to Exhibit 97.1 to the</w:t>
            </w:r>
          </w:p>
        </w:tc>
        <w:tc>
          <w:tcPr>
            <w:tcW w:w="3520" w:type="dxa"/>
            <w:vAlign w:val="bottom"/>
            <w:gridSpan w:val="11"/>
          </w:tcPr>
          <w:p>
            <w:pPr>
              <w:jc w:val="right"/>
              <w:ind w:right="100"/>
              <w:spacing w:after="0" w:line="190" w:lineRule="exact"/>
              <w:rPr>
                <w:sz w:val="20"/>
                <w:szCs w:val="20"/>
                <w:color w:val="auto"/>
              </w:rPr>
            </w:pPr>
            <w:r>
              <w:rPr>
                <w:rFonts w:ascii="Arial" w:cs="Arial" w:eastAsia="Arial" w:hAnsi="Arial"/>
                <w:sz w:val="18"/>
                <w:szCs w:val="18"/>
                <w:color w:val="1C2790"/>
                <w:w w:val="95"/>
              </w:rPr>
              <w:t>Registrant’s Annual Report on Form 10-K for</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1C2790"/>
            </w:tcBorders>
          </w:tcPr>
          <w:p>
            <w:pPr>
              <w:spacing w:after="0"/>
              <w:rPr>
                <w:sz w:val="16"/>
                <w:szCs w:val="16"/>
                <w:color w:val="auto"/>
              </w:rPr>
            </w:pPr>
          </w:p>
        </w:tc>
        <w:tc>
          <w:tcPr>
            <w:tcW w:w="260" w:type="dxa"/>
            <w:vAlign w:val="bottom"/>
            <w:tcBorders>
              <w:top w:val="single" w:sz="8" w:color="1C2790"/>
            </w:tcBorders>
          </w:tcPr>
          <w:p>
            <w:pPr>
              <w:spacing w:after="0"/>
              <w:rPr>
                <w:sz w:val="16"/>
                <w:szCs w:val="16"/>
                <w:color w:val="auto"/>
              </w:rPr>
            </w:pPr>
          </w:p>
        </w:tc>
        <w:tc>
          <w:tcPr>
            <w:tcW w:w="40" w:type="dxa"/>
            <w:vAlign w:val="bottom"/>
            <w:tcBorders>
              <w:top w:val="single" w:sz="8" w:color="1C2790"/>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1C2790"/>
              <w:bottom w:val="single" w:sz="8" w:color="1C2790"/>
            </w:tcBorders>
            <w:gridSpan w:val="20"/>
          </w:tcPr>
          <w:p>
            <w:pPr>
              <w:spacing w:after="0" w:line="187" w:lineRule="exact"/>
              <w:rPr>
                <w:sz w:val="20"/>
                <w:szCs w:val="20"/>
                <w:color w:val="auto"/>
              </w:rPr>
            </w:pPr>
            <w:r>
              <w:rPr>
                <w:rFonts w:ascii="Arial" w:cs="Arial" w:eastAsia="Arial" w:hAnsi="Arial"/>
                <w:sz w:val="18"/>
                <w:szCs w:val="18"/>
                <w:color w:val="1C2790"/>
              </w:rPr>
              <w:t>the year ended December 31, 2023 (File No. 001-41196) filed with the Securities and Exchange Commission on March 22,</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1C2790"/>
            </w:tcBorders>
          </w:tcPr>
          <w:p>
            <w:pPr>
              <w:spacing w:after="0" w:line="205" w:lineRule="exact"/>
              <w:rPr>
                <w:sz w:val="20"/>
                <w:szCs w:val="20"/>
                <w:color w:val="auto"/>
              </w:rPr>
            </w:pPr>
            <w:r>
              <w:rPr>
                <w:rFonts w:ascii="Arial" w:cs="Arial" w:eastAsia="Arial" w:hAnsi="Arial"/>
                <w:sz w:val="18"/>
                <w:szCs w:val="18"/>
                <w:color w:val="1C2790"/>
                <w:w w:val="97"/>
              </w:rPr>
              <w:t>2024)</w:t>
            </w:r>
            <w:r>
              <w:rPr>
                <w:rFonts w:ascii="Arial" w:cs="Arial" w:eastAsia="Arial" w:hAnsi="Arial"/>
                <w:sz w:val="19"/>
                <w:szCs w:val="19"/>
                <w:color w:val="1C2790"/>
                <w:w w:val="97"/>
              </w:rPr>
              <w:t>.</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1480" w:right="100" w:hanging="1083"/>
        <w:spacing w:after="0" w:line="258"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Annual Report on Form 10-K for the year ended December 31, 2021, formatted in Inline XBRL: (i) Consolidated Balance Sheets, (ii) Consolidated Statements of Operations, (iii) Consolidated Statements of Comprehensive Income, (iv) Consolidated Statements of Changes in Stockholders’ Equity, (v) Consolidated</w:t>
      </w:r>
    </w:p>
    <w:p>
      <w:pPr>
        <w:spacing w:after="0" w:line="154" w:lineRule="exact"/>
        <w:rPr>
          <w:sz w:val="20"/>
          <w:szCs w:val="20"/>
          <w:color w:val="auto"/>
        </w:rPr>
      </w:pPr>
    </w:p>
    <w:p>
      <w:pPr>
        <w:ind w:left="1200" w:right="3000" w:hanging="803"/>
        <w:spacing w:after="0" w:line="409" w:lineRule="auto"/>
        <w:tabs>
          <w:tab w:leader="none" w:pos="14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ind w:left="1480" w:hanging="35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480" w:hanging="428"/>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tabs>
          <w:tab w:leader="none" w:pos="360" w:val="left"/>
          <w:tab w:leader="none" w:pos="2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1560"/>
          </w:cols>
          <w:pgMar w:left="220" w:top="355" w:right="460" w:bottom="0" w:gutter="0" w:footer="0" w:header="0"/>
        </w:sectPr>
      </w:pPr>
    </w:p>
    <w:bookmarkStart w:id="128" w:name="page129"/>
    <w:bookmarkEnd w:id="128"/>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120"/>
        <w:spacing w:after="0"/>
        <w:tabs>
          <w:tab w:leader="none" w:pos="3820" w:val="left"/>
          <w:tab w:leader="none" w:pos="67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080"/>
          </w:cols>
          <w:pgMar w:left="720" w:top="355" w:right="1440" w:bottom="0" w:gutter="0" w:footer="0" w:header="0"/>
        </w:sectPr>
      </w:pPr>
    </w:p>
    <w:bookmarkStart w:id="129" w:name="page130"/>
    <w:bookmarkEnd w:id="129"/>
    <w:p>
      <w:pPr>
        <w:spacing w:after="0" w:line="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Table of Contents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Pursuant to the requirements of the Exchange Act, the registrant has duly caused this report to be signed on its behalf by the undersigned thereunto duly authorized.</w:t>
      </w:r>
    </w:p>
    <w:p>
      <w:pPr>
        <w:spacing w:after="0" w:line="146" w:lineRule="exact"/>
        <w:rPr>
          <w:sz w:val="20"/>
          <w:szCs w:val="20"/>
          <w:color w:val="auto"/>
        </w:rPr>
      </w:pPr>
    </w:p>
    <w:tbl>
      <w:tblPr>
        <w:tblLayout w:type="fixed"/>
        <w:tblInd w:w="280" w:type="dxa"/>
        <w:tblCellMar>
          <w:top w:w="0" w:type="dxa"/>
          <w:left w:w="0" w:type="dxa"/>
          <w:bottom w:w="0" w:type="dxa"/>
          <w:right w:w="0" w:type="dxa"/>
        </w:tblCellMar>
      </w:tblPr>
      <w:tr>
        <w:trPr>
          <w:trHeight w:val="284"/>
        </w:trPr>
        <w:tc>
          <w:tcPr>
            <w:tcW w:w="3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Arial" w:cs="Arial" w:eastAsia="Arial" w:hAnsi="Arial"/>
                <w:sz w:val="20"/>
                <w:szCs w:val="20"/>
                <w:b w:val="1"/>
                <w:bCs w:val="1"/>
                <w:color w:val="auto"/>
              </w:rPr>
              <w:t>USCB FINANCIAL HOLDINGS, INC.</w:t>
            </w:r>
          </w:p>
        </w:tc>
      </w:tr>
      <w:tr>
        <w:trPr>
          <w:trHeight w:val="480"/>
        </w:trPr>
        <w:tc>
          <w:tcPr>
            <w:tcW w:w="3480" w:type="dxa"/>
            <w:vAlign w:val="bottom"/>
          </w:tcPr>
          <w:p>
            <w:pPr>
              <w:spacing w:after="0"/>
              <w:rPr>
                <w:sz w:val="20"/>
                <w:szCs w:val="20"/>
                <w:color w:val="auto"/>
              </w:rPr>
            </w:pPr>
            <w:r>
              <w:rPr>
                <w:rFonts w:ascii="Arial" w:cs="Arial" w:eastAsia="Arial" w:hAnsi="Arial"/>
                <w:sz w:val="20"/>
                <w:szCs w:val="20"/>
                <w:color w:val="auto"/>
              </w:rPr>
              <w:t>Date: March 14, 2025</w:t>
            </w:r>
          </w:p>
        </w:tc>
        <w:tc>
          <w:tcPr>
            <w:tcW w:w="6860" w:type="dxa"/>
            <w:vAlign w:val="bottom"/>
            <w:gridSpan w:val="2"/>
          </w:tcPr>
          <w:p>
            <w:pPr>
              <w:ind w:left="1560"/>
              <w:spacing w:after="0"/>
              <w:rPr>
                <w:sz w:val="20"/>
                <w:szCs w:val="20"/>
                <w:color w:val="auto"/>
              </w:rPr>
            </w:pPr>
            <w:r>
              <w:rPr>
                <w:rFonts w:ascii="Arial" w:cs="Arial" w:eastAsia="Arial" w:hAnsi="Arial"/>
                <w:sz w:val="20"/>
                <w:szCs w:val="20"/>
                <w:color w:val="auto"/>
              </w:rPr>
              <w:t>By:  /s/ Luis de la Aguilera</w:t>
            </w:r>
          </w:p>
        </w:tc>
      </w:tr>
      <w:tr>
        <w:trPr>
          <w:trHeight w:val="201"/>
        </w:trPr>
        <w:tc>
          <w:tcPr>
            <w:tcW w:w="3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20"/>
                <w:szCs w:val="20"/>
                <w:color w:val="auto"/>
              </w:rPr>
              <w:t>Luis de la Aguilera</w:t>
            </w:r>
          </w:p>
        </w:tc>
      </w:tr>
      <w:tr>
        <w:trPr>
          <w:trHeight w:val="270"/>
        </w:trPr>
        <w:tc>
          <w:tcPr>
            <w:tcW w:w="3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900" w:type="dxa"/>
            <w:vAlign w:val="bottom"/>
          </w:tcPr>
          <w:p>
            <w:pPr>
              <w:ind w:left="100"/>
              <w:spacing w:after="0"/>
              <w:rPr>
                <w:sz w:val="20"/>
                <w:szCs w:val="20"/>
                <w:color w:val="auto"/>
              </w:rPr>
            </w:pPr>
            <w:r>
              <w:rPr>
                <w:rFonts w:ascii="Arial" w:cs="Arial" w:eastAsia="Arial" w:hAnsi="Arial"/>
                <w:sz w:val="20"/>
                <w:szCs w:val="20"/>
                <w:color w:val="auto"/>
              </w:rPr>
              <w:t>President, Chief Executive Officer, and Chairman</w:t>
            </w:r>
          </w:p>
        </w:tc>
      </w:tr>
    </w:tbl>
    <w:p>
      <w:pPr>
        <w:spacing w:after="0" w:line="191"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Pursuant to the requirements of the Exchange Ac, this report has been signed by the following persons in the capacities and on the dates indicated.</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84"/>
        </w:trPr>
        <w:tc>
          <w:tcPr>
            <w:tcW w:w="334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Signature</w:t>
            </w:r>
          </w:p>
        </w:tc>
        <w:tc>
          <w:tcPr>
            <w:tcW w:w="260" w:type="dxa"/>
            <w:vAlign w:val="bottom"/>
          </w:tcPr>
          <w:p>
            <w:pPr>
              <w:spacing w:after="0"/>
              <w:rPr>
                <w:sz w:val="24"/>
                <w:szCs w:val="24"/>
                <w:color w:val="auto"/>
              </w:rPr>
            </w:pPr>
          </w:p>
        </w:tc>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20"/>
                <w:szCs w:val="20"/>
                <w:b w:val="1"/>
                <w:bCs w:val="1"/>
                <w:color w:val="auto"/>
              </w:rPr>
              <w:t>Title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r>
      <w:tr>
        <w:trPr>
          <w:trHeight w:val="499"/>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Chairman, President, and Chief Executive</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Luis de la Aguilera</w:t>
            </w:r>
          </w:p>
        </w:tc>
        <w:tc>
          <w:tcPr>
            <w:tcW w:w="260" w:type="dxa"/>
            <w:vAlign w:val="bottom"/>
          </w:tcPr>
          <w:p>
            <w:pPr>
              <w:spacing w:after="0"/>
              <w:rPr>
                <w:sz w:val="21"/>
                <w:szCs w:val="21"/>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Officer (Principal Executive Officer)</w:t>
            </w: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Luis de la Aguilera</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57"/>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Chief Financial Officer (Principal Financial</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Anderson</w:t>
            </w:r>
          </w:p>
        </w:tc>
        <w:tc>
          <w:tcPr>
            <w:tcW w:w="260" w:type="dxa"/>
            <w:vAlign w:val="bottom"/>
          </w:tcPr>
          <w:p>
            <w:pPr>
              <w:spacing w:after="0"/>
              <w:rPr>
                <w:sz w:val="21"/>
                <w:szCs w:val="21"/>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Officer and Principal Accounting Officer)</w:t>
            </w: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Robert Anderson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Aida Levitan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Aida Levitan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Howard Feinglass</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Howard Feinglass</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Kirk Wycoff</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Kirk Wycoff</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Ramon A. Abadin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Ramon A. Abadin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6"/>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Bernardo B. Fernandez</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Bernardo B. Fernandez</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Ramon A. Rodriguez</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Ramon A. Rodriguez</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21"/>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Maria C. Alonso</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Maria C. Alonso</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21"/>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E. Kafafian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14, 2025</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Robert E. Kafafian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bl>
    <w:p>
      <w:pPr>
        <w:spacing w:after="0" w:line="200" w:lineRule="exact"/>
        <w:rPr>
          <w:sz w:val="20"/>
          <w:szCs w:val="20"/>
          <w:color w:val="auto"/>
        </w:rPr>
      </w:pPr>
    </w:p>
    <w:p>
      <w:pPr>
        <w:sectPr>
          <w:pgSz w:w="12240" w:h="15877"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color w:val="auto"/>
        </w:rPr>
        <w:t>USCB Financial Holdings, Inc.</w:t>
        <w:tab/>
        <w:t>2024 10-K</w:t>
      </w:r>
    </w:p>
    <w:p>
      <w:pPr>
        <w:sectPr>
          <w:pgSz w:w="12240" w:h="15877" w:orient="portrait"/>
          <w:cols w:equalWidth="0" w:num="1">
            <w:col w:w="10800"/>
          </w:cols>
          <w:pgMar w:left="720" w:top="355" w:right="720" w:bottom="0" w:gutter="0" w:footer="0" w:header="0"/>
          <w:type w:val="continuous"/>
        </w:sectPr>
      </w:pPr>
    </w:p>
    <w:bookmarkStart w:id="130" w:name="page131"/>
    <w:bookmarkEnd w:id="130"/>
    <w:p>
      <w:pPr>
        <w:ind w:left="10040"/>
        <w:spacing w:after="0"/>
        <w:rPr>
          <w:sz w:val="20"/>
          <w:szCs w:val="20"/>
          <w:color w:val="auto"/>
        </w:rPr>
      </w:pPr>
      <w:r>
        <w:rPr>
          <w:rFonts w:ascii="Arial" w:cs="Arial" w:eastAsia="Arial" w:hAnsi="Arial"/>
          <w:sz w:val="20"/>
          <w:szCs w:val="20"/>
          <w:b w:val="1"/>
          <w:bCs w:val="1"/>
          <w:color w:val="auto"/>
        </w:rPr>
        <w:t>Exhibit 31.1</w:t>
      </w: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 Luis de la Aguilera, certify that:</w:t>
      </w:r>
    </w:p>
    <w:p>
      <w:pPr>
        <w:spacing w:after="0" w:line="230" w:lineRule="exact"/>
        <w:rPr>
          <w:sz w:val="20"/>
          <w:szCs w:val="20"/>
          <w:color w:val="auto"/>
        </w:rPr>
      </w:pPr>
    </w:p>
    <w:p>
      <w:pPr>
        <w:ind w:left="340" w:hanging="340"/>
        <w:spacing w:after="0"/>
        <w:tabs>
          <w:tab w:leader="none" w:pos="3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USCB Financial Holdings, Inc.;</w:t>
      </w:r>
    </w:p>
    <w:p>
      <w:pPr>
        <w:spacing w:after="0" w:line="230" w:lineRule="exact"/>
        <w:rPr>
          <w:rFonts w:ascii="Arial" w:cs="Arial" w:eastAsia="Arial" w:hAnsi="Arial"/>
          <w:sz w:val="20"/>
          <w:szCs w:val="20"/>
          <w:color w:val="auto"/>
        </w:rPr>
      </w:pPr>
    </w:p>
    <w:p>
      <w:pPr>
        <w:jc w:val="both"/>
        <w:ind w:left="360" w:hanging="360"/>
        <w:spacing w:after="0" w:line="261" w:lineRule="auto"/>
        <w:tabs>
          <w:tab w:leader="none" w:pos="333"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20"/>
          <w:szCs w:val="20"/>
          <w:color w:val="auto"/>
        </w:rPr>
      </w:pPr>
    </w:p>
    <w:p>
      <w:pPr>
        <w:jc w:val="both"/>
        <w:ind w:left="360" w:hanging="360"/>
        <w:spacing w:after="0" w:line="261" w:lineRule="auto"/>
        <w:tabs>
          <w:tab w:leader="none" w:pos="335"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20"/>
          <w:szCs w:val="20"/>
          <w:color w:val="auto"/>
        </w:rPr>
      </w:pPr>
    </w:p>
    <w:p>
      <w:pPr>
        <w:jc w:val="both"/>
        <w:ind w:left="360" w:hanging="360"/>
        <w:spacing w:after="0" w:line="261" w:lineRule="auto"/>
        <w:tabs>
          <w:tab w:leader="none" w:pos="33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0"/>
          <w:szCs w:val="20"/>
          <w:color w:val="auto"/>
        </w:rPr>
      </w:pPr>
    </w:p>
    <w:p>
      <w:pPr>
        <w:jc w:val="both"/>
        <w:ind w:left="1080" w:hanging="360"/>
        <w:spacing w:after="0" w:line="261" w:lineRule="auto"/>
        <w:tabs>
          <w:tab w:leader="none" w:pos="1081" w:val="left"/>
        </w:tabs>
        <w:numPr>
          <w:ilvl w:val="1"/>
          <w:numId w:val="6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20"/>
          <w:szCs w:val="20"/>
          <w:color w:val="auto"/>
        </w:rPr>
      </w:pPr>
    </w:p>
    <w:p>
      <w:pPr>
        <w:jc w:val="both"/>
        <w:ind w:left="360" w:hanging="360"/>
        <w:spacing w:after="0" w:line="261" w:lineRule="auto"/>
        <w:tabs>
          <w:tab w:leader="none" w:pos="33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1080" w:hanging="360"/>
        <w:spacing w:after="0" w:line="262" w:lineRule="auto"/>
        <w:tabs>
          <w:tab w:leader="none" w:pos="1065" w:val="left"/>
        </w:tabs>
        <w:numPr>
          <w:ilvl w:val="1"/>
          <w:numId w:val="6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20"/>
          <w:szCs w:val="20"/>
          <w:color w:val="auto"/>
        </w:rPr>
      </w:pPr>
    </w:p>
    <w:p>
      <w:pPr>
        <w:ind w:left="1080" w:hanging="360"/>
        <w:spacing w:after="0" w:line="283" w:lineRule="auto"/>
        <w:tabs>
          <w:tab w:leader="none" w:pos="1082"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 Luis de la Aguilera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36830</wp:posOffset>
                </wp:positionV>
                <wp:extent cx="344487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487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pt" to="289.25pt,2.9pt" o:allowincell="f" strokecolor="#000000" strokeweight="0.9599pt"/>
            </w:pict>
          </mc:Fallback>
        </mc:AlternateConten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Luis de la Aguilera</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Chairman, President, and Chief Executive Officer</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3/14/2025</w:t>
      </w:r>
    </w:p>
    <w:p>
      <w:pPr>
        <w:sectPr>
          <w:pgSz w:w="12240" w:h="15840" w:orient="portrait"/>
          <w:cols w:equalWidth="0" w:num="1">
            <w:col w:w="11160"/>
          </w:cols>
          <w:pgMar w:left="360" w:top="696" w:right="720" w:bottom="1440" w:gutter="0" w:footer="0" w:header="0"/>
        </w:sectPr>
      </w:pPr>
    </w:p>
    <w:bookmarkStart w:id="131" w:name="page132"/>
    <w:bookmarkEnd w:id="131"/>
    <w:p>
      <w:pPr>
        <w:ind w:left="10040"/>
        <w:spacing w:after="0"/>
        <w:rPr>
          <w:sz w:val="20"/>
          <w:szCs w:val="20"/>
          <w:color w:val="auto"/>
        </w:rPr>
      </w:pPr>
      <w:r>
        <w:rPr>
          <w:rFonts w:ascii="Arial" w:cs="Arial" w:eastAsia="Arial" w:hAnsi="Arial"/>
          <w:sz w:val="20"/>
          <w:szCs w:val="20"/>
          <w:b w:val="1"/>
          <w:bCs w:val="1"/>
          <w:color w:val="auto"/>
        </w:rPr>
        <w:t>Exhibit 31.2</w:t>
      </w: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 Robert Anderson, certify that:</w:t>
      </w:r>
    </w:p>
    <w:p>
      <w:pPr>
        <w:spacing w:after="0" w:line="230" w:lineRule="exact"/>
        <w:rPr>
          <w:sz w:val="20"/>
          <w:szCs w:val="20"/>
          <w:color w:val="auto"/>
        </w:rPr>
      </w:pPr>
    </w:p>
    <w:p>
      <w:pPr>
        <w:ind w:left="340" w:hanging="340"/>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USCB Financial Holdings, Inc.;</w:t>
      </w:r>
    </w:p>
    <w:p>
      <w:pPr>
        <w:spacing w:after="0" w:line="230" w:lineRule="exact"/>
        <w:rPr>
          <w:rFonts w:ascii="Arial" w:cs="Arial" w:eastAsia="Arial" w:hAnsi="Arial"/>
          <w:sz w:val="20"/>
          <w:szCs w:val="20"/>
          <w:color w:val="auto"/>
        </w:rPr>
      </w:pPr>
    </w:p>
    <w:p>
      <w:pPr>
        <w:jc w:val="both"/>
        <w:ind w:left="360" w:hanging="360"/>
        <w:spacing w:after="0" w:line="261" w:lineRule="auto"/>
        <w:tabs>
          <w:tab w:leader="none" w:pos="333"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20"/>
          <w:szCs w:val="20"/>
          <w:color w:val="auto"/>
        </w:rPr>
      </w:pPr>
    </w:p>
    <w:p>
      <w:pPr>
        <w:jc w:val="both"/>
        <w:ind w:left="360" w:hanging="360"/>
        <w:spacing w:after="0" w:line="261" w:lineRule="auto"/>
        <w:tabs>
          <w:tab w:leader="none" w:pos="335"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20"/>
          <w:szCs w:val="20"/>
          <w:color w:val="auto"/>
        </w:rPr>
      </w:pPr>
    </w:p>
    <w:p>
      <w:pPr>
        <w:jc w:val="both"/>
        <w:ind w:left="360" w:hanging="360"/>
        <w:spacing w:after="0" w:line="261" w:lineRule="auto"/>
        <w:tabs>
          <w:tab w:leader="none" w:pos="33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7"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0"/>
          <w:szCs w:val="20"/>
          <w:color w:val="auto"/>
        </w:rPr>
      </w:pPr>
    </w:p>
    <w:p>
      <w:pPr>
        <w:jc w:val="both"/>
        <w:ind w:left="1080" w:hanging="360"/>
        <w:spacing w:after="0" w:line="261" w:lineRule="auto"/>
        <w:tabs>
          <w:tab w:leader="none" w:pos="1081" w:val="left"/>
        </w:tabs>
        <w:numPr>
          <w:ilvl w:val="1"/>
          <w:numId w:val="6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1" w:val="left"/>
        </w:tabs>
        <w:numPr>
          <w:ilvl w:val="1"/>
          <w:numId w:val="6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20"/>
          <w:szCs w:val="20"/>
          <w:color w:val="auto"/>
        </w:rPr>
      </w:pPr>
    </w:p>
    <w:p>
      <w:pPr>
        <w:jc w:val="both"/>
        <w:ind w:left="360" w:hanging="360"/>
        <w:spacing w:after="0" w:line="261" w:lineRule="auto"/>
        <w:tabs>
          <w:tab w:leader="none" w:pos="33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1080" w:hanging="360"/>
        <w:spacing w:after="0" w:line="262" w:lineRule="auto"/>
        <w:tabs>
          <w:tab w:leader="none" w:pos="1065"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20"/>
          <w:szCs w:val="20"/>
          <w:color w:val="auto"/>
        </w:rPr>
      </w:pPr>
    </w:p>
    <w:p>
      <w:pPr>
        <w:ind w:left="1080" w:hanging="360"/>
        <w:spacing w:after="0" w:line="283" w:lineRule="auto"/>
        <w:tabs>
          <w:tab w:leader="none" w:pos="1065"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 Robert Anderson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36830</wp:posOffset>
                </wp:positionV>
                <wp:extent cx="344487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487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pt" to="289.25pt,2.9pt" o:allowincell="f" strokecolor="#000000" strokeweight="0.959pt"/>
            </w:pict>
          </mc:Fallback>
        </mc:AlternateConten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Robert Anderson</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Chief Financial Officer</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3/14/2025</w:t>
      </w:r>
    </w:p>
    <w:p>
      <w:pPr>
        <w:sectPr>
          <w:pgSz w:w="12240" w:h="15840" w:orient="portrait"/>
          <w:cols w:equalWidth="0" w:num="1">
            <w:col w:w="11160"/>
          </w:cols>
          <w:pgMar w:left="360" w:top="696" w:right="720" w:bottom="1440" w:gutter="0" w:footer="0" w:header="0"/>
        </w:sectPr>
      </w:pPr>
    </w:p>
    <w:bookmarkStart w:id="132" w:name="page133"/>
    <w:bookmarkEnd w:id="132"/>
    <w:p>
      <w:pPr>
        <w:ind w:left="9680"/>
        <w:spacing w:after="0"/>
        <w:rPr>
          <w:sz w:val="20"/>
          <w:szCs w:val="20"/>
          <w:color w:val="auto"/>
        </w:rPr>
      </w:pPr>
      <w:r>
        <w:rPr>
          <w:rFonts w:ascii="Arial" w:cs="Arial" w:eastAsia="Arial" w:hAnsi="Arial"/>
          <w:sz w:val="20"/>
          <w:szCs w:val="20"/>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4"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In connection with the Annual Report of USCB Financial Holdings, Inc. (the “Company”) on Form 10-K for the year ended December 31, 2024 (the “Report”),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76" w:lineRule="exact"/>
        <w:rPr>
          <w:sz w:val="20"/>
          <w:szCs w:val="20"/>
          <w:color w:val="auto"/>
        </w:rPr>
      </w:pPr>
    </w:p>
    <w:p>
      <w:pPr>
        <w:ind w:left="1080" w:hanging="360"/>
        <w:spacing w:after="0" w:line="283" w:lineRule="auto"/>
        <w:tabs>
          <w:tab w:leader="none" w:pos="1066"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as applicable, of the Securities Exchange Act of 1934; and</w:t>
      </w:r>
    </w:p>
    <w:p>
      <w:pPr>
        <w:spacing w:after="0" w:line="147" w:lineRule="exact"/>
        <w:rPr>
          <w:rFonts w:ascii="Arial" w:cs="Arial" w:eastAsia="Arial" w:hAnsi="Arial"/>
          <w:sz w:val="20"/>
          <w:szCs w:val="20"/>
          <w:color w:val="auto"/>
        </w:rPr>
      </w:pPr>
    </w:p>
    <w:p>
      <w:pPr>
        <w:ind w:left="1080" w:hanging="360"/>
        <w:spacing w:after="0" w:line="283" w:lineRule="auto"/>
        <w:tabs>
          <w:tab w:leader="none" w:pos="1065"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Luis de la Aguilera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36830</wp:posOffset>
                </wp:positionV>
                <wp:extent cx="34417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271pt,2.9pt" o:allowincell="f" strokecolor="#000000" strokeweight="0.9599pt"/>
            </w:pict>
          </mc:Fallback>
        </mc:AlternateConten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Luis de la Aguilera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President, and Chief Executive Officer</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Date: 3/14/2025</w:t>
      </w:r>
    </w:p>
    <w:p>
      <w:pPr>
        <w:sectPr>
          <w:pgSz w:w="12240" w:h="15840" w:orient="portrait"/>
          <w:cols w:equalWidth="0" w:num="1">
            <w:col w:w="10800"/>
          </w:cols>
          <w:pgMar w:left="720" w:top="696" w:right="720" w:bottom="1440" w:gutter="0" w:footer="0" w:header="0"/>
        </w:sectPr>
      </w:pPr>
    </w:p>
    <w:bookmarkStart w:id="133" w:name="page134"/>
    <w:bookmarkEnd w:id="133"/>
    <w:p>
      <w:pPr>
        <w:ind w:left="9680"/>
        <w:spacing w:after="0"/>
        <w:rPr>
          <w:sz w:val="20"/>
          <w:szCs w:val="20"/>
          <w:color w:val="auto"/>
        </w:rPr>
      </w:pPr>
      <w:r>
        <w:rPr>
          <w:rFonts w:ascii="Arial" w:cs="Arial" w:eastAsia="Arial" w:hAnsi="Arial"/>
          <w:sz w:val="20"/>
          <w:szCs w:val="20"/>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connection with the Annual Report of USCB Financial Holdings, Inc. (the “Company”) on Form 10-K for the year ended December 31, 2024 (the “Report”),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80" w:lineRule="exact"/>
        <w:rPr>
          <w:sz w:val="20"/>
          <w:szCs w:val="20"/>
          <w:color w:val="auto"/>
        </w:rPr>
      </w:pPr>
    </w:p>
    <w:p>
      <w:pPr>
        <w:ind w:left="1080" w:hanging="360"/>
        <w:spacing w:after="0" w:line="282" w:lineRule="auto"/>
        <w:tabs>
          <w:tab w:leader="none" w:pos="1063"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as applicable, of the Securities Exchange Act of 1934; and</w:t>
      </w:r>
    </w:p>
    <w:p>
      <w:pPr>
        <w:spacing w:after="0" w:line="150" w:lineRule="exact"/>
        <w:rPr>
          <w:rFonts w:ascii="Arial" w:cs="Arial" w:eastAsia="Arial" w:hAnsi="Arial"/>
          <w:sz w:val="20"/>
          <w:szCs w:val="20"/>
          <w:color w:val="auto"/>
        </w:rPr>
      </w:pPr>
    </w:p>
    <w:p>
      <w:pPr>
        <w:ind w:left="1080" w:hanging="360"/>
        <w:spacing w:after="0" w:line="280" w:lineRule="auto"/>
        <w:tabs>
          <w:tab w:leader="none" w:pos="10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Robert Anderson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36195</wp:posOffset>
                </wp:positionV>
                <wp:extent cx="344106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0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5pt" to="270.95pt,2.85pt" o:allowincell="f" strokecolor="#000000" strokeweight="0.9599pt"/>
            </w:pict>
          </mc:Fallback>
        </mc:AlternateConten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Robert Anderson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Date: 3/14/2025</w:t>
      </w:r>
    </w:p>
    <w:sectPr>
      <w:pgSz w:w="12240" w:h="15840" w:orient="portrait"/>
      <w:cols w:equalWidth="0" w:num="1">
        <w:col w:w="10800"/>
      </w:cols>
      <w:pgMar w:left="720" w:top="697" w:right="7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ց"/>
      <w:numFmt w:val="bullet"/>
      <w:start w:val="1"/>
    </w:lvl>
  </w:abstractNum>
  <w:abstractNum w:abstractNumId="1">
    <w:nsid w:val="3006C83E"/>
    <w:multiLevelType w:val="hybridMultilevel"/>
    <w:lvl w:ilvl="0">
      <w:lvlJc w:val="left"/>
      <w:lvlText w:val="տ"/>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lowerRoman"/>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x"/>
      <w:numFmt w:val="bullet"/>
      <w:start w:val="1"/>
    </w:lvl>
  </w:abstractNum>
  <w:abstractNum w:abstractNumId="20">
    <w:nsid w:val="2A487CB0"/>
    <w:multiLevelType w:val="hybridMultilevel"/>
    <w:lvl w:ilvl="0">
      <w:lvlJc w:val="left"/>
      <w:lvlText w:val="x"/>
      <w:numFmt w:val="bullet"/>
      <w:start w:val="1"/>
    </w:lvl>
  </w:abstractNum>
  <w:abstractNum w:abstractNumId="21">
    <w:nsid w:val="1D4ED43B"/>
    <w:multiLevelType w:val="hybridMultilevel"/>
    <w:lvl w:ilvl="0">
      <w:lvlJc w:val="left"/>
      <w:lvlText w:val="(%1)"/>
      <w:numFmt w:val="lowerRoman"/>
      <w:start w:val="2"/>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2"/>
    </w:lvl>
  </w:abstractNum>
  <w:abstractNum w:abstractNumId="33">
    <w:nsid w:val="579478FE"/>
    <w:multiLevelType w:val="hybridMultilevel"/>
    <w:lvl w:ilvl="0">
      <w:lvlJc w:val="left"/>
      <w:lvlText w:val="%1."/>
      <w:numFmt w:val="decimal"/>
      <w:start w:val="3"/>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4"/>
    </w:lvl>
  </w:abstractNum>
  <w:abstractNum w:abstractNumId="37">
    <w:nsid w:val="79A1DEAA"/>
    <w:multiLevelType w:val="hybridMultilevel"/>
    <w:lvl w:ilvl="0">
      <w:lvlJc w:val="left"/>
      <w:lvlText w:val="%1."/>
      <w:numFmt w:val="decimal"/>
      <w:start w:val="5"/>
    </w:lvl>
  </w:abstractNum>
  <w:abstractNum w:abstractNumId="38">
    <w:nsid w:val="75C6C33A"/>
    <w:multiLevelType w:val="hybridMultilevel"/>
    <w:lvl w:ilvl="0">
      <w:lvlJc w:val="left"/>
      <w:lvlText w:val="%1."/>
      <w:numFmt w:val="decimal"/>
      <w:start w:val="6"/>
    </w:lvl>
  </w:abstractNum>
  <w:abstractNum w:abstractNumId="39">
    <w:nsid w:val="12E685FB"/>
    <w:multiLevelType w:val="hybridMultilevel"/>
    <w:lvl w:ilvl="0">
      <w:lvlJc w:val="left"/>
      <w:lvlText w:val="%1."/>
      <w:numFmt w:val="decimal"/>
      <w:start w:val="7"/>
    </w:lvl>
  </w:abstractNum>
  <w:abstractNum w:abstractNumId="40">
    <w:nsid w:val="70C6A529"/>
    <w:multiLevelType w:val="hybridMultilevel"/>
    <w:lvl w:ilvl="0">
      <w:lvlJc w:val="left"/>
      <w:lvlText w:val="%1."/>
      <w:numFmt w:val="decimal"/>
      <w:start w:val="8"/>
    </w:lvl>
  </w:abstractNum>
  <w:abstractNum w:abstractNumId="41">
    <w:nsid w:val="520EEDD1"/>
    <w:multiLevelType w:val="hybridMultilevel"/>
    <w:lvl w:ilvl="0">
      <w:lvlJc w:val="left"/>
      <w:lvlText w:val="%1."/>
      <w:numFmt w:val="decimal"/>
      <w:start w:val="9"/>
    </w:lvl>
  </w:abstractNum>
  <w:abstractNum w:abstractNumId="42">
    <w:nsid w:val="374A3FE6"/>
    <w:multiLevelType w:val="hybridMultilevel"/>
    <w:lvl w:ilvl="0">
      <w:lvlJc w:val="left"/>
      <w:lvlText w:val="%1."/>
      <w:numFmt w:val="decimal"/>
      <w:start w:val="10"/>
    </w:lvl>
  </w:abstractNum>
  <w:abstractNum w:abstractNumId="43">
    <w:nsid w:val="4F4EF005"/>
    <w:multiLevelType w:val="hybridMultilevel"/>
    <w:lvl w:ilvl="0">
      <w:lvlJc w:val="left"/>
      <w:lvlText w:val="%1."/>
      <w:numFmt w:val="decimal"/>
      <w:start w:val="11"/>
    </w:lvl>
  </w:abstractNum>
  <w:abstractNum w:abstractNumId="44">
    <w:nsid w:val="23F9C13C"/>
    <w:multiLevelType w:val="hybridMultilevel"/>
    <w:lvl w:ilvl="0">
      <w:lvlJc w:val="left"/>
      <w:lvlText w:val="%1."/>
      <w:numFmt w:val="decimal"/>
      <w:start w:val="12"/>
    </w:lvl>
  </w:abstractNum>
  <w:abstractNum w:abstractNumId="45">
    <w:nsid w:val="649BB77C"/>
    <w:multiLevelType w:val="hybridMultilevel"/>
    <w:lvl w:ilvl="0">
      <w:lvlJc w:val="left"/>
      <w:lvlText w:val="%1."/>
      <w:numFmt w:val="decimal"/>
      <w:start w:val="13"/>
    </w:lvl>
  </w:abstractNum>
  <w:abstractNum w:abstractNumId="46">
    <w:nsid w:val="275AC794"/>
    <w:multiLevelType w:val="hybridMultilevel"/>
    <w:lvl w:ilvl="0">
      <w:lvlJc w:val="left"/>
      <w:lvlText w:val="%1."/>
      <w:numFmt w:val="decimal"/>
      <w:start w:val="14"/>
    </w:lvl>
  </w:abstractNum>
  <w:abstractNum w:abstractNumId="47">
    <w:nsid w:val="39386575"/>
    <w:multiLevelType w:val="hybridMultilevel"/>
    <w:lvl w:ilvl="0">
      <w:lvlJc w:val="left"/>
      <w:lvlText w:val="%1."/>
      <w:numFmt w:val="decimal"/>
      <w:start w:val="15"/>
    </w:lvl>
  </w:abstractNum>
  <w:abstractNum w:abstractNumId="48">
    <w:nsid w:val="1CF10FD8"/>
    <w:multiLevelType w:val="hybridMultilevel"/>
    <w:lvl w:ilvl="0">
      <w:lvlJc w:val="left"/>
      <w:lvlText w:val="%1."/>
      <w:numFmt w:val="decimal"/>
      <w:start w:val="16"/>
    </w:lvl>
  </w:abstractNum>
  <w:abstractNum w:abstractNumId="49">
    <w:nsid w:val="180115BE"/>
    <w:multiLevelType w:val="hybridMultilevel"/>
    <w:lvl w:ilvl="0">
      <w:lvlJc w:val="left"/>
      <w:lvlText w:val="%1."/>
      <w:numFmt w:val="decimal"/>
      <w:start w:val="17"/>
    </w:lvl>
  </w:abstractNum>
  <w:abstractNum w:abstractNumId="50">
    <w:nsid w:val="235BA861"/>
    <w:multiLevelType w:val="hybridMultilevel"/>
    <w:lvl w:ilvl="0">
      <w:lvlJc w:val="left"/>
      <w:lvlText w:val="%1."/>
      <w:numFmt w:val="decimal"/>
      <w:start w:val="18"/>
    </w:lvl>
  </w:abstractNum>
  <w:abstractNum w:abstractNumId="51">
    <w:nsid w:val="47398C89"/>
    <w:multiLevelType w:val="hybridMultilevel"/>
    <w:lvl w:ilvl="0">
      <w:lvlJc w:val="left"/>
      <w:lvlText w:val="%1."/>
      <w:numFmt w:val="decimal"/>
      <w:start w:val="19"/>
    </w:lvl>
  </w:abstractNum>
  <w:abstractNum w:abstractNumId="52">
    <w:nsid w:val="354FE9F9"/>
    <w:multiLevelType w:val="hybridMultilevel"/>
    <w:lvl w:ilvl="0">
      <w:lvlJc w:val="left"/>
      <w:lvlText w:val="%1."/>
      <w:numFmt w:val="decimal"/>
      <w:start w:val="20"/>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lowerLetter"/>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lvl w:ilvl="1">
      <w:lvlJc w:val="left"/>
      <w:lvlText w:val="%2)"/>
      <w:numFmt w:val="decimal"/>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101"/>
    </w:lvl>
  </w:abstractNum>
  <w:abstractNum w:abstractNumId="59">
    <w:nsid w:val="7E0C57B1"/>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60">
    <w:nsid w:val="77AE35E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2025-04-22T14:10:43Z</dcterms:created>
  <dcterms:modified xsi:type="dcterms:W3CDTF">2025-04-22T14:10:43Z</dcterms:modified>
</cp:coreProperties>
</file>