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8"/>
        </w:rPr>
      </w:pPr>
      <w:bookmarkStart w:id="0" w:name="d32912ds4.htm"/>
      <w:bookmarkStart w:id="1" w:name="ksd32912ds4"/>
      <w:bookmarkEnd w:id="0"/>
      <w:bookmarkEnd w:id="1"/>
      <w:r>
        <w:rPr>
          <w:rFonts w:ascii="Times New Roman" w:hAnsi="Times New Roman"/>
          <w:b/>
          <w:sz w:val="18"/>
        </w:rPr>
        <w:t xml:space="preserve">As filed with the Securities and Exchange Commission on November 7, 2025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4"/>
        </w:rPr>
      </w:pPr>
      <w:r>
        <w:rPr>
          <w:rFonts w:ascii="Times New Roman" w:hAnsi="Times New Roman"/>
          <w:b/>
          <w:sz w:val="34"/>
        </w:rPr>
        <w:t xml:space="preserve">FORM S-4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4"/>
        </w:rPr>
      </w:pPr>
      <w:r>
        <w:rPr>
          <w:rFonts w:ascii="Times New Roman" w:hAnsi="Times New Roman"/>
          <w:b/>
          <w:sz w:val="44"/>
        </w:rPr>
        <w:t xml:space="preserve">USCB FINANCIAL HOLDINGS,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center"/>
              <w:rPr>
                <w:b/>
              </w:rPr>
            </w:pPr>
            <w:r>
              <w:rPr>
                <w:b/>
              </w:rPr>
              <w:t>Florida</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rPr>
            </w:pPr>
            <w:r>
              <w:rPr>
                <w:b/>
              </w:rPr>
              <w:t>6022</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87-4070846</w:t>
            </w:r>
          </w:p>
        </w:tc>
      </w:tr>
      <w:tr>
        <w:trPr/>
        <w:tc>
          <w:tcPr>
            <w:tcW w:w="3368"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60" w:after="0"/>
        <w:jc w:val="center"/>
        <w:rPr>
          <w:rFonts w:ascii="Times New Roman" w:hAnsi="Times New Roman"/>
          <w:b/>
          <w:sz w:val="18"/>
        </w:rPr>
      </w:pPr>
      <w:r>
        <w:rPr>
          <w:rFonts w:ascii="Times New Roman" w:hAnsi="Times New Roman"/>
          <w:b/>
          <w:sz w:val="18"/>
        </w:rPr>
        <w:t xml:space="preserve">2301 N.W. 87th Avenue </w:t>
      </w:r>
    </w:p>
    <w:p>
      <w:pPr>
        <w:pStyle w:val="TextBody"/>
        <w:bidi w:val="0"/>
        <w:spacing w:before="0" w:after="0"/>
        <w:jc w:val="center"/>
        <w:rPr>
          <w:rFonts w:ascii="Times New Roman" w:hAnsi="Times New Roman"/>
          <w:b/>
          <w:sz w:val="18"/>
        </w:rPr>
      </w:pPr>
      <w:r>
        <w:rPr>
          <w:rFonts w:ascii="Times New Roman" w:hAnsi="Times New Roman"/>
          <w:b/>
          <w:sz w:val="18"/>
        </w:rPr>
        <w:t xml:space="preserve">Doral, FL 33172 </w:t>
      </w:r>
    </w:p>
    <w:p>
      <w:pPr>
        <w:pStyle w:val="TextBody"/>
        <w:bidi w:val="0"/>
        <w:spacing w:before="0" w:after="0"/>
        <w:jc w:val="center"/>
        <w:rPr>
          <w:rFonts w:ascii="Times New Roman" w:hAnsi="Times New Roman"/>
          <w:b/>
          <w:sz w:val="18"/>
        </w:rPr>
      </w:pPr>
      <w:r>
        <w:rPr>
          <w:rFonts w:ascii="Times New Roman" w:hAnsi="Times New Roman"/>
          <w:b/>
          <w:sz w:val="18"/>
        </w:rPr>
        <w:t xml:space="preserve">(305) 715-5200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Robert Anderson </w:t>
      </w:r>
    </w:p>
    <w:p>
      <w:pPr>
        <w:pStyle w:val="TextBody"/>
        <w:bidi w:val="0"/>
        <w:spacing w:before="0" w:after="0"/>
        <w:jc w:val="center"/>
        <w:rPr>
          <w:rFonts w:ascii="Times New Roman" w:hAnsi="Times New Roman"/>
          <w:b/>
          <w:sz w:val="18"/>
        </w:rPr>
      </w:pPr>
      <w:r>
        <w:rPr>
          <w:rFonts w:ascii="Times New Roman" w:hAnsi="Times New Roman"/>
          <w:b/>
          <w:sz w:val="18"/>
        </w:rPr>
        <w:t xml:space="preserve">Executive Vice President and Chief Financial Officer </w:t>
      </w:r>
    </w:p>
    <w:p>
      <w:pPr>
        <w:pStyle w:val="TextBody"/>
        <w:bidi w:val="0"/>
        <w:spacing w:before="0" w:after="0"/>
        <w:jc w:val="center"/>
        <w:rPr>
          <w:rFonts w:ascii="Times New Roman" w:hAnsi="Times New Roman"/>
          <w:b/>
          <w:sz w:val="18"/>
        </w:rPr>
      </w:pPr>
      <w:r>
        <w:rPr>
          <w:rFonts w:ascii="Times New Roman" w:hAnsi="Times New Roman"/>
          <w:b/>
          <w:sz w:val="18"/>
        </w:rPr>
        <w:t xml:space="preserve">USCB Financial Holdings, Inc. </w:t>
      </w:r>
    </w:p>
    <w:p>
      <w:pPr>
        <w:pStyle w:val="TextBody"/>
        <w:bidi w:val="0"/>
        <w:spacing w:before="0" w:after="0"/>
        <w:jc w:val="center"/>
        <w:rPr>
          <w:rFonts w:ascii="Times New Roman" w:hAnsi="Times New Roman"/>
          <w:b/>
          <w:sz w:val="18"/>
        </w:rPr>
      </w:pPr>
      <w:r>
        <w:rPr>
          <w:rFonts w:ascii="Times New Roman" w:hAnsi="Times New Roman"/>
          <w:b/>
          <w:sz w:val="18"/>
        </w:rPr>
        <w:t xml:space="preserve">2301 NW 87th Avenue </w:t>
      </w:r>
    </w:p>
    <w:p>
      <w:pPr>
        <w:pStyle w:val="TextBody"/>
        <w:bidi w:val="0"/>
        <w:spacing w:before="0" w:after="0"/>
        <w:jc w:val="center"/>
        <w:rPr>
          <w:rFonts w:ascii="Times New Roman" w:hAnsi="Times New Roman"/>
          <w:b/>
          <w:sz w:val="18"/>
        </w:rPr>
      </w:pPr>
      <w:r>
        <w:rPr>
          <w:rFonts w:ascii="Times New Roman" w:hAnsi="Times New Roman"/>
          <w:b/>
          <w:sz w:val="18"/>
        </w:rPr>
        <w:t xml:space="preserve">Doral, FL 33172 </w:t>
      </w:r>
    </w:p>
    <w:p>
      <w:pPr>
        <w:pStyle w:val="TextBody"/>
        <w:bidi w:val="0"/>
        <w:spacing w:before="0" w:after="0"/>
        <w:jc w:val="center"/>
        <w:rPr>
          <w:rFonts w:ascii="Times New Roman" w:hAnsi="Times New Roman"/>
          <w:b/>
          <w:sz w:val="18"/>
        </w:rPr>
      </w:pPr>
      <w:r>
        <w:rPr>
          <w:rFonts w:ascii="Times New Roman" w:hAnsi="Times New Roman"/>
          <w:b/>
          <w:sz w:val="18"/>
        </w:rPr>
        <w:t xml:space="preserve">(305) 715-5200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60" w:after="0"/>
        <w:jc w:val="center"/>
        <w:rPr>
          <w:rFonts w:ascii="Times New Roman" w:hAnsi="Times New Roman"/>
          <w:b/>
          <w:sz w:val="18"/>
        </w:rPr>
      </w:pPr>
      <w:r>
        <w:rPr>
          <w:rFonts w:ascii="Times New Roman" w:hAnsi="Times New Roman"/>
          <w:b/>
          <w:sz w:val="18"/>
        </w:rPr>
        <w:t xml:space="preserve">James J. Barresi, Esq. </w:t>
      </w:r>
    </w:p>
    <w:p>
      <w:pPr>
        <w:pStyle w:val="TextBody"/>
        <w:bidi w:val="0"/>
        <w:spacing w:before="0" w:after="0"/>
        <w:jc w:val="center"/>
        <w:rPr>
          <w:rFonts w:ascii="Times New Roman" w:hAnsi="Times New Roman"/>
          <w:b/>
          <w:sz w:val="18"/>
        </w:rPr>
      </w:pPr>
      <w:r>
        <w:rPr>
          <w:rFonts w:ascii="Times New Roman" w:hAnsi="Times New Roman"/>
          <w:b/>
          <w:sz w:val="18"/>
        </w:rPr>
        <w:t xml:space="preserve">Squire Patton Boggs (US) LLP </w:t>
      </w:r>
    </w:p>
    <w:p>
      <w:pPr>
        <w:pStyle w:val="TextBody"/>
        <w:bidi w:val="0"/>
        <w:spacing w:before="0" w:after="0"/>
        <w:jc w:val="center"/>
        <w:rPr>
          <w:rFonts w:ascii="Times New Roman" w:hAnsi="Times New Roman"/>
          <w:b/>
          <w:sz w:val="18"/>
        </w:rPr>
      </w:pPr>
      <w:r>
        <w:rPr>
          <w:rFonts w:ascii="Times New Roman" w:hAnsi="Times New Roman"/>
          <w:b/>
          <w:sz w:val="18"/>
        </w:rPr>
        <w:t xml:space="preserve">201 E. Fourth Street, Suite 1900 </w:t>
      </w:r>
    </w:p>
    <w:p>
      <w:pPr>
        <w:pStyle w:val="TextBody"/>
        <w:bidi w:val="0"/>
        <w:spacing w:before="0" w:after="0"/>
        <w:jc w:val="center"/>
        <w:rPr>
          <w:rFonts w:ascii="Times New Roman" w:hAnsi="Times New Roman"/>
          <w:b/>
          <w:sz w:val="18"/>
        </w:rPr>
      </w:pPr>
      <w:r>
        <w:rPr>
          <w:rFonts w:ascii="Times New Roman" w:hAnsi="Times New Roman"/>
          <w:b/>
          <w:sz w:val="18"/>
        </w:rPr>
        <w:t xml:space="preserve">Cincinnati, OH 45202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(513) 361-1200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As soon as practicable after this registration statement becomes effective. </w:t>
      </w:r>
    </w:p>
    <w:p>
      <w:pPr>
        <w:pStyle w:val="TextBody"/>
        <w:bidi w:val="0"/>
        <w:spacing w:before="60" w:after="0"/>
        <w:jc w:val="left"/>
        <w:rPr>
          <w:rFonts w:ascii="Times New Roman" w:hAnsi="Times New Roman"/>
          <w:sz w:val="18"/>
        </w:rPr>
      </w:pPr>
      <w:r>
        <w:rPr>
          <w:rFonts w:ascii="Times New Roman" w:hAnsi="Times New Roman"/>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23"/>
        <w:gridCol w:w="65"/>
        <w:gridCol w:w="4979"/>
        <w:gridCol w:w="121"/>
        <w:gridCol w:w="2615"/>
        <w:gridCol w:w="65"/>
        <w:gridCol w:w="237"/>
      </w:tblGrid>
      <w:tr>
        <w:trPr/>
        <w:tc>
          <w:tcPr>
            <w:tcW w:w="2123"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49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23" w:type="dxa"/>
            <w:tcBorders/>
            <w:vAlign w:val="bottom"/>
          </w:tcPr>
          <w:p>
            <w:pPr>
              <w:pStyle w:val="TableContents"/>
              <w:bidi w:val="0"/>
              <w:spacing w:before="0" w:after="283"/>
              <w:jc w:val="left"/>
              <w:rPr/>
            </w:pPr>
            <w:r>
              <w:rPr/>
              <w:t>Large accelerated filer</w:t>
            </w:r>
          </w:p>
        </w:tc>
        <w:tc>
          <w:tcPr>
            <w:tcW w:w="65" w:type="dxa"/>
            <w:tcBorders/>
            <w:vAlign w:val="bottom"/>
          </w:tcPr>
          <w:p>
            <w:pPr>
              <w:pStyle w:val="TableContents"/>
              <w:bidi w:val="0"/>
              <w:spacing w:before="0" w:after="283"/>
              <w:jc w:val="left"/>
              <w:rPr/>
            </w:pPr>
            <w:r>
              <w:rPr/>
              <w:t> </w:t>
            </w:r>
          </w:p>
        </w:tc>
        <w:tc>
          <w:tcPr>
            <w:tcW w:w="4979"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2615" w:type="dxa"/>
            <w:tcBorders/>
            <w:vAlign w:val="bottom"/>
          </w:tcPr>
          <w:p>
            <w:pPr>
              <w:pStyle w:val="TableContents"/>
              <w:bidi w:val="0"/>
              <w:spacing w:before="0" w:after="283"/>
              <w:jc w:val="left"/>
              <w:rPr/>
            </w:pPr>
            <w:r>
              <w:rPr/>
              <w:t>Accelerated filer</w:t>
            </w:r>
          </w:p>
        </w:tc>
        <w:tc>
          <w:tcPr>
            <w:tcW w:w="6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r>
      <w:tr>
        <w:trPr>
          <w:trHeight w:val="60" w:hRule="atLeast"/>
        </w:trPr>
        <w:tc>
          <w:tcPr>
            <w:tcW w:w="2123" w:type="dxa"/>
            <w:tcBorders/>
            <w:vAlign w:val="center"/>
          </w:tcPr>
          <w:p>
            <w:pPr>
              <w:pStyle w:val="TableContents"/>
              <w:bidi w:val="0"/>
              <w:spacing w:before="0" w:after="283"/>
              <w:jc w:val="left"/>
              <w:rPr>
                <w:sz w:val="4"/>
                <w:szCs w:val="4"/>
              </w:rPr>
            </w:pPr>
            <w:r>
              <w:rPr>
                <w:sz w:val="4"/>
                <w:szCs w:val="4"/>
              </w:rPr>
            </w:r>
          </w:p>
        </w:tc>
        <w:tc>
          <w:tcPr>
            <w:tcW w:w="5044" w:type="dxa"/>
            <w:gridSpan w:val="2"/>
            <w:tcBorders/>
            <w:vAlign w:val="center"/>
          </w:tcPr>
          <w:p>
            <w:pPr>
              <w:pStyle w:val="TableContents"/>
              <w:bidi w:val="0"/>
              <w:spacing w:before="0" w:after="283"/>
              <w:jc w:val="left"/>
              <w:rPr>
                <w:sz w:val="4"/>
                <w:szCs w:val="4"/>
              </w:rPr>
            </w:pPr>
            <w:r>
              <w:rPr>
                <w:sz w:val="4"/>
                <w:szCs w:val="4"/>
              </w:rPr>
            </w:r>
          </w:p>
        </w:tc>
        <w:tc>
          <w:tcPr>
            <w:tcW w:w="2736" w:type="dxa"/>
            <w:gridSpan w:val="2"/>
            <w:tcBorders/>
            <w:vAlign w:val="center"/>
          </w:tcPr>
          <w:p>
            <w:pPr>
              <w:pStyle w:val="TableContents"/>
              <w:bidi w:val="0"/>
              <w:spacing w:before="0" w:after="283"/>
              <w:jc w:val="left"/>
              <w:rPr>
                <w:sz w:val="4"/>
                <w:szCs w:val="4"/>
              </w:rPr>
            </w:pPr>
            <w:r>
              <w:rPr>
                <w:sz w:val="4"/>
                <w:szCs w:val="4"/>
              </w:rPr>
            </w:r>
          </w:p>
        </w:tc>
        <w:tc>
          <w:tcPr>
            <w:tcW w:w="302" w:type="dxa"/>
            <w:gridSpan w:val="2"/>
            <w:tcBorders/>
            <w:vAlign w:val="center"/>
          </w:tcPr>
          <w:p>
            <w:pPr>
              <w:pStyle w:val="TableContents"/>
              <w:bidi w:val="0"/>
              <w:spacing w:before="0" w:after="283"/>
              <w:jc w:val="left"/>
              <w:rPr>
                <w:sz w:val="4"/>
                <w:szCs w:val="4"/>
              </w:rPr>
            </w:pPr>
            <w:r>
              <w:rPr>
                <w:sz w:val="4"/>
                <w:szCs w:val="4"/>
              </w:rPr>
            </w:r>
          </w:p>
        </w:tc>
      </w:tr>
      <w:tr>
        <w:trPr/>
        <w:tc>
          <w:tcPr>
            <w:tcW w:w="2123" w:type="dxa"/>
            <w:tcBorders/>
            <w:vAlign w:val="bottom"/>
          </w:tcPr>
          <w:p>
            <w:pPr>
              <w:pStyle w:val="TableContents"/>
              <w:bidi w:val="0"/>
              <w:spacing w:before="0" w:after="283"/>
              <w:jc w:val="left"/>
              <w:rPr/>
            </w:pPr>
            <w:r>
              <w:rPr/>
              <w:t>Non-accelerated filer</w:t>
            </w:r>
          </w:p>
        </w:tc>
        <w:tc>
          <w:tcPr>
            <w:tcW w:w="65" w:type="dxa"/>
            <w:tcBorders/>
            <w:vAlign w:val="bottom"/>
          </w:tcPr>
          <w:p>
            <w:pPr>
              <w:pStyle w:val="TableContents"/>
              <w:bidi w:val="0"/>
              <w:spacing w:before="0" w:after="283"/>
              <w:jc w:val="left"/>
              <w:rPr/>
            </w:pPr>
            <w:r>
              <w:rPr/>
              <w:t> </w:t>
            </w:r>
          </w:p>
        </w:tc>
        <w:tc>
          <w:tcPr>
            <w:tcW w:w="4979" w:type="dxa"/>
            <w:tcBorders/>
            <w:vAlign w:val="bottom"/>
          </w:tcPr>
          <w:p>
            <w:pPr>
              <w:pStyle w:val="TableContents"/>
              <w:bidi w:val="0"/>
              <w:spacing w:before="0" w:after="283"/>
              <w:jc w:val="left"/>
              <w:rPr/>
            </w:pPr>
            <w:r>
              <w:rPr/>
              <w:t>☐ </w:t>
            </w:r>
            <w:r>
              <w:rPr/>
              <w:t>(Do not check if a smaller reporting company)</w:t>
            </w:r>
          </w:p>
        </w:tc>
        <w:tc>
          <w:tcPr>
            <w:tcW w:w="121" w:type="dxa"/>
            <w:tcBorders/>
            <w:vAlign w:val="bottom"/>
          </w:tcPr>
          <w:p>
            <w:pPr>
              <w:pStyle w:val="TableContents"/>
              <w:bidi w:val="0"/>
              <w:spacing w:before="0" w:after="283"/>
              <w:jc w:val="left"/>
              <w:rPr/>
            </w:pPr>
            <w:r>
              <w:rPr/>
              <w:t>  </w:t>
            </w:r>
          </w:p>
        </w:tc>
        <w:tc>
          <w:tcPr>
            <w:tcW w:w="2615" w:type="dxa"/>
            <w:tcBorders/>
            <w:vAlign w:val="bottom"/>
          </w:tcPr>
          <w:p>
            <w:pPr>
              <w:pStyle w:val="TableContents"/>
              <w:bidi w:val="0"/>
              <w:spacing w:before="0" w:after="283"/>
              <w:jc w:val="left"/>
              <w:rPr/>
            </w:pPr>
            <w:r>
              <w:rPr/>
              <w:t>Smaller reporting company</w:t>
            </w:r>
          </w:p>
        </w:tc>
        <w:tc>
          <w:tcPr>
            <w:tcW w:w="6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r>
      <w:tr>
        <w:trPr>
          <w:trHeight w:val="60" w:hRule="atLeast"/>
        </w:trPr>
        <w:tc>
          <w:tcPr>
            <w:tcW w:w="2123" w:type="dxa"/>
            <w:tcBorders/>
            <w:vAlign w:val="center"/>
          </w:tcPr>
          <w:p>
            <w:pPr>
              <w:pStyle w:val="TableContents"/>
              <w:bidi w:val="0"/>
              <w:spacing w:before="0" w:after="283"/>
              <w:jc w:val="left"/>
              <w:rPr>
                <w:sz w:val="4"/>
                <w:szCs w:val="4"/>
              </w:rPr>
            </w:pPr>
            <w:r>
              <w:rPr>
                <w:sz w:val="4"/>
                <w:szCs w:val="4"/>
              </w:rPr>
            </w:r>
          </w:p>
        </w:tc>
        <w:tc>
          <w:tcPr>
            <w:tcW w:w="5044" w:type="dxa"/>
            <w:gridSpan w:val="2"/>
            <w:tcBorders/>
            <w:vAlign w:val="center"/>
          </w:tcPr>
          <w:p>
            <w:pPr>
              <w:pStyle w:val="TableContents"/>
              <w:bidi w:val="0"/>
              <w:spacing w:before="0" w:after="283"/>
              <w:jc w:val="left"/>
              <w:rPr>
                <w:sz w:val="4"/>
                <w:szCs w:val="4"/>
              </w:rPr>
            </w:pPr>
            <w:r>
              <w:rPr>
                <w:sz w:val="4"/>
                <w:szCs w:val="4"/>
              </w:rPr>
            </w:r>
          </w:p>
        </w:tc>
        <w:tc>
          <w:tcPr>
            <w:tcW w:w="2736" w:type="dxa"/>
            <w:gridSpan w:val="2"/>
            <w:tcBorders/>
            <w:vAlign w:val="center"/>
          </w:tcPr>
          <w:p>
            <w:pPr>
              <w:pStyle w:val="TableContents"/>
              <w:bidi w:val="0"/>
              <w:spacing w:before="0" w:after="283"/>
              <w:jc w:val="left"/>
              <w:rPr>
                <w:sz w:val="4"/>
                <w:szCs w:val="4"/>
              </w:rPr>
            </w:pPr>
            <w:r>
              <w:rPr>
                <w:sz w:val="4"/>
                <w:szCs w:val="4"/>
              </w:rPr>
            </w:r>
          </w:p>
        </w:tc>
        <w:tc>
          <w:tcPr>
            <w:tcW w:w="302" w:type="dxa"/>
            <w:gridSpan w:val="2"/>
            <w:tcBorders/>
            <w:vAlign w:val="center"/>
          </w:tcPr>
          <w:p>
            <w:pPr>
              <w:pStyle w:val="TableContents"/>
              <w:bidi w:val="0"/>
              <w:spacing w:before="0" w:after="283"/>
              <w:jc w:val="left"/>
              <w:rPr>
                <w:sz w:val="4"/>
                <w:szCs w:val="4"/>
              </w:rPr>
            </w:pPr>
            <w:r>
              <w:rPr>
                <w:sz w:val="4"/>
                <w:szCs w:val="4"/>
              </w:rPr>
            </w:r>
          </w:p>
        </w:tc>
      </w:tr>
      <w:tr>
        <w:trPr/>
        <w:tc>
          <w:tcPr>
            <w:tcW w:w="212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497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15" w:type="dxa"/>
            <w:tcBorders/>
            <w:vAlign w:val="bottom"/>
          </w:tcPr>
          <w:p>
            <w:pPr>
              <w:pStyle w:val="TableContents"/>
              <w:bidi w:val="0"/>
              <w:spacing w:before="0" w:after="283"/>
              <w:jc w:val="left"/>
              <w:rPr/>
            </w:pPr>
            <w:r>
              <w:rPr/>
              <w:t>Emerging growth company</w:t>
            </w:r>
          </w:p>
        </w:tc>
        <w:tc>
          <w:tcPr>
            <w:tcW w:w="6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8"/>
        </w:rPr>
      </w:pPr>
      <w:r>
        <w:rPr>
          <w:rFonts w:ascii="Times New Roman" w:hAnsi="Times New Roman"/>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0"/>
        <w:jc w:val="left"/>
        <w:rPr>
          <w:rFonts w:ascii="Times New Roman" w:hAnsi="Times New Roman"/>
          <w:sz w:val="18"/>
        </w:rPr>
      </w:pPr>
      <w:r>
        <w:rPr>
          <w:rFonts w:ascii="Times New Roman" w:hAnsi="Times New Roman"/>
          <w:sz w:val="18"/>
        </w:rPr>
        <w:t xml:space="preserve">If applicable, place an X in the box to designate the appropriate rule provision relied upon in conducting this transaction: </w:t>
      </w:r>
    </w:p>
    <w:p>
      <w:pPr>
        <w:pStyle w:val="TextBody"/>
        <w:bidi w:val="0"/>
        <w:spacing w:before="60" w:after="0"/>
        <w:jc w:val="left"/>
        <w:rPr>
          <w:rFonts w:ascii="Times New Roman" w:hAnsi="Times New Roman"/>
          <w:sz w:val="17"/>
        </w:rPr>
      </w:pPr>
      <w:r>
        <w:rPr>
          <w:rFonts w:ascii="Times New Roman" w:hAnsi="Times New Roman"/>
          <w:sz w:val="17"/>
        </w:rPr>
        <w:t xml:space="preserve">Exchange Act Rule 13e-4(i) (Cross-Border Issuer Tender Offer) ☐ </w:t>
      </w:r>
    </w:p>
    <w:p>
      <w:pPr>
        <w:pStyle w:val="TextBody"/>
        <w:bidi w:val="0"/>
        <w:spacing w:before="60" w:after="0"/>
        <w:jc w:val="left"/>
        <w:rPr>
          <w:rFonts w:ascii="Times New Roman" w:hAnsi="Times New Roman"/>
          <w:sz w:val="17"/>
        </w:rPr>
      </w:pPr>
      <w:r>
        <w:rPr>
          <w:rFonts w:ascii="Times New Roman" w:hAnsi="Times New Roman"/>
          <w:sz w:val="17"/>
        </w:rPr>
        <w:t xml:space="preserve">Exchange Act Rule 14d-1(d) (Cross-Border Third-Party Tender Offer) ☐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We may not complete the exchange offer and issue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NOVEMBER 7, 2025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4338955" cy="5575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38955" cy="557530"/>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44"/>
        </w:rPr>
      </w:pPr>
      <w:r>
        <w:rPr>
          <w:rFonts w:ascii="Times New Roman" w:hAnsi="Times New Roman"/>
          <w:b/>
          <w:sz w:val="44"/>
        </w:rPr>
        <w:t xml:space="preserve">USCB FINANCIAL HOLDINGS, INC.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Offer to Exchange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Up to $40,000,000 aggregate principal amount of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7.625% Fixed-to-Floating Rate Subordinated Notes due 2035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that have been registered under the Securities Act of 1933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for any and all outstanding unregistered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7.625% Fixed-to-Floating Rate Subordinated Notes due 2035 </w:t>
      </w:r>
    </w:p>
    <w:p>
      <w:pPr>
        <w:pStyle w:val="TextBody"/>
        <w:bidi w:val="0"/>
        <w:spacing w:before="120" w:after="0"/>
        <w:ind w:left="960" w:right="960" w:hanging="0"/>
        <w:jc w:val="left"/>
        <w:rPr>
          <w:rFonts w:ascii="Times New Roman" w:hAnsi="Times New Roman"/>
          <w:b/>
          <w:i/>
          <w:sz w:val="20"/>
        </w:rPr>
      </w:pPr>
      <w:r>
        <w:rPr>
          <w:rFonts w:ascii="Times New Roman" w:hAnsi="Times New Roman"/>
          <w:b/>
          <w:i/>
          <w:sz w:val="20"/>
        </w:rPr>
        <w:t xml:space="preserve">The exchange offer will expire at 11:59 p.m., New York City time, on     , 202 , unless extended.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We are offering to exchange 7.625% Fixed-to-Floating Rate Subordinated Notes due 2035 that have been registered under the Securities Act of 1933, as amended (“Securities Act”), which we refer to in this prospectus as the “New Notes,” for any and all of our outstanding unregistered 7.625% Fixed-to-Floating Rate Subordinated Notes due 2035 that we issued in a private placement on August 14, 2025, which we refer to in this prospectus as the “Old Notes.” We are making this offer to exchange the New Notes for the Old Notes to satisfy our obligations under a registration rights agreement that we entered into with the purchasers of the Old Notes in connection with our issuance of the Old Notes to those purchasers.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We will not receive any cash proceeds from this exchange offer. The issuance of the New Notes in exchange for the Old Notes will not result in any increase in our outstanding indebtedness. Old Notes that are not exchanged for New Notes in this exchange offer will remain outstanding. The exchange offer is not subject to any minimum tender condition, but is subject to certain customary conditions.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Upon expiration of the exchange offer, all Old Notes that have been validly tendered and not withdrawn will be exchanged for an equal principal amount of New Notes. 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 that we entered into with the initial purchasers of the Old Notes and do not have the right to additional interest under the circumstances described in that registration rights agreement relating to our fulfillment of our registration obligations. The New Notes evidence the same debt as the Old Notes and are governed by the same indenture under which the Old Notes were issued.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There is no existing public market for the Old Notes or the New Notes and we do not expect any public market to develop in the future for either the Old Notes or the New Notes. The Old Notes are not listed on any national securities exchange or quotation system and we do not intend to list the New Notes on any national securities exchange or quotation system.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You may withdraw your tender of Old Notes at any time prior to the expiration of the exchange offer. We will exchange all of the outstanding Old Notes that are validly tendered and not validly withdrawn prior to the expiration of the exchange offer for an equal principal amount of New Notes.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Each broker-dealer that receives New Notes for its own account pursuant to the exchange offer must acknowledge that it will deliver a prospectus meeting the requirements of the Securities Act in connection with any resale of such New Notes. A broker-dealer that acquired Old Notes because of market-making or other trading activities may use this prospectus, as supplemented or amended from time to time, in connection with resales of the New Notes for a period of 180 days after the completion of the exchange offer. See “Plan of Distribution.”</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2"/>
        </w:rPr>
        <w:t>Investing in our securities involves certain risks. See “</w:t>
      </w:r>
      <w:hyperlink w:anchor="toc32912_6">
        <w:r>
          <w:rPr>
            <w:rStyle w:val="InternetLink"/>
            <w:rFonts w:ascii="Times New Roman" w:hAnsi="Times New Roman"/>
            <w:b/>
            <w:sz w:val="22"/>
          </w:rPr>
          <w:t>Risk Factors</w:t>
        </w:r>
      </w:hyperlink>
      <w:r>
        <w:rPr>
          <w:rFonts w:ascii="Times New Roman" w:hAnsi="Times New Roman"/>
          <w:b/>
          <w:sz w:val="22"/>
        </w:rPr>
        <w:t xml:space="preserve">” beginning on page 9, as well as the risk factors contained in our Annual Report on Form 10-K for the fiscal year ended December 31, 2024, and our Quarterly Reports on Form 10-Q for the fiscal quarters ended March 31, 2025, June 30, 2025 and September 30, 2025, and in the other reports filed by us with the Securities and Exchange Commission and incorporated by reference into this prospectus.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is truthful or complete. Any representation to the contrary is a criminal offense. These securities are not savings or deposit accounts or other obligations of any bank and are not insured or guaranteed by the Federal Deposit Insurance Corporation or any other governmental agency. </w:t>
      </w:r>
    </w:p>
    <w:p>
      <w:pPr>
        <w:pStyle w:val="TextBody"/>
        <w:bidi w:val="0"/>
        <w:spacing w:before="120" w:after="0"/>
        <w:ind w:left="960" w:right="960" w:hanging="0"/>
        <w:jc w:val="center"/>
        <w:rPr>
          <w:rFonts w:ascii="Times New Roman" w:hAnsi="Times New Roman"/>
          <w:b/>
          <w:sz w:val="18"/>
        </w:rPr>
      </w:pPr>
      <w:r>
        <w:rPr>
          <w:rFonts w:ascii="Times New Roman" w:hAnsi="Times New Roman"/>
          <w:b/>
          <w:sz w:val="18"/>
        </w:rPr>
        <w:t xml:space="preserve">The date of this prospectus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56"/>
        <w:gridCol w:w="153"/>
        <w:gridCol w:w="60"/>
        <w:gridCol w:w="373"/>
        <w:gridCol w:w="63"/>
      </w:tblGrid>
      <w:tr>
        <w:trPr/>
        <w:tc>
          <w:tcPr>
            <w:tcW w:w="9556"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56" w:type="dxa"/>
            <w:tcBorders/>
            <w:vAlign w:val="bottom"/>
          </w:tcPr>
          <w:p>
            <w:pPr>
              <w:pStyle w:val="TableContents"/>
              <w:bidi w:val="0"/>
              <w:spacing w:before="0" w:after="0"/>
              <w:jc w:val="left"/>
              <w:rPr/>
            </w:pPr>
            <w:hyperlink w:anchor="toc32912_1">
              <w:r>
                <w:rPr>
                  <w:rStyle w:val="InternetLink"/>
                  <w:rFonts w:ascii="Times New Roman" w:hAnsi="Times New Roman"/>
                  <w:sz w:val="20"/>
                </w:rPr>
                <w:t>ABOUT THIS PROSPECTUS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2">
              <w:r>
                <w:rPr>
                  <w:rStyle w:val="InternetLink"/>
                  <w:rFonts w:ascii="Times New Roman" w:hAnsi="Times New Roman"/>
                  <w:sz w:val="20"/>
                </w:rPr>
                <w:t>WHERE YOU CAN FIND MORE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3">
              <w:r>
                <w:rPr>
                  <w:rStyle w:val="InternetLink"/>
                  <w:rFonts w:ascii="Times New Roman" w:hAnsi="Times New Roman"/>
                  <w:sz w:val="20"/>
                </w:rPr>
                <w:t>INFORMATION INCORPORATED BY REFERENCE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4">
              <w:r>
                <w:rPr>
                  <w:rStyle w:val="InternetLink"/>
                  <w:rFonts w:ascii="Times New Roman" w:hAnsi="Times New Roman"/>
                  <w:sz w:val="20"/>
                </w:rPr>
                <w:t>SPECIAL NOTE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5">
              <w:r>
                <w:rPr>
                  <w:rStyle w:val="InternetLink"/>
                  <w:rFonts w:ascii="Times New Roman" w:hAnsi="Times New Roman"/>
                  <w:sz w:val="20"/>
                </w:rPr>
                <w:t>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6">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7">
              <w:r>
                <w:rPr>
                  <w:rStyle w:val="InternetLink"/>
                  <w:rFonts w:ascii="Times New Roman" w:hAnsi="Times New Roman"/>
                  <w:sz w:val="20"/>
                </w:rPr>
                <w:t>USE OF PROCEEDS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8">
              <w:r>
                <w:rPr>
                  <w:rStyle w:val="InternetLink"/>
                  <w:rFonts w:ascii="Times New Roman" w:hAnsi="Times New Roman"/>
                  <w:sz w:val="20"/>
                </w:rPr>
                <w:t>THE EXCHANGE OFFER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9">
              <w:r>
                <w:rPr>
                  <w:rStyle w:val="InternetLink"/>
                  <w:rFonts w:ascii="Times New Roman" w:hAnsi="Times New Roman"/>
                  <w:sz w:val="20"/>
                </w:rPr>
                <w:t>DESCRIPTION OF THE NOTES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10">
              <w:r>
                <w:rPr>
                  <w:rStyle w:val="InternetLink"/>
                  <w:rFonts w:ascii="Times New Roman" w:hAnsi="Times New Roman"/>
                  <w:sz w:val="20"/>
                </w:rPr>
                <w:t>MATERIAL UNITED STATES FEDERAL INCOME TAX CONSIDERATIONS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11">
              <w:r>
                <w:rPr>
                  <w:rStyle w:val="InternetLink"/>
                  <w:rFonts w:ascii="Times New Roman" w:hAnsi="Times New Roman"/>
                  <w:sz w:val="20"/>
                </w:rPr>
                <w:t>PLAN OF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12">
              <w:r>
                <w:rPr>
                  <w:rStyle w:val="InternetLink"/>
                  <w:rFonts w:ascii="Times New Roman" w:hAnsi="Times New Roman"/>
                  <w:sz w:val="20"/>
                </w:rPr>
                <w:t>LEGAL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13">
              <w:r>
                <w:rPr>
                  <w:rStyle w:val="InternetLink"/>
                  <w:rFonts w:ascii="Times New Roman" w:hAnsi="Times New Roman"/>
                  <w:sz w:val="20"/>
                </w:rPr>
                <w:t>EXPERTS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14">
              <w:r>
                <w:rPr>
                  <w:rStyle w:val="InternetLink"/>
                  <w:rFonts w:ascii="Times New Roman" w:hAnsi="Times New Roman"/>
                  <w:sz w:val="20"/>
                </w:rPr>
                <w:t>INFORMATION NOT REQUIRED IN PROSPECTUS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II-1</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15">
              <w:r>
                <w:rPr>
                  <w:rStyle w:val="InternetLink"/>
                  <w:rFonts w:ascii="Times New Roman" w:hAnsi="Times New Roman"/>
                  <w:sz w:val="20"/>
                </w:rPr>
                <w:t>SIGNATURES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II-6</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2912_16">
              <w:r>
                <w:rPr>
                  <w:rStyle w:val="InternetLink"/>
                  <w:rFonts w:ascii="Times New Roman" w:hAnsi="Times New Roman"/>
                  <w:sz w:val="20"/>
                </w:rPr>
                <w:t>POWER OF ATTORNEY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II-6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3" w:name="toc32912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 registration statement that we have filed with the Securities and Exchange Commission (the “SEC”) under the Securities Act. This prospectus does not contain all the information set forth in the registration statement, certain parts of which are omitted in accordance with the rules and regulations of the SEC. For further information with respect to us, the exchange offer and the securities offered by this prospectus, reference is made to the registration statement, including the exhibits to the registration statement and the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this prospectus to holders of Old Notes in connection with our offer to exchange Old Notes for New Notes. We are not making this exchange offer in any jurisdiction where the exchange offer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in the accompanying exchange offer transmittal documents filed by us with the SEC. We have not authorized any other person to provide you with any other information. If anyone provides you with different or inconsistent information, you should not rely on it. You should not assume that the information contained or incorporated by reference in this prospectus is accurate as of any date other than the date of the applicable document that contains that information.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consider any information in this prospectus to be investment, legal or tax advice. You should consult your own counsel, accountant and other advisors for legal, tax, business, financial and related advice regarding the exchange offer and ownership of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New Notes for its own account in exchange for Old Notes acquired by the broker-dealer as a result of market-making or other trading activities must acknowledge that it will deliver a prospectus meeting the requirements of the Securities Act in connection with any resale of such New Notes. This prospectus, as it may be amended or supplemented from time to time, may be used by a participating broker-dealer in connection with resales of New Notes received in exchange for Old Notes. We have agreed in the letter of transmittal to make this prospectus, as amended or supplemented, available to any such broker-dealer that requests copies of this prospectus for use in connection with any such resale.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to the “Corporation,” the “Company,” “we,” “us,” “our,” or similar references refer to USCB Financial Holdings, Inc., a Florida corporation and bank holding company incorporated in 2021, and its subsidiaries on a consolidated basis, except where the context otherwise requires or as otherwise indicated. References in this prospectus to the “Bank” refer to U.S. Century Bank, a Florida state-chartered bank and wholly-owned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important business and financial information about us that is not included in or delivered with this prospectus. Such information is available without charge to holders of Old Notes upon written or oral request made to: </w:t>
      </w:r>
    </w:p>
    <w:p>
      <w:pPr>
        <w:pStyle w:val="TextBody"/>
        <w:bidi w:val="0"/>
        <w:spacing w:before="240" w:after="0"/>
        <w:jc w:val="center"/>
        <w:rPr>
          <w:rFonts w:ascii="Times New Roman" w:hAnsi="Times New Roman"/>
          <w:b/>
          <w:sz w:val="20"/>
        </w:rPr>
      </w:pPr>
      <w:r>
        <w:rPr>
          <w:rFonts w:ascii="Times New Roman" w:hAnsi="Times New Roman"/>
          <w:b/>
          <w:sz w:val="20"/>
        </w:rPr>
        <w:t xml:space="preserve">USCB Financial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Robert Anderson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Vice President and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2301 NW 87th Avenue </w:t>
      </w:r>
    </w:p>
    <w:p>
      <w:pPr>
        <w:pStyle w:val="TextBody"/>
        <w:bidi w:val="0"/>
        <w:spacing w:before="0" w:after="0"/>
        <w:jc w:val="center"/>
        <w:rPr>
          <w:rFonts w:ascii="Times New Roman" w:hAnsi="Times New Roman"/>
          <w:b/>
          <w:sz w:val="20"/>
        </w:rPr>
      </w:pPr>
      <w:r>
        <w:rPr>
          <w:rFonts w:ascii="Times New Roman" w:hAnsi="Times New Roman"/>
          <w:b/>
          <w:sz w:val="20"/>
        </w:rPr>
        <w:t xml:space="preserve">Doral, FL 33172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(305) 715-5200 </w:t>
      </w:r>
    </w:p>
    <w:p>
      <w:pPr>
        <w:pStyle w:val="TextBody"/>
        <w:bidi w:val="0"/>
        <w:spacing w:before="0" w:after="0"/>
        <w:jc w:val="center"/>
        <w:rPr>
          <w:rFonts w:ascii="Times New Roman" w:hAnsi="Times New Roman"/>
          <w:b/>
          <w:sz w:val="20"/>
        </w:rPr>
      </w:pPr>
      <w:r>
        <w:rPr>
          <w:rFonts w:ascii="Times New Roman" w:hAnsi="Times New Roman"/>
          <w:b/>
          <w:sz w:val="20"/>
        </w:rPr>
        <w:t xml:space="preserve">E-mail: rob.anderson@uscentury.com </w:t>
      </w:r>
    </w:p>
    <w:p>
      <w:pPr>
        <w:pStyle w:val="TextBody"/>
        <w:bidi w:val="0"/>
        <w:spacing w:before="240" w:after="0"/>
        <w:jc w:val="left"/>
        <w:rPr>
          <w:rFonts w:ascii="Times New Roman" w:hAnsi="Times New Roman"/>
          <w:b/>
          <w:sz w:val="20"/>
        </w:rPr>
      </w:pPr>
      <w:r>
        <w:rPr>
          <w:rFonts w:ascii="Times New Roman" w:hAnsi="Times New Roman"/>
          <w:b/>
          <w:sz w:val="20"/>
        </w:rPr>
        <w:t xml:space="preserve">To ensure timely delivery of any requested information, holders of Old Notes must make any request no later than       , 202 which is five (5) business days before the expiration date of the exchange offer, or, if we decide to extend the expiration date of the exchange offer, no later than five (5) business days before such extended expiration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toc32912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Securities Exchange Act of 1934, as amended (“Exchange Act”) and file with the SEC Proxy Statements, Annual Reports on Form 10-K, Quarterly Reports on Form 10-Q and Current Reports on Form 8-K, as required of a U.S. listed company. Our SEC filings are available to the public from the SEC’s web site at www.sec.gov or on our website at www.uscentury.com. However, other than our available SEC filings, the information on, or that can be accessible through, our website does not constitute a part of, and is not incorporated by reference in, this prospectus. Written requests for copies of the documents we file with the SEC should be directed to USCB Financial Holdings, Inc., 2301 NW 87th Avenue, Doral, Florida 33172, Attention: Executive Vice President and Chief Financial Officer, telephone: (305) 715-5200. </w:t>
      </w:r>
    </w:p>
    <w:p>
      <w:pPr>
        <w:pStyle w:val="TextBody"/>
        <w:bidi w:val="0"/>
        <w:spacing w:before="480" w:after="0"/>
        <w:jc w:val="center"/>
        <w:rPr>
          <w:rFonts w:ascii="Times New Roman" w:hAnsi="Times New Roman"/>
          <w:b/>
          <w:sz w:val="20"/>
        </w:rPr>
      </w:pPr>
      <w:bookmarkStart w:id="5" w:name="toc32912_3"/>
      <w:bookmarkEnd w:id="5"/>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This means that we can disclose important information to you by referring you to another document filed separately with the SEC. The information incorporated by reference is considered to be a part of this prospectus. These documents may include periodic reports, such as our Annual Report on Form 10-K, Quarterly Reports on Form 10-Q and Current Reports on Form 8-K, as well as definitive Proxy Statements. Any documents that we subsequently file with the SEC will automatically update and replace the information previously filed with the SEC. Therefore, in the case of a conflict or inconsistency between information set forth in this prospectus and information incorporated by reference into this prospectus, you should rely on the information contained in the document that was filed later.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listed below that we have previously filed with the SEC, except to the extent that any information in such filings, including subsequent filings, is deemed “furnished” but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March 14, 2025 (including portions of our </w:t>
            </w:r>
            <w:hyperlink r:id="rId4">
              <w:r>
                <w:rPr>
                  <w:rStyle w:val="InternetLink"/>
                  <w:rFonts w:ascii="Times New Roman" w:hAnsi="Times New Roman"/>
                  <w:sz w:val="20"/>
                </w:rPr>
                <w:t>Definitive Proxy Statement</w:t>
              </w:r>
            </w:hyperlink>
            <w:r>
              <w:rPr>
                <w:rFonts w:ascii="Times New Roman" w:hAnsi="Times New Roman"/>
                <w:sz w:val="20"/>
              </w:rPr>
              <w:t xml:space="preserve"> for our 2025 Annual Meeting of Shareholders filed with the SEC on April 22, 2025, to the extent specifically incorporated by reference in such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Quarterly Report on Form 10-Q for the quarter ended March 31, 2025, filed with the SEC on </w:t>
            </w:r>
            <w:hyperlink r:id="rId5">
              <w:r>
                <w:rPr>
                  <w:rStyle w:val="InternetLink"/>
                  <w:rFonts w:ascii="Times New Roman" w:hAnsi="Times New Roman"/>
                  <w:sz w:val="20"/>
                </w:rPr>
                <w:t>May 9, 2025</w:t>
              </w:r>
            </w:hyperlink>
            <w:r>
              <w:rPr>
                <w:rFonts w:ascii="Times New Roman" w:hAnsi="Times New Roman"/>
                <w:sz w:val="20"/>
              </w:rPr>
              <w:t xml:space="preserve">, our Quarterly Report on Form 10-Q for the quarter ended June 30, 2025, filed with the SEC on </w:t>
            </w:r>
            <w:hyperlink r:id="rId6">
              <w:r>
                <w:rPr>
                  <w:rStyle w:val="InternetLink"/>
                  <w:rFonts w:ascii="Times New Roman" w:hAnsi="Times New Roman"/>
                  <w:sz w:val="20"/>
                </w:rPr>
                <w:t>August  8, 2025</w:t>
              </w:r>
            </w:hyperlink>
            <w:r>
              <w:rPr>
                <w:rFonts w:ascii="Times New Roman" w:hAnsi="Times New Roman"/>
                <w:sz w:val="20"/>
              </w:rPr>
              <w:t xml:space="preserve"> and our Quarterly Report on Form 10-Q for the quarter ended September  30, 2025, filed with the SEC on </w:t>
            </w:r>
            <w:hyperlink r:id="rId7">
              <w:r>
                <w:rPr>
                  <w:rStyle w:val="InternetLink"/>
                  <w:rFonts w:ascii="Times New Roman" w:hAnsi="Times New Roman"/>
                  <w:sz w:val="20"/>
                </w:rPr>
                <w:t>November 7,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each of  </w:t>
            </w:r>
            <w:hyperlink r:id="rId8">
              <w:r>
                <w:rPr>
                  <w:rStyle w:val="InternetLink"/>
                  <w:rFonts w:ascii="Times New Roman" w:hAnsi="Times New Roman"/>
                  <w:sz w:val="20"/>
                </w:rPr>
                <w:t>January 6, 2025</w:t>
              </w:r>
            </w:hyperlink>
            <w:r>
              <w:rPr>
                <w:rFonts w:ascii="Times New Roman" w:hAnsi="Times New Roman"/>
                <w:sz w:val="20"/>
              </w:rPr>
              <w:t xml:space="preserve">, </w:t>
            </w:r>
            <w:hyperlink r:id="rId9">
              <w:r>
                <w:rPr>
                  <w:rStyle w:val="InternetLink"/>
                  <w:rFonts w:ascii="Times New Roman" w:hAnsi="Times New Roman"/>
                  <w:sz w:val="20"/>
                </w:rPr>
                <w:t>May 27, 2025</w:t>
              </w:r>
            </w:hyperlink>
            <w:r>
              <w:rPr>
                <w:rFonts w:ascii="Times New Roman" w:hAnsi="Times New Roman"/>
                <w:sz w:val="20"/>
              </w:rPr>
              <w:t xml:space="preserve">, </w:t>
            </w:r>
            <w:hyperlink r:id="rId10">
              <w:r>
                <w:rPr>
                  <w:rStyle w:val="InternetLink"/>
                  <w:rFonts w:ascii="Times New Roman" w:hAnsi="Times New Roman"/>
                  <w:sz w:val="20"/>
                </w:rPr>
                <w:t>August  14, 2025</w:t>
              </w:r>
            </w:hyperlink>
            <w:r>
              <w:rPr>
                <w:rFonts w:ascii="Times New Roman" w:hAnsi="Times New Roman"/>
                <w:sz w:val="20"/>
              </w:rPr>
              <w:t xml:space="preserve"> and </w:t>
            </w:r>
            <w:hyperlink r:id="rId11">
              <w:r>
                <w:rPr>
                  <w:rStyle w:val="InternetLink"/>
                  <w:rFonts w:ascii="Times New Roman" w:hAnsi="Times New Roman"/>
                  <w:sz w:val="20"/>
                </w:rPr>
                <w:t>September 5, 2025</w:t>
              </w:r>
            </w:hyperlink>
            <w:r>
              <w:rPr>
                <w:rFonts w:ascii="Times New Roman" w:hAnsi="Times New Roman"/>
                <w:sz w:val="20"/>
              </w:rPr>
              <w:t xml:space="preserve"> (except to the extent any such Current Reports on Form 8-K contain any information furnished but not filed).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incorporating by reference all other documents that we subsequently file with the SEC pursuant to Section 13(a), 13(c), 14 or 15(d) of the Exchange Act, after the date of the initial registration statement of which this prospectus is a part but prior to the effectiveness of the registration statement and between the date of this prospectus and the later of (i) the termination or completion of the exchange offer and (ii) the termination of the period of time described under “Plan of Distribution” during which we have agreed to make available this prospectus to broker-dealers in connection with certain resales of the New Notes.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 copy of any or all of the documents incorporated by reference in this prospectus (other than an exhibit to a document unless that exhibit is specifically incorporated by reference into that document) from the SEC through the SEC’s Internet site at www.sec.gov. You also may obtain these documents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charge by visiting our website at www.uscentury.com or by requesting them in writing, by e-mail or by telephone from us at the following 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USCB Financial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Robert Anderson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Vice President and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2301 NW 87th Avenue </w:t>
      </w:r>
    </w:p>
    <w:p>
      <w:pPr>
        <w:pStyle w:val="TextBody"/>
        <w:bidi w:val="0"/>
        <w:spacing w:before="0" w:after="0"/>
        <w:jc w:val="center"/>
        <w:rPr>
          <w:rFonts w:ascii="Times New Roman" w:hAnsi="Times New Roman"/>
          <w:b/>
          <w:sz w:val="20"/>
        </w:rPr>
      </w:pPr>
      <w:r>
        <w:rPr>
          <w:rFonts w:ascii="Times New Roman" w:hAnsi="Times New Roman"/>
          <w:b/>
          <w:sz w:val="20"/>
        </w:rPr>
        <w:t xml:space="preserve">Doral, Florida 33172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(305) 715-5200 </w:t>
      </w:r>
    </w:p>
    <w:p>
      <w:pPr>
        <w:pStyle w:val="TextBody"/>
        <w:bidi w:val="0"/>
        <w:spacing w:before="0" w:after="0"/>
        <w:jc w:val="center"/>
        <w:rPr>
          <w:rFonts w:ascii="Times New Roman" w:hAnsi="Times New Roman"/>
          <w:b/>
          <w:sz w:val="20"/>
        </w:rPr>
      </w:pPr>
      <w:r>
        <w:rPr>
          <w:rFonts w:ascii="Times New Roman" w:hAnsi="Times New Roman"/>
          <w:b/>
          <w:sz w:val="20"/>
        </w:rPr>
        <w:t xml:space="preserve">E-mail: rob.anderson@uscentury.com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oc32912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related prospectus supplement and the documents we incorporate by reference or that are deemed incorporated by reference into this prospectus and any related prospectus supplement, and any other written or oral statements made by us from time to time may contain “forward-looking statements” within the meaning of the safe harbor provisions of the U.S. Private Securities Litigation Reform Act of 1995. Forward-looking statements include, without limitation, statements concerning plans, estimates, calculations, forecasts and projections with respect to the anticipated future performance of the Company. These statements are often, but not always, identified by words such as “may”, “might”, “should”, “could”, “predict”, “potential”, “believe”, “expect”, “continue”, “will”, “anticipate”, “seek”, “estimate”, “intend”, “plan”, “projection”, “would”, “annualized”, “target” and “outlook”, or the negative version of those words or other comparable words of a future or forward-looking nature. Forward-looking statements are neither historical facts nor assurances of future performance. Instead, they are based only on our current beliefs, expectations and assumptions regarding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the United States economy in general and the strength of the local economies in which we conduct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manage interest rate risk, credit risk, liquidity risk, and other risks inherent to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financial statement estimates and assumptions, including the estimates used for our credit loss reserve and deferred tax asset valuation allowance;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efficiency and effectiveness of our internal control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the extensive laws and regulations to which we are subject, including the laws for each jurisdiction where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or conditions in the capital and financial markets, including actual or potential stresses in the banking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attrition and the level of our uninsured deposits;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or regulatory changes and changes in accounting principles, policies, practices or guidelines, including the on-going effects of the Current Expected Credit Losses standard;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 significantly diversified loan portfolio and concentration in the South Florida market, including the risks of geographic, depositor, and industry concentrations, including our concentration in loans secured by real estate, in particular, commercial real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concentration of ownership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fund or access the capital markets at attractive rates and terms and manage our growth, both organic growth as well as growth through other means, such as future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interest rate, unemployment rate, market and monetary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international hostilities and geopolitical events;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competition and its effect on the pricing of our products and services as well as our net interest rate spread and net interest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risk management strategies, including operational risks, including, but not limited to, client, employee, or third-party fraud and cybersecurity breaches;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 factors described in the Company’s Annual Report on Form 10-K for the year ended December 31, 2024 and other filings we make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factors should not be construed as exhaustive and should be read together with the other cautionary statements included in this prospectus and any related prospectus supplement. In addition, past results of operations are not necessarily indicative of future results. Any forward-looking statement made by the Company in this prospectus is based only on information currently available to the Company and speaks only as of the date on which it is made, and the Company does not undertake any obligation to publicly update or review any forward-looking statements, whether written or oral, that may be made from time to time, whether as a result of new information, future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7" w:name="toc32912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and in the documents we incorporate by reference into this prospectus. This summary does not contain all of the information that you should consider before deciding to exchange your Old Notes for New Notes. You should read this prospectus carefully, including the “Risk Factors” sections contained in this prospectus, our Annual Report on Form 10-K for the fiscal year ended December 31, 2024, and our Quarterly Report on Form 10-Q for the quarter ended March 31, 2025, our Quarterly Report on Form 10-Q for the quarter ended June 30, 2025 and our Quarterly Report on Form 10-Q for the quarter ended September 30, 2025, each of which is incorporated by reference herein, as updated by our subsequently filed Quarterly Reports on Form 10-Q and Current Reports on Form 8-K, our financial statements and the related notes and the other documents incorporated by reference herein, which are described under the heading “Information Incorporated by Reference” in this prospectus before making a decision about whether to exchange your Old Notes for New Notes.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USCB Financial Holdings,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was formed on December 17, 2021, to serve as the holding company for the Bank, and is a bank holding company registered with the Board of Governors of the Federal Reserve System (the “Federal Reserve”) under the Bank Holding Company Act of 1956, as amended. The Company is headquartered in Doral, Florida, a municipality that is part of the Miami metropolitan area of South Florida, and, through the Bank, its sole direct subsidiary, operates ten (10) banking centers in South Florida providing a wide range of personal and business banking products and services. As of December 31, 2024, the Company had total consolidated assets of $2.6 billion.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Bank commenced operations in October 2002 and is a Florida state-chartered, non-Federal Reserve System member bank. Over the course of 2021, the Bank simplified its capitalization structure by exchanging and/or repurchasing all of its issued and outstanding preferred shares, including Class C, Class D, and Class E preferred stock. In December 2021, the Bank reached agreements with holders of its Class B common stock, to exchange all outstanding Class B common stock for Class A common stock in a 1-for-5 stock exchange. On July 27, 2021, the Bank completed an initial public offering of 4,600,000 shares of its Class A common stock. Shares of the Bank’s Class A common stock were sold at a price to the public of $10.00 per share and began trading on the Nasdaq Stock Market under ticker symbol “USCB.”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30, 2021 (the “Effective Date”), the Company acquired all of the issued and outstanding stock of the Bank in a share exchange (the “Reorganization”) effected under the Florida Business Corporation Act and in accordance with the terms of an Agreement and Plan of Share Exchange dated December 27, 2021 between the Bank and the Company (the “Share Exchange Agreement”). The Reorganization and the Share Exchange Agreement were approved by the Bank’s stockholders at a special meeting of the Bank’s stockholders held on December 20, 2021. Pursuant to the Share Exchange Agreement, on the Effective Date each issued and outstanding share of the Bank’s Class A common stock was converted into and exchanged for one share of the Company’s Class A Common Stock. As a result, the Bank became the wholly owned subsidiary of the Company, the Company became the holding company for the Bank and the stockholders of the Bank became stockholders of 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Effective Date, the Bank’s Class A common stock was registered under Section 12(b) of the Exchange Act, and the Bank was subject to the information requirements of the Exchange Act and, in accordance with Section 12(i) thereof, filed quarterly reports, proxy statements and other information with the FDIC. As a result of the Reorganization, pursuant to Rule 12g-3(a) under the Exchange Act, the Company became the successor registrant to the Bank, the Company’s Class A Common Stock was deemed to be registered under Section 12(b) of the Exchange Act, and the Company became subject to the information requirements of the Exchange Act and is now required to file reports, proxy statements and other information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Reorganization, the Company had no material assets and had not conducted any business or operations except for activities related to its incorporation and the Reorganization.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Exchange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provides a summary of certain terms of the exchange offer. Please refer to the section “The Exchange Offer” appearing elsewhere in this prospectus for a more complete description of the exchange offer and the section “Description of the Notes” for a more complete description of the terms of the Old Notes and New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Old Notes </w:t>
            </w:r>
          </w:p>
        </w:tc>
        <w:tc>
          <w:tcPr>
            <w:tcW w:w="6327" w:type="dxa"/>
            <w:tcBorders/>
          </w:tcPr>
          <w:p>
            <w:pPr>
              <w:pStyle w:val="TableContents"/>
              <w:bidi w:val="0"/>
              <w:spacing w:before="0" w:after="283"/>
              <w:jc w:val="left"/>
              <w:rPr/>
            </w:pPr>
            <w:r>
              <w:rPr/>
              <w:t xml:space="preserve">$40,000,000 in aggregate principal amount of 7.625% Fixed-to-Floating Rate Subordinated Notes due 2035.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New Notes </w:t>
            </w:r>
          </w:p>
        </w:tc>
        <w:tc>
          <w:tcPr>
            <w:tcW w:w="6329" w:type="dxa"/>
            <w:tcBorders/>
          </w:tcPr>
          <w:p>
            <w:pPr>
              <w:pStyle w:val="TableContents"/>
              <w:bidi w:val="0"/>
              <w:spacing w:before="0" w:after="283"/>
              <w:jc w:val="left"/>
              <w:rPr/>
            </w:pPr>
            <w:r>
              <w:rPr/>
              <w:t xml:space="preserve">Up to $40,000,000 in aggregate principal amount of 7.625% Fixed-to-Floating Rate Subordinated Notes due 2035, which have terms that are identical in all material respects to the terms of the Old Notes, except that the New Notes are registered under the Securities Act and are generally not subject to transfer restrictions, are not entitled to registration rights under the registration rights agreement and do not have the right to additional interest under the circumstances described in the registration rights agreement relating to our fulfillment of our registration obligations.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Exchange Offer </w:t>
            </w:r>
          </w:p>
        </w:tc>
        <w:tc>
          <w:tcPr>
            <w:tcW w:w="6328" w:type="dxa"/>
            <w:tcBorders/>
          </w:tcPr>
          <w:p>
            <w:pPr>
              <w:pStyle w:val="TableContents"/>
              <w:bidi w:val="0"/>
              <w:spacing w:before="0" w:after="283"/>
              <w:jc w:val="left"/>
              <w:rPr/>
            </w:pPr>
            <w:r>
              <w:rPr/>
              <w:t xml:space="preserve">We are offering to exchange the New Notes for a like principal amount of Old Notes. Subject to the terms of the exchange offer, promptly following the termination of the exchange offer, we will exchange New Notes for all Old Notes that have been validly tendered and not validly withdrawn prior to the expiration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Expiration Date </w:t>
            </w:r>
          </w:p>
        </w:tc>
        <w:tc>
          <w:tcPr>
            <w:tcW w:w="6326" w:type="dxa"/>
            <w:tcBorders/>
          </w:tcPr>
          <w:p>
            <w:pPr>
              <w:pStyle w:val="TableContents"/>
              <w:bidi w:val="0"/>
              <w:spacing w:before="0" w:after="283"/>
              <w:jc w:val="left"/>
              <w:rPr/>
            </w:pPr>
            <w:r>
              <w:rPr/>
              <w:t xml:space="preserve">The exchange offer will expire at 11:59 p.m., New York City time, on    , 202 , unless extended.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Withdrawal Rights </w:t>
            </w:r>
          </w:p>
        </w:tc>
        <w:tc>
          <w:tcPr>
            <w:tcW w:w="6327" w:type="dxa"/>
            <w:tcBorders/>
          </w:tcPr>
          <w:p>
            <w:pPr>
              <w:pStyle w:val="TableContents"/>
              <w:bidi w:val="0"/>
              <w:spacing w:before="0" w:after="283"/>
              <w:jc w:val="left"/>
              <w:rPr/>
            </w:pPr>
            <w:r>
              <w:rPr/>
              <w:t xml:space="preserve">You may withdraw the tender of your Old Notes at any time before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Conditions to Exchange Offer </w:t>
            </w:r>
          </w:p>
        </w:tc>
        <w:tc>
          <w:tcPr>
            <w:tcW w:w="6329" w:type="dxa"/>
            <w:tcBorders/>
          </w:tcPr>
          <w:p>
            <w:pPr>
              <w:pStyle w:val="TableContents"/>
              <w:bidi w:val="0"/>
              <w:spacing w:before="0" w:after="283"/>
              <w:jc w:val="left"/>
              <w:rPr/>
            </w:pPr>
            <w:r>
              <w:rPr/>
              <w:t xml:space="preserve">This exchange offer is subject to customary conditions, which we may waive. See “The Exchange Offer—Conditions.”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Procedures for Tendering Old Notes </w:t>
            </w:r>
          </w:p>
        </w:tc>
        <w:tc>
          <w:tcPr>
            <w:tcW w:w="6328" w:type="dxa"/>
            <w:tcBorders/>
          </w:tcPr>
          <w:p>
            <w:pPr>
              <w:pStyle w:val="TableContents"/>
              <w:bidi w:val="0"/>
              <w:spacing w:before="0" w:after="283"/>
              <w:jc w:val="left"/>
              <w:rPr/>
            </w:pPr>
            <w:r>
              <w:rPr/>
              <w:t xml:space="preserve">For Old Notes that are represented by global book-entry notes, The Depository Trust Company (“DTC”), as depositary, or its nominee is treated as the registered holder of such Old Notes and will be the only entity that can tender such Old Notes for New Notes. In order to participate in the exchange offer, you must follow the procedures established by DTC for tendering such Old Notes held in book-entry form. These procedures, which we call “ATOP” (“Automated Tender Offer Program”) procedures, require that (i) the exchange agent receive, prior to the expiration date of the exchange offer, a computer generated message known as an “agent’s message” that is transmitted through ATOP, and (ii) DTC has received (a) your instructions to exchange your Old Notes, and (b) your agreement to be bound by the terms of the accompanying letter of transmittal.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For Old Notes that are represented by a physical note that is registered in the initial purchaser’s name, each beneficial holder of such Old Note must transmit a properly completed and duly executed letter of transmittal, the physical note, and all other documents required by the letter of transmittal to the exchange agent, at its address listed under “The Exchange Offer—Exchange Agent.”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Please note that by signing, or agreeing to be bound by, the letter of transmittal, you will be making a number of important representations to us. See “The Exchange Offer—Eligibility; Transferability.”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Material United States Federal Income Tax Considerations </w:t>
            </w:r>
          </w:p>
        </w:tc>
        <w:tc>
          <w:tcPr>
            <w:tcW w:w="6328" w:type="dxa"/>
            <w:tcBorders/>
          </w:tcPr>
          <w:p>
            <w:pPr>
              <w:pStyle w:val="TableContents"/>
              <w:bidi w:val="0"/>
              <w:spacing w:before="0" w:after="283"/>
              <w:jc w:val="left"/>
              <w:rPr/>
            </w:pPr>
            <w:r>
              <w:rPr/>
              <w:t xml:space="preserve">The exchange of Old Notes for New Notes in the exchange offer generally should not constitute a taxable event for U.S. federal income tax purposes. See “Material United States Federal Income Tax Considerations.” You should consult your own tax advisor as to the tax consequences or implications of exchanging your Old Notes for New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Registration Rights </w:t>
            </w:r>
          </w:p>
        </w:tc>
        <w:tc>
          <w:tcPr>
            <w:tcW w:w="6328" w:type="dxa"/>
            <w:tcBorders/>
          </w:tcPr>
          <w:p>
            <w:pPr>
              <w:pStyle w:val="TableContents"/>
              <w:bidi w:val="0"/>
              <w:spacing w:before="0" w:after="283"/>
              <w:jc w:val="left"/>
              <w:rPr/>
            </w:pPr>
            <w:r>
              <w:rPr/>
              <w:t xml:space="preserve">Under the terms of the registration rights agreement that we entered into with the initial purchasers of the Old Notes at the time we issued the Old Notes, we agreed to register the New Notes and undertake this exchange offer. This exchange offer is intended to satisfy the rights of holders of Old Notes under that registration rights agreement. After the exchange offer is completed, we will have no further obligations, except under certain limited circumstances, to provide for any exchange or undertake any further registration with respect to the Old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Transferability </w:t>
            </w:r>
          </w:p>
        </w:tc>
        <w:tc>
          <w:tcPr>
            <w:tcW w:w="6327" w:type="dxa"/>
            <w:tcBorders/>
          </w:tcPr>
          <w:p>
            <w:pPr>
              <w:pStyle w:val="TableContents"/>
              <w:bidi w:val="0"/>
              <w:spacing w:before="0" w:after="283"/>
              <w:jc w:val="left"/>
              <w:rPr/>
            </w:pPr>
            <w:r>
              <w:rPr/>
              <w:t xml:space="preserve">Based upon existing interpretations of the Securities Act by the staff of the SEC contained in several no-action letters issued to third parties, we believe that the New Notes may be offered for resale, resold or otherwise transferred by you without compliance with the registration and prospectus delivery requirements of the Securities Act, provided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or the person receiving the New Notes is, acquiring the New Notes in the ordinary course of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nor is any such person, our affiliate as such term is defined under Rule 405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nor does any such person, have an arrangement or understanding with any person to participate in any distribution (within the meaning of the Securities Act) of the New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nor is any such person, a broker-dealer registered under the Exchange Act, and you are not engaged in and do not intend to engage in, nor is any such person engaged in or intending to engage in, any distribution (within the meaning of the Securities Act) of the New Notes;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acting on behalf of any person who could not truthfully make the aforementioned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Our belief that transfers of New Notes would be permitted without registration or prospectus delivery under the conditions described above is based on interpretations by the staff of the SEC given to other, unrelated issuers in similar exchange offers. The staff of the SEC has not considered this exchange offer in the context of a no-action letter, and we cannot assure you that the staff of the SEC would make a similar interpretation with respect to our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our belief is not accurate and you transfer a New Note without delivering a prospectus meeting the requirements of the Securities Act or without an exemption from such requirements, you may incur liability under the Securities Act. We do not and will not assume, or indemnify you against, such liability.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Each broker-dealer that receives New Notes for its own account under the exchange offer in exchange for Old Notes that were acquired by the broker-dealer as a result of market-making or other trading activity must acknowledge that it will deliver a prospectus meeting the requirements of the Securities Act in connection with any resale of the New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See “The Exchange Offer—Eligibility; Transferability” and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Consequences of Failing to Exchange Old Notes </w:t>
            </w:r>
          </w:p>
        </w:tc>
        <w:tc>
          <w:tcPr>
            <w:tcW w:w="6328" w:type="dxa"/>
            <w:tcBorders/>
          </w:tcPr>
          <w:p>
            <w:pPr>
              <w:pStyle w:val="TableContents"/>
              <w:bidi w:val="0"/>
              <w:spacing w:before="0" w:after="283"/>
              <w:jc w:val="left"/>
              <w:rPr/>
            </w:pPr>
            <w:r>
              <w:rPr/>
              <w:t xml:space="preserve">Any Old Notes that are not exchanged in the exchange offer will continue to be governed by the indenture relating to the Old Notes and the terms of the Old Notes. Old Notes that are not exchanged will remain subject to the restrictions on transfer described in the Old Notes, and you will not be able to offer or sell the Old Notes except under an exemption from the requirements of the Securities Act or unless the Old Notes are registered under the Securities Act. Upon the completion of the exchange offer, we will have no further obligations, except under limited circumstances, to provide for registration of the Old Notes under the U.S. federal securities laws. If you do not participate in the exchange offer, the liquidity of your Old Notes could be adversely affected. See “The Exchange Offer—Consequences of Failure to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6" w:type="dxa"/>
            <w:tcBorders/>
          </w:tcPr>
          <w:p>
            <w:pPr>
              <w:pStyle w:val="TableContents"/>
              <w:bidi w:val="0"/>
              <w:spacing w:before="0" w:after="283"/>
              <w:jc w:val="left"/>
              <w:rPr/>
            </w:pPr>
            <w:r>
              <w:rPr/>
              <w:t xml:space="preserve">We will not receive any cash proceeds from the exchange of Old Notes for New Notes as a result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Cancellation of Exchanged Old Notes </w:t>
            </w:r>
          </w:p>
        </w:tc>
        <w:tc>
          <w:tcPr>
            <w:tcW w:w="6329" w:type="dxa"/>
            <w:tcBorders/>
          </w:tcPr>
          <w:p>
            <w:pPr>
              <w:pStyle w:val="TableContents"/>
              <w:bidi w:val="0"/>
              <w:spacing w:before="0" w:after="283"/>
              <w:jc w:val="left"/>
              <w:rPr/>
            </w:pPr>
            <w:r>
              <w:rPr/>
              <w:t xml:space="preserve">Old Notes that are surrendered in exchange for New Notes will be retired and cancelled by us upon receipt and will not be reissued. Accordingly, the issuance of the New Notes under this exchange offer will not result in any increase in our outstanding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Exchange Agent </w:t>
            </w:r>
          </w:p>
        </w:tc>
        <w:tc>
          <w:tcPr>
            <w:tcW w:w="6328" w:type="dxa"/>
            <w:tcBorders/>
          </w:tcPr>
          <w:p>
            <w:pPr>
              <w:pStyle w:val="TableContents"/>
              <w:bidi w:val="0"/>
              <w:spacing w:before="0" w:after="283"/>
              <w:jc w:val="left"/>
              <w:rPr/>
            </w:pPr>
            <w:r>
              <w:rPr/>
              <w:t xml:space="preserve">Wilmington Trust, National Association, a national banking association, is serving as the exchange agent for this exchange offer. See “The Exchange Offer—Exchange Agent” for the address and telephone number of the exchange agent.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New Notes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provides a summary of certain terms of the New Notes. The New Notes have terms that are identical in all material respects to the terms of the Old Notes, except that the New Notes are registered under the Securities Act and are generally not subject to transfer restrictions, are not entitled to registration rights under the registration rights agreement and do not have the right to additional interest under the circumstances described in the registration rights agreement relating to our fulfillment of our registration obligations. The New Notes will evidence the same debt as the Old Notes and will be governed by the same indenture under which the Old Notes were issued. Please refer to the section “Description of the Notes” for a more complete description of the terms of the New Notes. References in this prospectus to the “notes” include both the Old Notes and the New Notes unless otherwise specified or the context otherwise requires.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USCB Financial Holdings,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30" w:type="dxa"/>
            <w:tcBorders/>
          </w:tcPr>
          <w:p>
            <w:pPr>
              <w:pStyle w:val="TableContents"/>
              <w:bidi w:val="0"/>
              <w:spacing w:before="0" w:after="283"/>
              <w:jc w:val="left"/>
              <w:rPr/>
            </w:pPr>
            <w:r>
              <w:rPr/>
              <w:t xml:space="preserve">7.625% Fixed-to-Floating Rate Subordinated Notes due 2035.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Aggregate Principal Amount </w:t>
            </w:r>
          </w:p>
        </w:tc>
        <w:tc>
          <w:tcPr>
            <w:tcW w:w="6329" w:type="dxa"/>
            <w:tcBorders/>
          </w:tcPr>
          <w:p>
            <w:pPr>
              <w:pStyle w:val="TableContents"/>
              <w:bidi w:val="0"/>
              <w:spacing w:before="0" w:after="283"/>
              <w:jc w:val="left"/>
              <w:rPr/>
            </w:pPr>
            <w:r>
              <w:rPr/>
              <w:t xml:space="preserve">Up to $40,000,000.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8" w:type="dxa"/>
            <w:tcBorders/>
          </w:tcPr>
          <w:p>
            <w:pPr>
              <w:pStyle w:val="TableContents"/>
              <w:bidi w:val="0"/>
              <w:spacing w:before="0" w:after="283"/>
              <w:jc w:val="left"/>
              <w:rPr/>
            </w:pPr>
            <w:r>
              <w:rPr/>
              <w:t xml:space="preserve">August 15, 2035, unless previously redeemed.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Form and Denomination </w:t>
            </w:r>
          </w:p>
        </w:tc>
        <w:tc>
          <w:tcPr>
            <w:tcW w:w="6327" w:type="dxa"/>
            <w:tcBorders/>
          </w:tcPr>
          <w:p>
            <w:pPr>
              <w:pStyle w:val="TableContents"/>
              <w:bidi w:val="0"/>
              <w:spacing w:before="0" w:after="283"/>
              <w:jc w:val="left"/>
              <w:rPr/>
            </w:pPr>
            <w:r>
              <w:rPr/>
              <w:t xml:space="preserve">The New Notes will be issued only in registered form without coupons, and in minimum denominations of $100,000 and any integral multiple of $1,000 in excess thereof. Unless otherwise required for institutional accredited investors, the New Notes will be evidenced by a global note deposited with the trustee for the New Notes, as custodian for DTC, and transfers of beneficial interests will be facilitated only through records maintained by DTC and its participants.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and Interest Rate Payment Dates During Fixed Rate Period </w:t>
            </w:r>
          </w:p>
        </w:tc>
        <w:tc>
          <w:tcPr>
            <w:tcW w:w="6326" w:type="dxa"/>
            <w:tcBorders/>
          </w:tcPr>
          <w:p>
            <w:pPr>
              <w:pStyle w:val="TableContents"/>
              <w:bidi w:val="0"/>
              <w:spacing w:before="0" w:after="283"/>
              <w:jc w:val="left"/>
              <w:rPr/>
            </w:pPr>
            <w:r>
              <w:rPr/>
              <w:t xml:space="preserve">From and including August 14, 2025 to but excluding August 15, 2030 or earlier redemption date, computed on the basis of a 360-day year consisting of twelve 30-day months and payable semi-annually in arrears on February 15 and August 15 of each year, beginning on February 15,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and Interest Rate Payment Dates During Floating Rate Period </w:t>
            </w:r>
          </w:p>
        </w:tc>
        <w:tc>
          <w:tcPr>
            <w:tcW w:w="6329" w:type="dxa"/>
            <w:tcBorders/>
          </w:tcPr>
          <w:p>
            <w:pPr>
              <w:pStyle w:val="TableContents"/>
              <w:bidi w:val="0"/>
              <w:spacing w:before="0" w:after="283"/>
              <w:jc w:val="left"/>
              <w:rPr/>
            </w:pPr>
            <w:r>
              <w:rPr/>
              <w:t xml:space="preserve">From and including August 15, 2030, to but excluding the maturity date or earlier redemption date (the “Floating Rate Period”), the New Notes will bear interest at an annual floating rate, reset quarterly, equal to the Benchmark rate (which is expected to be the then-current Three-Month Term Secured Overnight Financing Rate (“SOFR”)), plus 422 basis points, provided, however, that in the event that the Three-Month Term SOFR is less than zero, Three-Month Term SOFR shall be deemed to be zero (as defined under “Description of the Notes—Principal, Maturity and Interest”). During the Floating Rate Period, interest on the New Notes will be payable quarterly in arrears on February 15, May 15, August 15 and November 15 of each year commencing on November 15, 2030.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interest period during the Floating Rate Period, “Three-Month Term SOFR” means the rate for Term SOFR for a tenor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three months that is published by the Term SOFR Administrator at the Reference Time for any Floating Interest Period, as determined by the Calculation Agent after giving effect to the Three-Month Term SOFR Conventions; </w:t>
            </w:r>
            <w:r>
              <w:rPr>
                <w:rFonts w:ascii="Times New Roman" w:hAnsi="Times New Roman"/>
                <w:i/>
                <w:sz w:val="20"/>
              </w:rPr>
              <w:t>provided, however</w:t>
            </w:r>
            <w:r>
              <w:rPr>
                <w:rFonts w:ascii="Times New Roman" w:hAnsi="Times New Roman"/>
                <w:sz w:val="20"/>
              </w:rPr>
              <w:t>, that in the event Three-Month Term SOFR is less than zero, Three-Month Term SOFR shall be deemed to be zero (each as defined under “Description of the Notes—Principal, Maturity and Interest”).</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If the Calculation Agent determines that a Benchmark Transition Event and its related Benchmark Replacement Date (each as defined under “Description of the Notes—Principal, Maturity and Interest”) have occurred prior to the Reference Time in respect of any determination of the Benchmark on any date, the Benchmark Replacement will replace the then-current Benchmark (each as defined under “Description of the Notes—Principal, Maturity and Interest”) for all purposes relating to the New Notes during the relevant Floating Interest Period in respect of such determination on such date and all determinations on all subsequent dates. In accordance with the benchmark transition provisions, after a Benchmark Transition Event and its related Benchmark Replacement Date have occurred, the interest rate on the New Notes for each interest period during the Floating Rate Period will be an annual rate equal to the sum of the applicable Benchmark Replacement (as defined under “Description of the Notes—Effect of Benchmark Transition Event”), plus 422 basis points.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Day Count Convention </w:t>
            </w:r>
          </w:p>
        </w:tc>
        <w:tc>
          <w:tcPr>
            <w:tcW w:w="6327" w:type="dxa"/>
            <w:tcBorders/>
          </w:tcPr>
          <w:p>
            <w:pPr>
              <w:pStyle w:val="TableContents"/>
              <w:bidi w:val="0"/>
              <w:spacing w:before="0" w:after="283"/>
              <w:jc w:val="left"/>
              <w:rPr/>
            </w:pPr>
            <w:r>
              <w:rPr/>
              <w:t xml:space="preserve">Twelve 30-day months/360-day year to but excluding August 15, 2030, and thereafter, a 360-day year and the number of days actually elapsed.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Record Dates </w:t>
            </w:r>
          </w:p>
        </w:tc>
        <w:tc>
          <w:tcPr>
            <w:tcW w:w="6328" w:type="dxa"/>
            <w:tcBorders/>
          </w:tcPr>
          <w:p>
            <w:pPr>
              <w:pStyle w:val="TableContents"/>
              <w:bidi w:val="0"/>
              <w:spacing w:before="0" w:after="283"/>
              <w:jc w:val="left"/>
              <w:rPr/>
            </w:pPr>
            <w:r>
              <w:rPr/>
              <w:t xml:space="preserve">Each interest payment will be made to the holders of record who held the New Notes at the close of business on the fifteenth calendar day prior to the applicable interest payment date, without regard to whether the regular record date is a business day.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Subordination; Ranking </w:t>
            </w:r>
          </w:p>
        </w:tc>
        <w:tc>
          <w:tcPr>
            <w:tcW w:w="6327" w:type="dxa"/>
            <w:tcBorders/>
          </w:tcPr>
          <w:p>
            <w:pPr>
              <w:pStyle w:val="TableContents"/>
              <w:bidi w:val="0"/>
              <w:spacing w:before="0" w:after="283"/>
              <w:jc w:val="left"/>
              <w:rPr/>
            </w:pPr>
            <w:r>
              <w:rPr/>
              <w:t xml:space="preserve">The New Notes will be our general unsecured, subordinated obligations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will rank junior in right of payment and upon our liquidation to our existing and future senior indebtedness (as defined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will rank equally in right of payment and upon our liquidation with our existing and all future indebtedness the terms of which provide that such indebtedness ranks equally with promissory notes, bonds, debentures and other evidences of indebtedness of types that include the New Notes;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senior in right of payment and upon our liquidation to any indebtedness the terms of which provide that such indebtedness ranks junior to promissory notes, bonds, debentures and other evidences of indebtedness of types that include the New Notes; and will be effectively subordinated to all of the existing and future indebtedness,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deposits and other liabilities of the Bank and our other current and future subsidiaries, including without limitation, the Bank’s liabilities to depositors in connection with the deposits in the Bank, as well as to its subsidiary’s liabilities to general creditors and liabilities arising during the ordinary course or otherwise.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7" w:type="dxa"/>
            <w:tcBorders/>
          </w:tcPr>
          <w:p>
            <w:pPr>
              <w:pStyle w:val="TableContents"/>
              <w:bidi w:val="0"/>
              <w:spacing w:before="0" w:after="283"/>
              <w:jc w:val="left"/>
              <w:rPr/>
            </w:pPr>
            <w:r>
              <w:rPr/>
              <w:t xml:space="preserve">We may, at our option, (i) on any interest payment date on or after August 15, 2030, redeem all or a portion of the New Notes (without premium or penalty), and (ii) redeem all, but not a portion of, the New Notes at any time upon an Investment Company Event, a Tax Event or a Tier 2 Capital Event (each as described in “Description of the Notes—Redemption”).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Any redemption of the New Notes will be subject to prior approval of the Board of Governors of the Federal Reserve System (or its designee) (the “Federal Reserve”) or any successor agency, and any other banking regulatory agency, to the extent such approval is then required by law, regulation or policy. Any redemption of the New Notes will be at a redemption price equal to 100% of the principal amount of the New Notes, or a portion thereof, being redeemed, plus accrued but unpaid interest and additional interest, if any, thereon to, but excluding, the date of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If all or any portion of the New Notes ceases to be deemed to be Tier 2 Capital, other than due to the limitation imposed on the capital treatment of subordinated debt during the five (5) years immediately preceding the maturity date of the New Notes, the Company will immediately notify the trustee and the holders thereof, and thereafter the Company and the holders will work together in good faith, subject to the terms of the New Notes, to execute and deliver all agreements as reasonably necessary in order to restructure the applicable portions of the obligations evidenced by the New Notes to qualify as Tier 2 Capital; provided, however, that the foregoing shall not limit the Company’s right to redeem the New Notes pursuant to the terms of the New Notes and the indenture, including upon the occurrence of a Tier 2 Capital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New Notes are not subject to repayment at the option of the holders and there is no sinking fund for the New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Limitations On Indebtedness </w:t>
            </w:r>
          </w:p>
        </w:tc>
        <w:tc>
          <w:tcPr>
            <w:tcW w:w="6327" w:type="dxa"/>
            <w:tcBorders/>
          </w:tcPr>
          <w:p>
            <w:pPr>
              <w:pStyle w:val="TableContents"/>
              <w:bidi w:val="0"/>
              <w:spacing w:before="0" w:after="283"/>
              <w:jc w:val="left"/>
              <w:rPr/>
            </w:pPr>
            <w:r>
              <w:rPr/>
              <w:t xml:space="preserve">The terms of the New Notes do not limit the amount of additional indebtedness the Company, the Bank or any of our respective subsidiaries may incur or the amount of other obligations ranking senior or equal to the New Notes that we may incur.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Limited Indenture Covenants </w:t>
            </w:r>
          </w:p>
        </w:tc>
        <w:tc>
          <w:tcPr>
            <w:tcW w:w="6327" w:type="dxa"/>
            <w:tcBorders/>
          </w:tcPr>
          <w:p>
            <w:pPr>
              <w:pStyle w:val="TableContents"/>
              <w:bidi w:val="0"/>
              <w:spacing w:before="0" w:after="283"/>
              <w:jc w:val="left"/>
              <w:rPr/>
            </w:pPr>
            <w:r>
              <w:rPr/>
              <w:t xml:space="preserve">The indenture governing the New Notes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Moreover, neither the indenture nor the New Notes contain any covenants prohibiting us from, or limiting our right to, grant liens on our assets to secure our indebtedness or other obligations that are senior in right of payment to the New Notes, to repurchase our stock or other securities, including any of the New Notes, or to pay dividends or make other distributions to our shareholders (except, in the case of dividends or other distributions on junior securities, upon our failure to timely pay the principal of or interest on the New Notes, when the same becomes due and payable).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No Public Market </w:t>
            </w:r>
          </w:p>
        </w:tc>
        <w:tc>
          <w:tcPr>
            <w:tcW w:w="6331" w:type="dxa"/>
            <w:tcBorders/>
          </w:tcPr>
          <w:p>
            <w:pPr>
              <w:pStyle w:val="TableContents"/>
              <w:bidi w:val="0"/>
              <w:spacing w:before="0" w:after="283"/>
              <w:jc w:val="left"/>
              <w:rPr/>
            </w:pPr>
            <w:r>
              <w:rPr/>
              <w:t xml:space="preserve">The New Notes are a new issue of securities with no established trading market and we do not expect any public market to develop in the future for the New Notes. We do not intend to list the New Notes on any national securities exchange or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“Risk Factors” beginning on page 7 of this prospectus, as well as in our reports filed with the SEC, and other information included or incorporated by reference in this prospectus for a discussion of factors you should consider carefully before deciding to participate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8" w:type="dxa"/>
            <w:tcBorders/>
          </w:tcPr>
          <w:p>
            <w:pPr>
              <w:pStyle w:val="TableContents"/>
              <w:bidi w:val="0"/>
              <w:spacing w:before="0" w:after="283"/>
              <w:jc w:val="left"/>
              <w:rPr/>
            </w:pPr>
            <w:r>
              <w:rPr/>
              <w:t xml:space="preserve">Wilmington Trust,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7" w:type="dxa"/>
            <w:tcBorders/>
          </w:tcPr>
          <w:p>
            <w:pPr>
              <w:pStyle w:val="TableContents"/>
              <w:bidi w:val="0"/>
              <w:spacing w:before="0" w:after="283"/>
              <w:jc w:val="left"/>
              <w:rPr/>
            </w:pPr>
            <w:r>
              <w:rPr/>
              <w:t xml:space="preserve">The New Notes and the indenture will be governed by and construed in accordance with the laws of the State of New York.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toc32912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 consultation with your own advisors, you should carefully consider, among other matters, the factors set forth below as well as the other information included or incorporated by reference in this prospectus before deciding whether to participate in the exchange offer. In particular, you should carefully consider, among other things, the factors described under the caption “Risk Factors” in our Annual Report on Form 10-K for the fiscal year ended December 31, 2024 and the factors described under the caption “Risk Factors” in our Quarterly Reports on Form 10-Q for the fiscal quarter ended March 31, 2025, June 30, 2025 and the fiscal quarter ended September 30, 2025, each of which is incorporated herein by reference, as updated by our subsequently filed Quarterly Reports on Form 10-Q and Current Reports on Form 8-K. If any of the risks contained in or incorporated by reference into this prospectus develop into actual events, our business, financial condition, liquidity, results of operations and prospects could be materially and adversely affected, the value of the New Notes could decline, our ability to repay the New Notes may be impaired, and you may lose all or part of your investment. Some statements in this prospectus, including statements in the following risk factors, constitute forward-looking statements. See the “Special Note Regarding Forward-Looking Statements” section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of certain risks applicable to our business and operations, please refer to the section entitled “Risk Factors” in Part I, Item 1A of our Annual Report on Form 10-K for the fiscal year ended December 31, 2024 and the section entitled “Risk Factors” in Part II, Item 1A of our Quarterly Reports on Form 10-Q for the fiscal quarter ended March 31, 2025 and the fiscal quarter ended June 30, 2025.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do not properly tender your Old Notes, you will continue to hold unregistered Old Notes and your ability to transfer Old Notes will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will only issue New Notes in exchange for Old Notes that you timely and properly tender. Therefore, you should allow sufficient time to ensure timely delivery of the Old Notes and you should carefully follow the instructions on how to tender your Old Notes. Neither we nor the exchange agent are required to tell you of any defects or irregularities with respect to your tender of Old Notes. See “The Exchange Offer—Procedures for Tendering Old Notes.” </w:t>
      </w:r>
    </w:p>
    <w:p>
      <w:pPr>
        <w:pStyle w:val="TextBody"/>
        <w:bidi w:val="0"/>
        <w:spacing w:before="240" w:after="0"/>
        <w:jc w:val="left"/>
        <w:rPr>
          <w:rFonts w:ascii="Times New Roman" w:hAnsi="Times New Roman"/>
          <w:sz w:val="20"/>
        </w:rPr>
      </w:pPr>
      <w:r>
        <w:rPr>
          <w:rFonts w:ascii="Times New Roman" w:hAnsi="Times New Roman"/>
          <w:sz w:val="20"/>
        </w:rPr>
        <w:t xml:space="preserve">If you do not exchange your Old Notes for New Notes in the exchange offer, you will continue to be subject to the restrictions on transfer of your Old Notes described in the legend on the certificates for your Old Notes. In general, you may only offer or sell the Old Notes if they are registered under the Securities Act and applicable state securities laws, or you offer and sell under an exemption from these requirements. We do not plan to register any sale of the Old Notes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tender of Old Notes under the exchange offer will reduce the principal amount of the Old Notes outstanding, which may have an adverse effect upon, and increase the volatility of, the market price of the Old Notes due to reduction in liquidity.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receive New Notes in the exchange offer if you do not properly follow the exchange offer procedures.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New Notes in exchange for your Old Notes only if you properly tender the Old Notes before expiration of the exchange offer. Neither we nor the exchange agent are required to tell you of any defects or irregularities with respect to your tender of Old Notes. If you are the beneficial holder of Old Notes that are held through your broker, dealer, commercial bank, trust company or other nominee, and you wish to tender such 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Notes in the exchange offer, you should promptly contact the person through whom your Old Notes are held and instruct that person to tender on your behalf in accordance with the procedures described in this prospectus and the accompanying transmittal letter.</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liquidity of any trading market that currently exists for the Old Notes may be adversely affected by the exchange offer, and holders who fail to participate in the exchange offer may find it more difficult to sell their Old Notes after the exchange offer is completed.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tenders of Old Notes for exchange in the exchange offer are accepted by us and the exchange offer is completed, the trading market for the Old Notes that remain outstanding following the completion of the exchange offer may be significantly more limited. The remaining Old Notes may command lower prices than comparable issues of securities with greater market liquidity and, if they currently qualify for inclusion in certain indices, may no longer qualify for inclusion. Reduced market values and reduced liquidity may also make the trading prices of the remaining Old Notes more volatile. As a result, the market prices for the Old Notes that remain outstanding after the completion of the exchange offer may be adversely affected as a result of the exchange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holders who exchange their Old Notes may be deemed to be underwriters. </w:t>
      </w:r>
    </w:p>
    <w:p>
      <w:pPr>
        <w:pStyle w:val="TextBody"/>
        <w:bidi w:val="0"/>
        <w:spacing w:before="120" w:after="0"/>
        <w:jc w:val="left"/>
        <w:rPr>
          <w:rFonts w:ascii="Times New Roman" w:hAnsi="Times New Roman"/>
          <w:sz w:val="20"/>
        </w:rPr>
      </w:pPr>
      <w:r>
        <w:rPr>
          <w:rFonts w:ascii="Times New Roman" w:hAnsi="Times New Roman"/>
          <w:sz w:val="20"/>
        </w:rPr>
        <w:t xml:space="preserve">Based on interpretations of the staff of the SEC contained in certain no action letters addressed to other parties, we believe that you may offer for resale, resell or otherwise transfer the New Notes without compliance with the registration and prospectus delivery requirements of the Securities Act. However, in some instances described in this prospectus under “Plan of Distribution,” certain holders of New Notes will remain obligated to comply with the registration and prospectus delivery requirements of the Securities Act to transfer the New Notes. If such a holder transfers any New Notes without delivering a prospectus meeting the requirements of the Securities Act or without an applicable exemption from registration under the Securities Act, such a holder may incur liability under the Securities Act. We do not and will not assume, or indemnify such a holder against, such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offer may be cancelled or delayed.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exchange offer is subject to, and conditional upon, the satisfaction or waiver of the conditions discussed under “The Exchange Offer—Conditions.” We may, at our option and in our sole discretion, waive any such conditions. Even if the exchange offer is completed, the exchange offer may not be completed on the schedule described in this prospectus. Accordingly, holders participating in the exchange offer may have to wait longer than expected to receive their New Notes, during which time such holders will not be able to effect transfers of their Old Notes tendered for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will be unsecured and subordinated to any existing and future senior indebtedness. </w:t>
      </w:r>
    </w:p>
    <w:p>
      <w:pPr>
        <w:pStyle w:val="TextBody"/>
        <w:bidi w:val="0"/>
        <w:spacing w:before="120" w:after="0"/>
        <w:jc w:val="left"/>
        <w:rPr>
          <w:rFonts w:ascii="Times New Roman" w:hAnsi="Times New Roman"/>
          <w:sz w:val="20"/>
        </w:rPr>
      </w:pPr>
      <w:r>
        <w:rPr>
          <w:rFonts w:ascii="Times New Roman" w:hAnsi="Times New Roman"/>
          <w:sz w:val="20"/>
        </w:rPr>
        <w:t>The notes will be subordinated obligations of the Company. Accordingly, they will be junior in right of payment to any existing and all future senior indebtedness, and in certain events of insolvency, to other financial obligations. Our senior indebtedness includes all indebtedness, except indebtedness that is expressly subordinated to or ranked </w:t>
      </w:r>
      <w:r>
        <w:rPr>
          <w:rFonts w:ascii="Times New Roman" w:hAnsi="Times New Roman"/>
          <w:i/>
          <w:sz w:val="20"/>
        </w:rPr>
        <w:t>pari</w:t>
      </w:r>
      <w:r>
        <w:rPr>
          <w:rFonts w:ascii="Times New Roman" w:hAnsi="Times New Roman"/>
          <w:sz w:val="20"/>
        </w:rPr>
        <w:t xml:space="preserve"> </w:t>
      </w:r>
      <w:r>
        <w:rPr>
          <w:rFonts w:ascii="Times New Roman" w:hAnsi="Times New Roman"/>
          <w:i/>
          <w:sz w:val="20"/>
        </w:rPr>
        <w:t>passu</w:t>
      </w:r>
      <w:r>
        <w:rPr>
          <w:rFonts w:ascii="Times New Roman" w:hAnsi="Times New Roman"/>
          <w:sz w:val="20"/>
        </w:rPr>
        <w:t xml:space="preserve"> with the notes, subject to certain exceptions. The notes will rank equally with all other unsecured subordinated indebtedness of the Company issued in the future under the indenture between the Company, as issuer, and Wilmington Trust, National Association, as trustee (the “Indenture”). In addition, the notes will be structurally subordinated to all existing and future indebtedness, liabilities and other obligations, including deposits, of our subsidiaries, including the Bank. As of September 30, 2025, on a consolidated basis, we had liabilities of $2.6 billion, of which $2.5 billion rank senior to the notes and $11 million rank </w:t>
      </w:r>
      <w:r>
        <w:rPr>
          <w:rFonts w:ascii="Times New Roman" w:hAnsi="Times New Roman"/>
          <w:i/>
          <w:sz w:val="20"/>
        </w:rPr>
        <w:t>pari</w:t>
      </w:r>
      <w:r>
        <w:rPr>
          <w:rFonts w:ascii="Times New Roman" w:hAnsi="Times New Roman"/>
          <w:sz w:val="20"/>
        </w:rPr>
        <w:t xml:space="preserve"> </w:t>
      </w:r>
      <w:r>
        <w:rPr>
          <w:rFonts w:ascii="Times New Roman" w:hAnsi="Times New Roman"/>
          <w:i/>
          <w:sz w:val="20"/>
        </w:rPr>
        <w:t>passu</w:t>
      </w:r>
      <w:r>
        <w:rPr>
          <w:rFonts w:ascii="Times New Roman" w:hAnsi="Times New Roman"/>
          <w:sz w:val="20"/>
        </w:rPr>
        <w:t xml:space="preserve"> with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notes will not be secured by any of our assets. As a result, the notes will be effectively subordinated to all of our secured indebtedness to the extent of the value of the assets securing such indebtedness. The Indenture governing the notes does not limit the amount of senior indebtedness and other financial obligations or secured obligations that we or our subsidiaries may incur.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subordination provisions described above, holders of the notes may not be fully repaid in the event of our bankruptcy, liquidation or reorganization.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not be insured or guaranteed by the FDIC, any other governmental agency or any of our subsidiaries. The notes will be structurally subordinated to the indebtedness and other liabilities of our subsidiaries, which means that creditors of our subsidiaries generally will be paid from those subsidiaries’ assets before holders of the notes would have any claims to those assets.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savings accounts, deposits or other obligations of the Bank or any of our non-bank subsidiaries and are not insured or guaranteed by the FDIC or any other governmental agency or public or private insurer. The notes are obligations of the Company only and are neither obligations of, nor guaranteed by, any of our subsidiaries. The notes will be structurally subordinated to all existing and future indebtedness and other liabilities of our subsidiaries, which means that creditors of our subsidiaries (including, in the case of the Bank, its depositors) generally will be paid from those subsidiaries’ assets before holders of the notes would have any claims to those assets. Even if we become a creditor of any of our subsidiaries, our rights as a creditor would be subordinate to any security interest in the assets of that subsidiary and any debt of that subsidiary senior to that held by us, and our rights could otherwise be subordinated to the rights of other creditors and depositors of that subsidiary. Furthermore, none of our subsidiaries is under any obligation to make payments to us, and any payments to us would depend on the earnings or financial condition of our subsidiaries and various business considerations. Statutory, contractual or other restrictions also limit our subsidiaries’ ability to pay dividends or make distributions, loans or advances to us. For these reasons, we may not have access to any assets or cash flows of our subsidiaries to make interest and principal payments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include limited covenants and do not restrict our ability to incur additional debt. </w:t>
      </w:r>
    </w:p>
    <w:p>
      <w:pPr>
        <w:pStyle w:val="TextBody"/>
        <w:bidi w:val="0"/>
        <w:spacing w:before="120" w:after="0"/>
        <w:jc w:val="left"/>
        <w:rPr>
          <w:rFonts w:ascii="Times New Roman" w:hAnsi="Times New Roman"/>
          <w:sz w:val="20"/>
        </w:rPr>
      </w:pPr>
      <w:r>
        <w:rPr>
          <w:rFonts w:ascii="Times New Roman" w:hAnsi="Times New Roman"/>
          <w:sz w:val="20"/>
        </w:rPr>
        <w:t xml:space="preserve">The notes do not contain any financial covenants that would require us to achieve or maintain any minimum financial results relating to our financial condition, liquidity or results of operations or meet or exceed certain financial ratios as a general matter or to incur additional indebtedness or obligations or to maintain any reserves. Moreover, the notes do not contain any covenants prohibiting or limiting us or our subsidiaries from granting liens on assets to secure indebtedness or other obligations, repurchasing our stock or other securities, including any of the notes, or paying dividends or make other distributions to our shareholders. The notes do not contain any provision that would provide protection to the holders of the notes against a material decline in our credit quality.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notes do not limit the amount of additional indebtedness of the Company, the Bank or any of our other subsidiaries may incur or the amount of other obligations that the Company or the Bank may incur ranking senior or equal to the indebtedness evidenced by the notes. The issuance or guarantee of any such securities or the incurrence of any such other liabilities may reduce the amount, if any, recoverable by holders of the notes in the event of our insolvency, bankruptcy, liquidation, dissolution, winding up or similar proceeding, and may limit our ability to meet our obligations under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the notes will depend on receipt of dividends and distributions from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We are a bank holding company and we conduct substantially all of our operations through subsidiaries, including the Bank. We depend on dividends, distributions and other payments from our subsidiaries to meet our obligations, including to fund payments on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generally declare a dividend from retained net profits which accrued prior to the preceding two years, but we must, before the declaration of a dividend on our common stock, under applicable Florida law, carry 20% of our net profits for such preceding period as is covered by the dividend to our surplus fund, until the same shall at least equal the amount of our common stock and preferred stock, if any, then issued and outstanding. Under Florida law, we are prohibited from declaring a dividend at any time at which our net income from the current year combined with the retained net income from the preceding two years is a loss or which would cause our capital accounts to fall below the minimum amount required by law, regulation, order, or any written agreement with a state or federal regulatory agency. Furthermore, under applicable FDIC regulations and policy, the Bank must obtain the prior approval of the FDIC before effecting a cash dividend or other capital distribution. Similarly, we have agreed to notify the Federal Reserve before declaring and paying any dividends on our Class A common stock. As of September 30, 2025, the Bank would need prior regulatory approval to pay a dividend to the Company. Also, the Company’s right to participate in a distribution of assets upon a subsidiary’s liquidation or reorganization is subject to the prior claims of the subsidiary’s creditors. In the event the Bank is unable to pay dividends to us, we may not be able to service any debt we may incur, which could have a material adverse effect on our business, financial condition, results of operations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Bank also may not pay dividends if payment would cause it to become undercapitalized or if it is already undercapitalized and must maintain a common equity Tier 1 capital conservation buffer of greater than 2.5% to avoid becoming subject to restrictions on capital distributions, including dividends. Further, contractual or other restrictions may also limit our subsidiaries’ abilities to pay dividends or make distributions, loans or advances to us. See the information under “Regulation and Supervision” in Item 1, “Business,” in our annual report on Form 10-K for the year ended December 31, 2024. For these reasons, we may not have access to any assets or cash flow of our subsidiaries to make principal or interest payments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generate sufficient cash to service all of our debt, including the notes.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of principal and interest, or to satisfy our obligations in respect of our debt or to refinance our debt, will depend on our future performance of our operating subsidiaries. Prevailing economic conditions (including interest rates), regulatory constraints, including, without limitation, limiting distributions to us from the Bank and required capital levels with respect to the Bank and financial, business and other factors, many of which are beyond our control, will also affect our ability to meet these needs. Our subsidiaries may not be able to generate sufficient cash flows from operations, or we may be unable to obtain future borrowings in an amount sufficient to enable us to pay our debt, or to fund our other liquidity needs. We may need to refinance all or a portion of our debt on or before maturity. We may not be able to refinance any of our debt when needed (including, without limitation, upon commencement of the floating rate period) on commercially reasonable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guidelines may restrict our ability to pay the principal of, and accrued and unpaid interest on, the notes, regardless of whether we are the subject of an insolvency proceeding. </w:t>
      </w:r>
    </w:p>
    <w:p>
      <w:pPr>
        <w:pStyle w:val="TextBody"/>
        <w:bidi w:val="0"/>
        <w:spacing w:before="120" w:after="0"/>
        <w:jc w:val="left"/>
        <w:rPr>
          <w:rFonts w:ascii="Times New Roman" w:hAnsi="Times New Roman"/>
          <w:sz w:val="20"/>
        </w:rPr>
      </w:pPr>
      <w:r>
        <w:rPr>
          <w:rFonts w:ascii="Times New Roman" w:hAnsi="Times New Roman"/>
          <w:sz w:val="20"/>
        </w:rPr>
        <w:t xml:space="preserve">As a bank holding company, our ability to pay the principal of, and interest on, the notes is subject to the rules and guidelines of the Federal Reserve regarding capital adequacy. We intend to treat the notes as “Tier 2 capital” under these rules and guidelines. The Federal Reserve guidelines generally require us to review the effects of the cash payment of Tier 2 capital instruments, such as the notes, on our overall financial condition. The guidelines also require that we review our net income for the current and past four fiscal quarters, and the amounts we have paid on Tier 2 capital instruments for those periods, as well as our projected rate of earnings retention. Moreover, pursuant to federal law and Federal Reserve regulations, as a bank holding company, we are required to act as a source of financial and managerial strength to the Bank and commit resources to its support, including, without limitation, the guarantee of its capital plans if it is undercapitalized. Such support may be required at times when we may not otherwise be inclined or able to provide it. As a result of the foregoing, we may be unable to pay accrued interest on the notes on one or more of the scheduled interest payment dates, or at any other time, or the principal of the notes at the maturity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were to be the subject of a bankruptcy proceeding under Chapter 11 of the U.S. Bankruptcy Code, then the bankruptcy trustee would be deemed to have assumed, and would be required to cure, immediately any deficit under any commitment we have to any of the federal banking agencies to maintain the capital of the Bank, and any other insured depository institution for which we have such a responsibility, and any claim for breach of such obligation would generally have priority over most other unsecured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subject to limited rights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Payment of principal of the notes may be accelerated only in the case of certain bankruptcy-related events with respect to us. As a result, you have no right to accelerate the payment of principal of the notes if we fail to pay principal of or interest on the notes or if we fail in the performance of any of our other obligations under the notes. Our regulators can, in the event we or the Bank become subject to an enforcement action, prohibit the Bank from paying dividends to us, and prevent our payment of interest or principal on the notes and any dividends on our capital stock, but such limits will not permit acceleration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notes may not develop. </w:t>
      </w:r>
    </w:p>
    <w:p>
      <w:pPr>
        <w:pStyle w:val="TextBody"/>
        <w:bidi w:val="0"/>
        <w:spacing w:before="120" w:after="0"/>
        <w:jc w:val="left"/>
        <w:rPr>
          <w:rFonts w:ascii="Times New Roman" w:hAnsi="Times New Roman"/>
          <w:sz w:val="20"/>
        </w:rPr>
      </w:pPr>
      <w:r>
        <w:rPr>
          <w:rFonts w:ascii="Times New Roman" w:hAnsi="Times New Roman"/>
          <w:sz w:val="20"/>
        </w:rPr>
        <w:t xml:space="preserve">The notes constitute a new issue of securities for which there is no existing trading market. We do not intend to apply for listing of the notes on any securities exchange or for quotation of the notes in any automated dealer quotation system. We cannot provide you with any assurance regarding whether a trading market for the notes will develop, the ability of holders of the notes to sell their notes or the prices at which holders may be able to sell their notes. You should also be aware that there may be a limited number of buyers when you decide to sell your notes. This may affect the price you receive for your notes or your ability to sell your notes at all. Investors in the notes may not be able to sell the notes at all or may not be able to sell the notes at prices that will provide them with a yield comparable to similar investments that have a developed secondary market, and may consequently suffer from increased pricing volatility and market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 trading market for the notes develops, changes in the debt markets, among others, could adversely affect your ability to liquidate your investment in the notes and the market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If a market develops for the notes, the prices at which holders may be able to sell their notes may be affected, potentially adversely, by a number of factors. These factors include: the method of calculating the principal, premium, if any, interest or other amounts payable, if any, on the notes; the time remaining to the maturity of the notes; the ranking of the notes; the redemption or repayment features of the notes; the aggregate amount outstanding of the notes; the outstanding amount of subordinated notes with terms identical to the notes offered hereby; the prevailing interest rates being paid by other companies similar to us; changes in U.S. interest rates; whether the ratings on the notes or us provided by any rating agency have changed; our financial condition, financial performance and future prospects; the level, direction and volatility of market interest rates generally; general economic conditions of the capital markets in the United States; geopolitical conditions and other financial, political, regulatory, and judicial events that affect the capital markets generally; the extent of any market-making activities, if any, with respect to the notes; and the operating performance of the Bank. The condition of the financial markets and prevailing interest rates have fluctuated significantly in the past and are likely to fluctuate in the future. Such fluctuations could adversely affect the trading market (if any) for, and the market price of, the notes. Often, the only way to liquidate your investment in the notes prior to maturity will be to sell the notes. At that time, there may be a very illiquid market for the notes or no market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Beginning on the fifth anniversary of the issuance of the notes, or at any time in the case of certain events, the notes may be redeemed at our option, which limits the ability of holders of the notes to accrue interest over the full stated term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prior approval of the Federal Reserve (or, as and if applicable, the rules of any appropriate successor bank regulatory agency), to the extent that such approval is then required under applicable laws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regulations, including capital regulations, we may, at our option, redeem the notes (i) in whole or in part, beginning with the interest payment date on August 15, 2030 and on any interest payment date thereafter and (ii) in whole but not in part, at any time upon the occurrence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“Tier 2 Capital Event,” which is defined in the Indenture to mean receipt by us of a legal opinion of counsel experienced in such matters to the effect that the notes no longer qualify, or within 120 days of the date of such legal opinion, will not qualify, as Tier 2 capital (or its then equivalent), as a result of a change in law or regulation, or interpretation or application thereof, by any judicial, legislative or regulatory authority that becomes effective after the date of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 Event,” which is defined in the Indenture to mean the receipt by us of a legal opinion of counsel experienced in such matters to the effect that, as a result of any amendment to, or change (including any final and adopted (or enacted) prospective change) in, the laws (or any regulations thereunder) of the United States or any political subdivision or taxing authority thereof or therein, or as a result of any official administrative pronouncement or judicial decision interpreting or applying such laws or regulations, there exists a material risk that interest payable by us on the notes is not, or within 120 days after the receipt of such opinion will not be, deductible by us, in whole or in part, for United States federal income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“Investment Company Event,” which is defined in the Indenture to mean receipt by us of a legal opinion from counsel experienced in such matters to the effect that there is a material risk that we are, or within 120 days of the date of such legal opinion, will be, required to register as an investment company pursuant to the Investment Company Act of 1940, as amended,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at a redemption price equal to 100% of the principal amount of the notes to be redeemed plus accrued and unpaid interest to, but not including, the date of redemption. Any redemption of the notes will be subject to prior approval of the Federal Reserve, to the extent such approval is then required. There can be no assurance that the Federal Reserve will approve any redemption of the notes that we may propose. Furthermore, you should not expect us to redeem any notes when they first become redeemable or on any particular date thereafter. If we redeem the notes for any reason, you will not have the opportunity to continue to accrue and be paid interest to the stated maturity date and you may not be able to reinvest the redemption proceeds you receive in a similar security or in securities bearing similar interest rates or yields.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not expect us to redeem the notes on or after the date on which they become redeemable at our option. Under Federal Reserve regulations, unless the Federal Reserve authorizes us in writing to do otherwise, we are not permitted to redeem the notes unless they are replaced with other Tier 2 capital instruments or unless we can demonstrate to the satisfaction of the Federal Reserve that, following redemption, we will continue to hold capital commensurate with our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amount of interest payable on the notes will vary after the fifth anniversary of the issuance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During the fixed rate period, the notes will bear interest at a fixed interest rate per annum. Thereafter, the notes will bear interest at a floating rate per annum equal to the Benchmark rate (which is expected to be Three-Month Term SOFR), plus a spread, subject to certain provisions of the notes. The per annum interest rate that is determined at the reference time for each interest period will apply to the entire quarterly interest period following such determination date even if the Benchmark rate increases during that period. </w:t>
      </w:r>
    </w:p>
    <w:p>
      <w:pPr>
        <w:pStyle w:val="TextBody"/>
        <w:bidi w:val="0"/>
        <w:spacing w:before="240" w:after="0"/>
        <w:jc w:val="left"/>
        <w:rPr>
          <w:rFonts w:ascii="Times New Roman" w:hAnsi="Times New Roman"/>
          <w:sz w:val="20"/>
        </w:rPr>
      </w:pPr>
      <w:r>
        <w:rPr>
          <w:rFonts w:ascii="Times New Roman" w:hAnsi="Times New Roman"/>
          <w:sz w:val="20"/>
        </w:rPr>
        <w:t xml:space="preserve">Floating rate notes bear additional significant risks not associated with fixed rate debt securities. These risks include fluctuation of the interest rates and the possibility that you will receive an amount of interest that is lower than expected. We have no control over a number of matters, including, without limitation, economic, financial, and political events, that are important in determining the existence, magnitude, and longevity of market volatility and other risks and their impact on the value of, or payments made on, the notes. In recent years, interest rates have been volatile, and that volatility may be expected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published credit ratings may not reflect all risks of an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published credit ratings of us or our indebtedness are an assessment by rating agencies of our ability to pay our debts when due.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published credit ratings assigned to the notes may not reflect the potential impact of all risks related to structure and other factors on any trading market for, or trading value of, the notes. </w:t>
      </w:r>
    </w:p>
    <w:p>
      <w:pPr>
        <w:pStyle w:val="TextBody"/>
        <w:bidi w:val="0"/>
        <w:spacing w:before="240" w:after="0"/>
        <w:jc w:val="left"/>
        <w:rPr>
          <w:rFonts w:ascii="Times New Roman" w:hAnsi="Times New Roman"/>
          <w:sz w:val="20"/>
        </w:rPr>
      </w:pPr>
      <w:r>
        <w:rPr>
          <w:rFonts w:ascii="Times New Roman" w:hAnsi="Times New Roman"/>
          <w:sz w:val="20"/>
        </w:rPr>
        <w:t xml:space="preserve">Accordingly, you should consult your own financial and legal advisors as to the risks entailed by an investment in the notes and the suitability of investing in the notes in light of your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downgrade in our credit ratings or the ratings of our subsidiaries could have a material adverse impact on us. </w:t>
      </w:r>
    </w:p>
    <w:p>
      <w:pPr>
        <w:pStyle w:val="TextBody"/>
        <w:bidi w:val="0"/>
        <w:spacing w:before="120" w:after="0"/>
        <w:jc w:val="left"/>
        <w:rPr>
          <w:rFonts w:ascii="Times New Roman" w:hAnsi="Times New Roman"/>
          <w:sz w:val="20"/>
        </w:rPr>
      </w:pPr>
      <w:r>
        <w:rPr>
          <w:rFonts w:ascii="Times New Roman" w:hAnsi="Times New Roman"/>
          <w:sz w:val="20"/>
        </w:rPr>
        <w:t xml:space="preserve">Rating agencies continuously evaluate us and our subsidiaries, and their ratings of our long-term and short-term debt are based on a number of factors, including financial strength, as well as factors not entirely within our control, such as conditions affecting the financial services industry generally. In light of these reviews and the continued focus on the financial services industry generally, we and our subsidiaries may not be able to maintain our current credit ratings. Ratings downgrades by a rating agency could have a significant and immediate impact on our funding and liquidity through cash obligations, reduced funding capacity and collateral triggers. A reduction in our or our subsidiaries’ credit ratings could also increase our borrowing costs and limit access to the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Downgrades in the credit or financial strength ratings assigned to the counterparties with whom we transact could create the perception that our financial condition will be adversely impacted as a result of potential future defaults by such counterparties. Additionally, we could be adversely affected by a general, negative perception of financial institutions caused by the downgrade of other financial institutions. Accordingly, ratings downgrades for other financial institutions could affect the market price of our stock and could limit our access to or increase our cost of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should not rely on indicative or historical data concerning SOFR.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during the floating rate period will be determined using Three-Month Term SOFR (unless a Benchmark Transition Event and its related Benchmark Replacement Date occur with respect to Three-Month Term SOFR, in which case the rate of interest will be based on the next-available Benchmark Replacement, which is the sum of Compounded SOFR and the Benchmark Replacement Adjustment). In the following discussion of SOFR, when we refer to the notes, we mean the notes at any time during the floating rate period when the interest rate on the notes is or will be determined based on SOFR, including Three-Month Term SOFR. </w:t>
      </w:r>
    </w:p>
    <w:p>
      <w:pPr>
        <w:pStyle w:val="TextBody"/>
        <w:bidi w:val="0"/>
        <w:spacing w:before="240" w:after="0"/>
        <w:jc w:val="left"/>
        <w:rPr>
          <w:rFonts w:ascii="Times New Roman" w:hAnsi="Times New Roman"/>
          <w:sz w:val="20"/>
        </w:rPr>
      </w:pPr>
      <w:r>
        <w:rPr>
          <w:rFonts w:ascii="Times New Roman" w:hAnsi="Times New Roman"/>
          <w:sz w:val="20"/>
        </w:rPr>
        <w:t xml:space="preserve">SOFR is published by the Federal Reserve Bank of New York (“FRBNY”) and is intended to be a broad measure of the cost of borrowing cash overnight collateralized by U.S. Treasury securities. FRBNY reports that SOFR includes all trades in the Broad General Collateral Rate, plus bilateral U.S. Treasury repurchase agreement (“repo”) transactions cleared through the delivery-versus-payment service offered by the Fixed Income Clearing Corporation (the “FICC”), a subsidiary of DTC. SOFR is filtered by FRBNY to remove a portion of the foregoing transactions considered to be “specials.” According to FRBNY, “specials” are repos for specific-issue collateral which take place at cash-lending rates below those for general collateral repos because cash providers are willing to accept a lesser return on their cash in order to obtain a particular security. </w:t>
      </w:r>
    </w:p>
    <w:p>
      <w:pPr>
        <w:pStyle w:val="TextBody"/>
        <w:bidi w:val="0"/>
        <w:spacing w:before="240" w:after="0"/>
        <w:jc w:val="left"/>
        <w:rPr>
          <w:rFonts w:ascii="Times New Roman" w:hAnsi="Times New Roman"/>
          <w:sz w:val="20"/>
        </w:rPr>
      </w:pPr>
      <w:r>
        <w:rPr>
          <w:rFonts w:ascii="Times New Roman" w:hAnsi="Times New Roman"/>
          <w:sz w:val="20"/>
        </w:rPr>
        <w:t xml:space="preserve">FRBNY reports that SOFR is calculated as a volume-weighted median of transaction-level tri-party repo data collected from The Bank of New York Mellon, which currently acts as the clearing bank for the tri-party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 market, as well as General Collateral Finance Repo transaction data and data on bilateral U.S. Treasury repo transactions cleared through the FICC’s delivery-versus-payment service. FRBNY states that it obtains information from DTCC Solutions LLC, an affiliate of DTC. </w:t>
      </w:r>
    </w:p>
    <w:p>
      <w:pPr>
        <w:pStyle w:val="TextBody"/>
        <w:bidi w:val="0"/>
        <w:spacing w:before="240" w:after="0"/>
        <w:jc w:val="left"/>
        <w:rPr>
          <w:rFonts w:ascii="Times New Roman" w:hAnsi="Times New Roman"/>
          <w:sz w:val="20"/>
        </w:rPr>
      </w:pPr>
      <w:r>
        <w:rPr>
          <w:rFonts w:ascii="Times New Roman" w:hAnsi="Times New Roman"/>
          <w:sz w:val="20"/>
        </w:rPr>
        <w:t xml:space="preserve">FRBNY currently publishes SOFR daily on its website at https://www.newyorkfed.org/markets/reference-rates/sofr. FRBNY states on its publication page for SOFR that use of SOFR is subject to important disclaimers, limitations and indemnification obligations, including that FRBNY may alter the methods of calculation, publication schedule, rate revision practices or availability of SOFR at any time without notice. The foregoing Internet website is an inactive textual reference only, meaning that the information contained on the website is not part of this document or incorporated by reference herein or therein.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SOFR could adversely affect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Because SOFR is published by FRBNY based on data received from other sources, we have no control over its determination, calculation or publication. There is no assurance that SOFR will not be discontinued or fundamentally altered in a manner that is materially adverse to the interests of investors in the notes. If the manner in which SOFR is calculated is changed, that change may result in a reduction in the amount of interest that accrues on the notes during the floating rate period, which may adversely affect the trading prices of the notes. Further, if the Benchmark rate on the notes during the floating rate period on any determination date declines to zero or becomes negative, the interest rate will be deemed to equal zero. In addition, once the Benchmark rate for the notes for each interest period during the floating rate period is determined by the Calculation Agent on the determination date, interest on the notes shall accrue at such Benchmark rate for the applicable interest period and will not be subject to change during such interest period. There is no assurance that changes in SOFR could not have a material adverse effect on the yield on, value of and market for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SOFR and SOFR may be more volatile than other benchmark or market rates. </w:t>
      </w:r>
    </w:p>
    <w:p>
      <w:pPr>
        <w:pStyle w:val="TextBody"/>
        <w:bidi w:val="0"/>
        <w:spacing w:before="120" w:after="0"/>
        <w:jc w:val="left"/>
        <w:rPr>
          <w:rFonts w:ascii="Times New Roman" w:hAnsi="Times New Roman"/>
          <w:sz w:val="20"/>
        </w:rPr>
      </w:pPr>
      <w:r>
        <w:rPr>
          <w:rFonts w:ascii="Times New Roman" w:hAnsi="Times New Roman"/>
          <w:sz w:val="20"/>
        </w:rPr>
        <w:t xml:space="preserve">Since the initial publication of SOFR, daily changes in the rate have, on occasion, been more volatile than daily changes in other benchmark or market rates during corresponding periods, and SOFR may bear little or no relation to the historical actual or indicative data. In addition, although changes in Three-Month Term SOFR and Compounded SOFR generally are not expected to be as volatile as changes in daily levels of SOFR, the return on and value of the notes may fluctuate more than floating rate securities that are linked to less volatile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interest rate for the notes during the applicable floating rate period may be determined based on a rate other than Three-Month Term SOFR.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notes, the interest rate on the notes for each interest period during the applicable floating rate period will be based on Three-Month Term SOFR, a forward-looking term rate for a tenor of three months that will be based on SOFR. SOFR has a very limited history, and the future performance of SOFR cannot be predicted based on its limited historical performance. The level of SOFR during the applicable floating rate period for the notes may bear little or no relation to historical actual or indicative data. Prior observed patterns, if any, in the behavior of market variables and their relation to SOFR, such as correlations, may change in the future. While some pre-publication historical data have been released by the FRBNY, such analysis inherently involves assumptions, estimates and approximations, and hypothetical or historical performance data are not indicative of, and have no bearing on, the potential performance of SOFR. The future performance of SOFR is therefore impossible to predict, and no future performance of SOFR may be inferred from any of the historical actual or indicative data. Changes in the levels of SOFR will affect the interest rate of the notes during the applicable floating rate period and accordingly will affect the return on the notes and the market price of the notes, but it is impossible to predict whether such levels will rise or fall.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notes, we are expressly authorized to make determinations, decisions or elections with respect to technical, administrative or operational matters that we decide are appropriate to reflect the use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Three-Month Term SOFR as the interest rate basis for the notes, which are defined in the terms of the notes as “Three-Month Term SOFR Conventions.” Our determination and implementation of any Three-Month Term SOFR Conventions could result in adverse consequences to the amount of interest that accrues on the notes during the applicable floating rate period, which could adversely affect the return on, value of and market for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Benchmark Replacement may not be the economic equivalent of Three-Month Term SOFR. </w:t>
      </w:r>
    </w:p>
    <w:p>
      <w:pPr>
        <w:pStyle w:val="TextBody"/>
        <w:bidi w:val="0"/>
        <w:spacing w:before="120" w:after="0"/>
        <w:jc w:val="left"/>
        <w:rPr>
          <w:rFonts w:ascii="Times New Roman" w:hAnsi="Times New Roman"/>
          <w:sz w:val="20"/>
        </w:rPr>
      </w:pPr>
      <w:r>
        <w:rPr>
          <w:rFonts w:ascii="Times New Roman" w:hAnsi="Times New Roman"/>
          <w:sz w:val="20"/>
        </w:rPr>
        <w:t xml:space="preserve">Under the benchmark transition provisions of the notes, if the Calculation Agent determines that a Benchmark Transition Event and its related Benchmark Replacement Date have occurred with respect to Three-Month Term SOFR, then the floating interest rate on the notes for each interest period during the floating rate period will be determined using the next-available Benchmark Replacement (which may include a related Benchmark Replacement Adjustment). However, the Benchmark Replacement may not be the economic equivalent of Three-Month Term SOFR. For example, Compounded SOFR, which is used as part of the first-available Benchmark Replacement, is the compounded average of the daily SOFR calculated in arrears, while Three-Month Term SOFR is intended to be a forward-looking rate with a tenor of three months. Further, the ISDA Fallback Rate, which is another Benchmark Replacement, may change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implementation of Benchmark Replacement Conforming Changes could adversely affect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Under the benchmark transition provisions of the notes, if Three-Month Term SOFR has been discontinued or if a particular Benchmark Replacement or Benchmark Replacement Adjustment cannot be determined, then the next-available Benchmark Replacement or Benchmark Replacement Adjustment will apply. These replacement rates and adjustments may be selected or formulated by: (i) the Relevant Governmental Body; (ii) ISDA; or (iii) in certain circumstances, us. In addition, the benchmark transition provisions expressly authorize us to make certain changes, which are defined in the terms of the notes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that accrues on the notes during any interest period during the floating rate period, which could adversely affect the yield on, value of and market for the notes. Further, there is no assurance that the characteristics of any Benchmark Replacement will be similar to the then-current Benchmark rate that it is replacing, or that any Benchmark Replacement will produce the economic equivalent of the then-current Benchmark rate that it is replacing. </w:t>
      </w:r>
    </w:p>
    <w:p>
      <w:pPr>
        <w:pStyle w:val="TextBody"/>
        <w:bidi w:val="0"/>
        <w:spacing w:before="240" w:after="0"/>
        <w:jc w:val="left"/>
        <w:rPr>
          <w:rFonts w:ascii="Times New Roman" w:hAnsi="Times New Roman"/>
          <w:sz w:val="20"/>
        </w:rPr>
      </w:pPr>
      <w:r>
        <w:rPr>
          <w:rFonts w:ascii="Times New Roman" w:hAnsi="Times New Roman"/>
          <w:sz w:val="20"/>
        </w:rPr>
        <w:t xml:space="preserve">Also, since SOFR is a relatively new market index, SOFR-linked debt securities likely will have no established trading market when issued, and an established trading market may never develop or may not be very liquid. Market terms for debt securities indexed to SOFR, such as the spread over the index reflected in interest rate provisions, may evolve over time, and trading prices of the notes may be lower than those of later-issued SOFR-linked debt securities as a result. Similarly, if SOFR does not prove to be widely used in securities similar to the notes, the trading price of the notes may be lower than those of debt securities linked to such rates that are more widely used. Debt securities indexed to SOFR (as the notes will be) may not be able to be sold at all or may not be able to be sold at prices that will provide a yield comparable to similar investments that have a developed secondary market, and may consequently suffer from increased pricing volatility and market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or an affiliate of ours will or could have authority to make determinations and elections that could affect the return on, value of and market for the notes.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notes, we may make certain determinations, decisions and elections with respect to the Benchmark rate on the notes during the floating rate period, including, without limitation, any determination, decision or election required to be made by the Calculation Agent that the Calculation Agent fails to make.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make any such determination, decision or election in our sole discretion, and any such determination, decision or election that we make could affect the amount of interest that accrues on the notes during any interest period in the floating rate period. If the Calculation Agent fails, when required, to make a determination that a Benchmark Transition Event and its related Benchmark Replacement Date have occurred, or fails, when required, to determine the Benchmark Replacement and Benchmark Replacement Adjustment, then we will make those determinations in our sole discretion. Furthermore, we or an affiliate of ours may assume the duties of Calculation Agent. We will act as the initial Calculation Agent and we cannot assure you that we will appoint an independent third-party Calculation Agent at any time. Any exercise of discretion by us under the terms of the notes, including, without limitation, any discretion exercised by us or by an affiliate acting as Calculation Agent, could present a conflict of interest. In making the required determinations, decisions and elections, we or an affiliate of ours acting as Calculation Agent may have economic interests that are adverse to the interest of the holders of the notes, and those determinations, decisions or elections could have a material adverse effect on the yield on, value of and market for the notes. All determinations, decisions or elections by us, or by us or an affiliate acting as Calculation Agent, under the terms of the notes will be conclusive and binding absent manifest error.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may be issued with original issue discount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issued with original issue discount for U.S. federal income tax purposes. In such case, holders subject to U.S. federal income taxation, whether on the cash or accrual method of tax accounting, generally would be required to include any amounts representing original issue discount in gross income (as ordinary income) as the original issue discount accrues on a constant yield to maturity basis, in advance of the receipt of cash payments to which such income is attributable.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toc32912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cash proceeds from the exchange offer. In consideration for issuing the New Notes as contemplated by this prospectus, we will receive in exchange Old Notes in like principal amount. We intend to cancel all Old Notes received in exchange for New Notes in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toc32912_8"/>
      <w:bookmarkEnd w:id="10"/>
      <w:r>
        <w:rPr>
          <w:rFonts w:ascii="Times New Roman" w:hAnsi="Times New Roman"/>
          <w:b/>
          <w:sz w:val="20"/>
        </w:rPr>
        <w:t xml:space="preserve">THE EXCHANGE OFFER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issuance of the Old Notes on August 14, 2025, we entered into a registration rights agreement with the initial purchasers of the Old Notes, which provides for the exchange offer we are making pursuant to this prospectus. The exchange offer will permit eligible holders of Old Notes to exchange their Old Notes for New Notes that are identical in all material respects with the Old Notes,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Notes have been registered with the SEC under the Securities Act and, as a result, will not bear any legend restricting their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Notes bear different CUSIP numbers from the Old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Notes generally will not be subject to transfer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Notes will not be entitled to registration rights under the registration rights agreement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New Notes will not be entitled to registration rights, holders of the New Notes will not have the right to additional interest under the circumstances described in the registration rights agreement relating to our fulfillment of our registration obligations.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New Notes will evidence the same debt as the Old Notes. Holders of the New Notes will be entitled to the benefits of the indenture. Accordingly, the New Notes and the Old Notes will be treated as a single series of debt securities under the indenture. Old Notes that are not tendered for exchange in the exchange offer will remain outstanding and interest on those Old Notes will continue to accrue at the applicable interest rate and be subject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does not depend on any minimum aggregate principal amount of Old Notes being tendered for exchange.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conduct the exchange offer in accordance with the provisions of the registration rights agreement and the applicable requirements of the Exchange Act, and the related rules and regulations of the SEC applicable to transactions of this type. </w:t>
      </w:r>
    </w:p>
    <w:p>
      <w:pPr>
        <w:pStyle w:val="TextBody"/>
        <w:bidi w:val="0"/>
        <w:spacing w:before="240" w:after="0"/>
        <w:jc w:val="left"/>
        <w:rPr>
          <w:rFonts w:ascii="Times New Roman" w:hAnsi="Times New Roman"/>
          <w:sz w:val="20"/>
        </w:rPr>
      </w:pPr>
      <w:r>
        <w:rPr>
          <w:rFonts w:ascii="Times New Roman" w:hAnsi="Times New Roman"/>
          <w:sz w:val="20"/>
        </w:rPr>
        <w:t xml:space="preserve">We will be deemed to have accepted validly tendered Old Notes when and if we have given oral or written notice to the exchange agent of our acceptance of such Old Notes. Subject to the terms and conditions of this exchange offer, delivery of New Notes will be made by the exchange agent promptly after receipt of our notice of acceptance. The exchange agent will act as agent for the holders of Old Notes tendering their Old Notes for the purpose of receiving New Notes from us in exchange for such tendered and accepted Old Notes. If any tendered Old Notes are not accepted for exchange because of an invalid tender, the occurrence of other events described in this prospectus or otherwise, we will return or cause to be returned the certificates for any unaccepted Old Notes, at our expense, to the tendering holder promptly after the expiration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If a holder of Old Notes validly tenders Old Notes in the exchange offer, the tendering holder will not be required to pay us brokerage commissions or fees. In addition, subject to the instructions in the letter of transmittal and certain limited exceptions described in this prospectus, the tendering holder will not have to pay transfer taxes for the exchange of Old Notes. Subject to certain exceptions described in this prospectus, we will pay all of the expenses in connection with the exchange offer, other than certain applicable taxes. See “—Fees and Expenses.” </w:t>
      </w:r>
    </w:p>
    <w:p>
      <w:pPr>
        <w:pStyle w:val="TextBody"/>
        <w:bidi w:val="0"/>
        <w:spacing w:before="240" w:after="0"/>
        <w:jc w:val="left"/>
        <w:rPr>
          <w:rFonts w:ascii="Times New Roman" w:hAnsi="Times New Roman"/>
          <w:sz w:val="20"/>
        </w:rPr>
      </w:pPr>
      <w:r>
        <w:rPr>
          <w:rFonts w:ascii="Times New Roman" w:hAnsi="Times New Roman"/>
          <w:sz w:val="20"/>
        </w:rPr>
        <w:t>Holders of outstanding Old Notes do not have any appraisal, dissenters’ or similar rights in connection with the exchange offer. Outstanding Old Notes which are not tendered, or are tendered but not accepted, in connection with the exchange offer will remain outstanding. See “Risk Factors—Risks Related to the Exchange Offer—If you do not properly tender your Old Notes, you will continue to hold unregistered Old Notes and your ability to transfer Old Notes will be adversely affected.”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WE ARE NOT MAKING ANY RECOMMENDATION TO THE HOLDERS OF THE OUTSTANDING OLD NOTES AS TO WHETHER TO TENDER OR REFRAIN FROM TENDERING ALL OR ANY PORTION OF THEIR OUTSTANDING OLD NOTES IN THE EXCHANGE OFFER. IN ADDITION, WE HAVE NOT AUTHORIZED ANYONE TO MAKE ANY SUCH RECOMMENDATION. HOLDERS OF THE OUTSTANDING OLD NOTES MUST MAKE THEIR OWN DECISION WHETHER TO TENDER PURSUANT TO THE EXCHANGE OFFER, AND, IF SO, THE AGGREGATE PRINCIPAL AMOUNT OF OUTSTANDING OLD NOTES TO TENDER AFTER READING THIS PROSPECTUS AND THE LETTER OF TRANSMITTAL AND CONSULTING WITH THEIR ADVISERS, IF ANY, BASED ON THEIR FINANCIAL POSITION AND INDIVIDUAL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provides a summary of certain terms of the registration rights agreement. This summary is qualified in its entirety by reference to the complete version of the registration rights agreement, which is incorporated by reference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registration rights agreement that we entered into with the purchasers of the Old Notes at the time we issued the Old Notes, we agreed to register the New Notes and undertake this exchange offer. This exchange offer is intended to satisfy the rights of holders of Old Notes under that registration rights agreement. After the exchange offer is completed, we will have no further obligations, except under the limited circumstances described below, to provide for any exchange or undertake any further registration with respect to the Old Notes.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registration rights agreement, we agreed, among other things,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 registration statement with the SEC under the Securities Act with respect to a registered offer to exchange the Old Notes for substantially identical notes that do not contain transfer restrictions and will be registered under the Securities Act no later than November 12, 2025, which is the 90th day after August 14,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our commercially reasonable efforts to cause that registration statement to become effective no later than January 11, 2026, which is the date that is 150 days after August 14,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cause such registration statement to remain effective until the closing of the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our commercially reasonable efforts to consummate the exchange offer no later than 45 days after the effective date of the exchange offer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also requires us to commence the exchange offer promptly after the effectiveness of the registration statement and to keep the exchange offer open for not less than 20 business days, or longer if required by applicable law, after the date on which notice of the exchange offer is mailed to the holders of the Old Notes. </w:t>
      </w:r>
    </w:p>
    <w:p>
      <w:pPr>
        <w:pStyle w:val="TextBody"/>
        <w:bidi w:val="0"/>
        <w:spacing w:before="240" w:after="0"/>
        <w:jc w:val="left"/>
        <w:rPr>
          <w:rFonts w:ascii="Times New Roman" w:hAnsi="Times New Roman"/>
          <w:sz w:val="20"/>
        </w:rPr>
      </w:pPr>
      <w:r>
        <w:rPr>
          <w:rFonts w:ascii="Times New Roman" w:hAnsi="Times New Roman"/>
          <w:sz w:val="20"/>
        </w:rPr>
        <w:t xml:space="preserve">We also agreed to issue and exchange New Notes for all Old Notes validly tendered and not validly withdrawn before the expiration of the exchange offer. We are sending this prospectus, together with a letter of transmittal, to all the holders of the Old Notes known to us. For each Old Note validly tendered to us in the exchange offer and not validly withdrawn, the holder will receive a New Note having a principal amount equal to the principal amount of the tendered Old Note. Old Notes may be exchanged, and New Notes will be issued, only in minimum denominations of $100,000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further agreed that under certain circumstances we would either file a shelf registration statement with the SEC or designate an existing effective shelf registration statement of ours that would allow resales by certain holders of the Old Notes in lieu of such holders participating in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Eligibility; 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We are making this exchange offer in reliance on interpretations of the staff of the SEC set forth in several no-action letters provided to other parties. We have not sought our own no-action letter from the staff of the SEC with respect to this particular exchange offer. However, based on these existing SEC staff interpretations, we believe that you, or any other person receiving New Notes, may offer for resale, resell or otherwise transfer the New Notes without complying with the registration and prospectus delivery requirements of the U.S. federal securities laws,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nor is any such person, our affiliate as such term is defined under Rule 405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or the person receiving the New Notes is, acquiring the New Notes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nor does any such person, have an arrangement or understanding with any person to participate in any distribution (within the meaning of the Securities Act) of the New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or any such person is not, a broker-dealer registered under the Exchange Act, and you are not engaged in or such person is not engaged in, and do not intend to engage in, any distribution (within the meaning of the Securities Act) of the New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acting on behalf of any person who could not truthfully make these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participate in the exchange offer, you must represent as a holder of Old Notes that each of these statements is true.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order for broker-dealers registered under the Exchange Act to participate in the exchange offer, each such broker-dealer must also (i) represent that it is participating in the exchange offer for its own account and is exchanging Old Notes acquired as a result of market-making activities or other trading activities; (ii) confirm that it has not entered into any arrangement or understanding with us or any of our affiliates to distribute the New Notes; and (iii) acknowledge that it will deliver a prospectus meeting the requirements of the Securities Act in connection with any resale of the New Notes. The letter of transmittal to be delivered in connection with a tender of the Old Notes states that by acknowledging that it will deliver, and by delivering, a prospectus, a broker-dealer will not be deemed to admit that it is an underwriter within the meaning of the Securities Act. This prospectus, as it may be amended or supplemented from time to time, may be used by a broker-dealer in connection with resale of the New Notes received in exchange for the Old Notes where such Old Notes were acquired by such broker-dealer as a result of market-making activities or other trading activities. We have agreed that, for a period of 180 days following the expiration date, we will use commercially reasonable efforts to maintain the effectiveness of the exchange offer registration statement to expedite or facilitate the disposition of any New Notes by such broker-dealers. </w:t>
      </w:r>
    </w:p>
    <w:p>
      <w:pPr>
        <w:pStyle w:val="TextBody"/>
        <w:bidi w:val="0"/>
        <w:spacing w:before="240" w:after="0"/>
        <w:jc w:val="left"/>
        <w:rPr>
          <w:rFonts w:ascii="Times New Roman" w:hAnsi="Times New Roman"/>
          <w:sz w:val="20"/>
        </w:rPr>
      </w:pPr>
      <w:r>
        <w:rPr>
          <w:rFonts w:ascii="Times New Roman" w:hAnsi="Times New Roman"/>
          <w:sz w:val="20"/>
        </w:rPr>
        <w:t xml:space="preserve">Any holder of Old Notes (i) who is our affiliate, (ii) who does not acquire the New Notes in the ordinary course of business, (iii) who intends to participate in the exchange offer for the purpose of distributing the New Notes or (iv) who is a broker-dealer who purchased the Old Notes directly from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able to rely on the interpretation of the staff of the SEC set forth in the no-action letters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able to tender Old Notes in the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comply with the registration and prospectus delivery requirements of the Securities Act in connection with any sale or transfer of the New Notes, unless the sale or transfer is made pursuant to an exemption from those requirements. </w:t>
            </w:r>
          </w:p>
        </w:tc>
      </w:tr>
    </w:tbl>
    <w:p>
      <w:pPr>
        <w:pStyle w:val="TextBody"/>
        <w:bidi w:val="0"/>
        <w:spacing w:before="240" w:after="0"/>
        <w:jc w:val="left"/>
        <w:rPr>
          <w:rFonts w:ascii="Times New Roman" w:hAnsi="Times New Roman"/>
          <w:sz w:val="20"/>
        </w:rPr>
      </w:pPr>
      <w:r>
        <w:rPr>
          <w:rFonts w:ascii="Times New Roman" w:hAnsi="Times New Roman"/>
          <w:sz w:val="20"/>
        </w:rPr>
        <w:t>The exchange offer is not being made to, nor will we accept tenders for exchange from, holders of Old Notes in any jurisdiction in which the exchange offer or the acceptance of the exchange offer would not be in compliance with the securities or blue sky laws of such jurisdiction.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Expiration of the Exchange Offer; Extensions; Amendments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offer will expire at 11:59 p.m., New York City time on   , 202 , which we refer to as the “expiration date,” unless we extend the exchange offer. If we extend the exchange offer, the expiration date will be the latest date and time to which the exchange offer is extended. To extend the exchange offer, we will notify the exchange agent and each registered holder of the Old Notes of any extension before 9:00 a.m., New York City time on the next business day after the previously scheduled expiration date. During any such extension, all Old Notes previously tendered will remain subject to the exchange offer and may be accepted for exchange by us. </w:t>
      </w:r>
    </w:p>
    <w:p>
      <w:pPr>
        <w:pStyle w:val="TextBody"/>
        <w:bidi w:val="0"/>
        <w:spacing w:before="240" w:after="0"/>
        <w:jc w:val="left"/>
        <w:rPr>
          <w:rFonts w:ascii="Times New Roman" w:hAnsi="Times New Roman"/>
          <w:sz w:val="20"/>
        </w:rPr>
      </w:pPr>
      <w:r>
        <w:rPr>
          <w:rFonts w:ascii="Times New Roman" w:hAnsi="Times New Roman"/>
          <w:sz w:val="20"/>
        </w:rPr>
        <w:t xml:space="preserve">We reserve the right to extend the exchange offer, delay accepting any tendered Old Notes or, if any of the conditions described below under the heading “—Conditions” have not been satisfied, to terminate the exchange offer. We also reserve the right to amend the terms of the exchange offer in any manner. We will give oral or written notice of any delay, extension, termination or amendment to the exchange agent. We will keep the exchange offer open for not less than 20 business days, or longer if required by applicable law, after the date on which notice of the exchange offer is mailed to holders of the Old Notes. </w:t>
      </w:r>
    </w:p>
    <w:p>
      <w:pPr>
        <w:pStyle w:val="TextBody"/>
        <w:bidi w:val="0"/>
        <w:spacing w:before="240" w:after="0"/>
        <w:jc w:val="left"/>
        <w:rPr>
          <w:rFonts w:ascii="Times New Roman" w:hAnsi="Times New Roman"/>
          <w:sz w:val="20"/>
        </w:rPr>
      </w:pPr>
      <w:r>
        <w:rPr>
          <w:rFonts w:ascii="Times New Roman" w:hAnsi="Times New Roman"/>
          <w:sz w:val="20"/>
        </w:rPr>
        <w:t xml:space="preserve">If we amend the exchange offer in a manner that we consider material, we will disclose that amendment by means of a prospectus supplement, and we will extend the exchange offer so that at least five business days remain in the exchange offer following notice of the material change. </w:t>
      </w:r>
    </w:p>
    <w:p>
      <w:pPr>
        <w:pStyle w:val="TextBody"/>
        <w:bidi w:val="0"/>
        <w:spacing w:before="240" w:after="0"/>
        <w:jc w:val="left"/>
        <w:rPr>
          <w:rFonts w:ascii="Times New Roman" w:hAnsi="Times New Roman"/>
          <w:sz w:val="20"/>
        </w:rPr>
      </w:pPr>
      <w:r>
        <w:rPr>
          <w:rFonts w:ascii="Times New Roman" w:hAnsi="Times New Roman"/>
          <w:sz w:val="20"/>
        </w:rPr>
        <w:t xml:space="preserve">If we determine to make a public announcement of any delay, extension, amendment or termination of the exchange offer, we will do so by making a timely release through an appropriate news agency. </w:t>
      </w:r>
    </w:p>
    <w:p>
      <w:pPr>
        <w:pStyle w:val="TextBody"/>
        <w:bidi w:val="0"/>
        <w:spacing w:before="240" w:after="0"/>
        <w:jc w:val="left"/>
        <w:rPr>
          <w:rFonts w:ascii="Times New Roman" w:hAnsi="Times New Roman"/>
          <w:sz w:val="20"/>
        </w:rPr>
      </w:pPr>
      <w:r>
        <w:rPr>
          <w:rFonts w:ascii="Times New Roman" w:hAnsi="Times New Roman"/>
          <w:sz w:val="20"/>
        </w:rPr>
        <w:t xml:space="preserve">If we terminate or withdraw the exchange offer, we will promptly pay the consideration offered, or return any Old Notes deposited, under the exchange offer as required by Rule 14e-1(c)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offer is not conditioned on any minimum aggregate principal amount of Old Notes being tendered or accepted for exchange. Notwithstanding any other term of the exchange offer, we will not be required to accept for exchange, or issue any New Notes for, any Old Notes, and may terminate or amend the exchange offer before the acceptance of the Old Notes,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Old Notes are tendered to us other than in accordance with the terms and conditions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that the exchange offer violates any law, statute, rule, regulation or interpretation by the staff of the SEC;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or proceeding is instituted or threatened in any court or by or before any governmental agency relating to the exchange offer which, in our judgment, could reasonably be expected to impair our ability to proceed with the exchange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listed above are for our sole benefit and may be asserted by us regardless of the circumstances giving rise to any of these conditions. We may waive these conditions in our absolute discretion in whole or in part at any time and from time to time prior to the expiration date. Our failure at any time to exercise any of the above rights will not be considered a waiver of that right, and that right will be considered an ongoing right which we may assert at any time and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accept for exchange any Old Notes tendered, and no New Notes will be issued in exchange for those Old Notes, if at any time any stop order is threatened or issued by the SEC with respect to the registration statement for the exchange offer and the New Notes or the qualification of the indenture under the Trust Indenture Act of 1939 (the “Trust Indenture Act”). In any such event, we must use our commercially reasonable efforts to obtain the withdrawal of any stop order as soon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we will not be obligated to accept for exchange the Old Notes of any holder that has not made to us the representations described under “—Eligibility; Transferability” and “Plan of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Tendering Old Notes </w:t>
      </w:r>
    </w:p>
    <w:p>
      <w:pPr>
        <w:pStyle w:val="TextBody"/>
        <w:bidi w:val="0"/>
        <w:spacing w:before="120" w:after="0"/>
        <w:jc w:val="left"/>
        <w:rPr>
          <w:rFonts w:ascii="Times New Roman" w:hAnsi="Times New Roman"/>
          <w:sz w:val="20"/>
        </w:rPr>
      </w:pPr>
      <w:r>
        <w:rPr>
          <w:rFonts w:ascii="Times New Roman" w:hAnsi="Times New Roman"/>
          <w:sz w:val="20"/>
        </w:rPr>
        <w:t xml:space="preserve">In order to participate in the exchange offer, you must validly tender your Old Notes to the exchange agent as described below. It is your responsibility to validly tender your Old Notes. We have the right to waive any defects. However, we are not required to waive defects and are not required to notify you of defects in your tender.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help in exchanging your Old Notes, please call the exchange agent, whose address and phone number are set forth in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Old Notes were issued in book-entry form and are currently represented by global certificates held for the account of DTC. Accordingly, DTC will be the only entity that can tender your Old Notes for New Notes. Therefore, to tender Old Notes subject to the exchange offer and to obtain New Notes you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DTC’s ATOP procedures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agent must receive a timely confirmation of a book-entry transfer of the Old Notes into its account at DTC through ATOP pursuant to the procedure for book-entry transfer described below, along with a properly transmitted “agent’s message” (as defined below), before the expiration date of the exchange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receipt, the exchange agent will establish an ATOP account with DTC for purposes of the exchange offer promptly after the commencement of the exchange offer. Any financial institution that is a DTC participant, including your broker or bank, may make a book-entry tender of outstanding Old Notes by causing the book-entry transfer of such Old Notes into our ATOP account in accordance with DTC’s procedures for such transfers. In connection with the transfer, DTC must send an “agent’s message” to the exchange agent on or prior to 11:59 p.m., New York City time, on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The term “agent’s message” means a message transmitted by the DTC participants to DTC, and thereafter transmitted by DTC to the exchange agent, which states that DTC has received an express acknowledgement from the participant stating that such participant and beneficial holder agree to be bound by the terms of the exchange offer, including the letter of transmittal, and that the agreement may be enforced against such participant. </w:t>
      </w:r>
    </w:p>
    <w:p>
      <w:pPr>
        <w:pStyle w:val="TextBody"/>
        <w:bidi w:val="0"/>
        <w:spacing w:before="240" w:after="0"/>
        <w:jc w:val="left"/>
        <w:rPr>
          <w:rFonts w:ascii="Times New Roman" w:hAnsi="Times New Roman"/>
          <w:sz w:val="20"/>
        </w:rPr>
      </w:pPr>
      <w:r>
        <w:rPr>
          <w:rFonts w:ascii="Times New Roman" w:hAnsi="Times New Roman"/>
          <w:sz w:val="20"/>
        </w:rPr>
        <w:t xml:space="preserve">Each agent’s message must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of the beneficial owner tendering such Old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 number of the beneficial owner tendering such Old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principal amount of Old Notes tendered by such beneficial owner;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confirmation that the beneficial owner of the Old Notes has made the representations for our benefit set forth under “—Representations”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delivery of the Old Notes through DTC, and any transmission of an agent’s message through ATOP, is at the election and risk of the person tendering Old Notes. 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after the expiration or termination of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tender by a holder of Old Notes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By using the ATOP procedures to exchange Old Notes, you will not be required to deliver a letter of transmittal to the exchange agent. However, you will be bound by its terms, and you will be deemed to have made the acknowledgements and the representations and warranties it contains, just as if you had signed it.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Old Notes were issued in physical form to certain initial purchasers. Accordingly, such holders of Old Notes must physically tender their Old Notes for New Notes. Therefore, to tender Old Notes represented in physical form subject to the exchange offer and to obtain New Notes you must transmit to the exchange agent, at its address listed under “—Exchange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physical Old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properly completed and duly executed letter of transmittal;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documents required by the letter of transmittal.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tender by a holder of Old Notes represented in physical form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You will be required to deliver the physical note and a letter of transmittal to the exchange agent and will be bound by the letter of transmittal terms. </w:t>
      </w:r>
    </w:p>
    <w:p>
      <w:pPr>
        <w:pStyle w:val="TextBody"/>
        <w:bidi w:val="0"/>
        <w:spacing w:before="240" w:after="0"/>
        <w:jc w:val="left"/>
        <w:rPr>
          <w:rFonts w:ascii="Times New Roman" w:hAnsi="Times New Roman"/>
          <w:sz w:val="20"/>
        </w:rPr>
      </w:pPr>
      <w:r>
        <w:rPr>
          <w:rFonts w:ascii="Times New Roman" w:hAnsi="Times New Roman"/>
          <w:sz w:val="20"/>
        </w:rPr>
        <w:t xml:space="preserve">There is no procedure for guaranteed late delivery of the Old Notes. </w:t>
      </w:r>
    </w:p>
    <w:p>
      <w:pPr>
        <w:pStyle w:val="TextBody"/>
        <w:bidi w:val="0"/>
        <w:spacing w:before="240" w:after="0"/>
        <w:jc w:val="left"/>
        <w:rPr>
          <w:rFonts w:ascii="Times New Roman" w:hAnsi="Times New Roman"/>
          <w:sz w:val="20"/>
        </w:rPr>
      </w:pPr>
      <w:r>
        <w:rPr>
          <w:rFonts w:ascii="Times New Roman" w:hAnsi="Times New Roman"/>
          <w:sz w:val="20"/>
        </w:rPr>
        <w:t xml:space="preserve">We will determine all questions as to the validity, form, eligibility (including time of receipt) and acceptance and withdrawal of tendered Old Notes in our sole discretion. We reserve the absolute right to reject any and all Old Notes not properly tendered or any Old Notes whose acceptance by us would, in the opinion of our counsel, be unlawful. We also reserve the right to waive any defects, irregularities or conditions of tender as to any particular Old Notes either before or after the expiration date. Our interpretation of the terms and conditions of the exchange offer (including the instructions in the accompanying letter of transmittal) will be final and binding on all parties. Unless waived, any defects or irregularities in connection with tenders of Old Notes must be cured within a time period we will reasonably determine. Although we intend to request the exchange agent to notify holders of defects or irregularities relating to tenders of Old Notes, neither we, the exchange agent nor any other person will have any duty or incur any liability for failure to give such notification. Tenders of Old Notes will not be considered to have been made until such defects or irregularities have been cured or waived. If we waive any terms or conditions with respect to a noteholder, we will extend the same waiver to all noteholders with respect to that term or condition. Any Old Notes received by the exchange agent that are not validly tendered and as to which the defects or irregularities have not been cured or waived will be returned by the exchange agent, without expense, to the tendering holders, unless otherwise provided in the accompanying letter of transmittal, promptly following the expiration date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w:t>
      </w:r>
    </w:p>
    <w:p>
      <w:pPr>
        <w:pStyle w:val="TextBody"/>
        <w:bidi w:val="0"/>
        <w:spacing w:before="120" w:after="0"/>
        <w:jc w:val="left"/>
        <w:rPr>
          <w:rFonts w:ascii="Times New Roman" w:hAnsi="Times New Roman"/>
          <w:sz w:val="20"/>
        </w:rPr>
      </w:pPr>
      <w:r>
        <w:rPr>
          <w:rFonts w:ascii="Times New Roman" w:hAnsi="Times New Roman"/>
          <w:sz w:val="20"/>
        </w:rPr>
        <w:t xml:space="preserve">By tendering Old Notes, each holder is deemed to have represented to us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nor is any such person, our affiliate as such term is defined under Rule 405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or the person receiving the New Notes is, acquiring the New Notes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nor does any such person, have an arrangement or understanding with any person to participate in any distribution (within the meaning of the Securities Act) of the New Notes;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broker-dealer that will receive New Notes for your own account in exchange for Old Notes, you acquired those New Notes as a result of market-making or other trading activities and you will deliver a prospectus (or to the extent permitted by law, make available a prospectus to purchasers) in connection with any resale of such New Notes.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Proper Execution and Delivery of Letter of Transmittal </w:t>
      </w:r>
    </w:p>
    <w:p>
      <w:pPr>
        <w:pStyle w:val="TextBody"/>
        <w:bidi w:val="0"/>
        <w:spacing w:before="120" w:after="0"/>
        <w:jc w:val="left"/>
        <w:rPr>
          <w:rFonts w:ascii="Times New Roman" w:hAnsi="Times New Roman"/>
          <w:sz w:val="20"/>
        </w:rPr>
      </w:pPr>
      <w:r>
        <w:rPr>
          <w:rFonts w:ascii="Times New Roman" w:hAnsi="Times New Roman"/>
          <w:sz w:val="20"/>
        </w:rPr>
        <w:t xml:space="preserve">Generally, an eligible institution must guarantee signatures on a letter of transmittal or notice of withdrawal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tender your Old Notes as the registered holder and the New Notes issued in exchange for your Old Notes are to be issued in your name and delivered to you at your registered address appearing on the security register for the Old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tender your Old Notes for the account of an eligible institution. </w:t>
            </w:r>
          </w:p>
        </w:tc>
      </w:tr>
    </w:tbl>
    <w:p>
      <w:pPr>
        <w:pStyle w:val="TextBody"/>
        <w:bidi w:val="0"/>
        <w:spacing w:before="240" w:after="0"/>
        <w:jc w:val="left"/>
        <w:rPr>
          <w:rFonts w:ascii="Times New Roman" w:hAnsi="Times New Roman"/>
          <w:sz w:val="20"/>
        </w:rPr>
      </w:pPr>
      <w:r>
        <w:rPr>
          <w:rFonts w:ascii="Times New Roman" w:hAnsi="Times New Roman"/>
          <w:sz w:val="20"/>
        </w:rPr>
        <w:t>For the purposes of this prospectus, an “eligible institution” means an “eligible guarantor institution” as defined by Rule 17Ad-15 under the Exchange Act which is a member of a recognized signature guarantee program (</w:t>
      </w:r>
      <w:r>
        <w:rPr>
          <w:rFonts w:ascii="Times New Roman" w:hAnsi="Times New Roman"/>
          <w:i/>
          <w:sz w:val="20"/>
        </w:rPr>
        <w:t>e.g.</w:t>
      </w:r>
      <w:r>
        <w:rPr>
          <w:rFonts w:ascii="Times New Roman" w:hAnsi="Times New Roman"/>
          <w:sz w:val="20"/>
        </w:rPr>
        <w:t xml:space="preserve">, Securities Transfer Agents Medallion Program, Stock Exchange Medallion Program or New York Stock Exchange Medallion Signature Program). </w:t>
      </w:r>
    </w:p>
    <w:p>
      <w:pPr>
        <w:pStyle w:val="TextBody"/>
        <w:bidi w:val="0"/>
        <w:spacing w:before="240" w:after="0"/>
        <w:jc w:val="left"/>
        <w:rPr>
          <w:rFonts w:ascii="Times New Roman" w:hAnsi="Times New Roman"/>
          <w:sz w:val="20"/>
        </w:rPr>
      </w:pPr>
      <w:r>
        <w:rPr>
          <w:rFonts w:ascii="Times New Roman" w:hAnsi="Times New Roman"/>
          <w:sz w:val="20"/>
        </w:rPr>
        <w:t xml:space="preserve">If the letter of transmittal is signed by the holder(s) of Old Notes tendered thereby, the signature(s) must correspond with the name(s) as written on the face of the Old Notes without alteration, enlargement or any change whatsoever. If any of the Old Notes tendered are held by two or more holders, all such holders must sign the letter of transmittal. If any of the Old Notes tendered thereby are registered in different names on different Old Notes, it will be necessary to complete, sign and submit as many separate letters of transmittal, and any accompanying documents, as there are different registrations of certificates. </w:t>
      </w:r>
    </w:p>
    <w:p>
      <w:pPr>
        <w:pStyle w:val="TextBody"/>
        <w:bidi w:val="0"/>
        <w:spacing w:before="240" w:after="0"/>
        <w:jc w:val="left"/>
        <w:rPr>
          <w:rFonts w:ascii="Times New Roman" w:hAnsi="Times New Roman"/>
          <w:sz w:val="20"/>
        </w:rPr>
      </w:pPr>
      <w:r>
        <w:rPr>
          <w:rFonts w:ascii="Times New Roman" w:hAnsi="Times New Roman"/>
          <w:sz w:val="20"/>
        </w:rPr>
        <w:t>If Old Notes that are not tendered for exchange under the exchange offer are to be returned to a person other than the holder thereof, certificates for such Old Notes must be endorsed or accompanied by an appropriate instrument of transfer, signed exactly as the name of the registered owner appears on the certificates, with the signatures on the certificates or instruments of transfer guaranteed by an eligible institution.</w:t>
      </w:r>
    </w:p>
    <w:p>
      <w:pPr>
        <w:pStyle w:val="TextBody"/>
        <w:bidi w:val="0"/>
        <w:spacing w:before="240" w:after="0"/>
        <w:jc w:val="left"/>
        <w:rPr>
          <w:rFonts w:ascii="Times New Roman" w:hAnsi="Times New Roman"/>
          <w:sz w:val="20"/>
        </w:rPr>
      </w:pPr>
      <w:r>
        <w:rPr>
          <w:rFonts w:ascii="Times New Roman" w:hAnsi="Times New Roman"/>
          <w:sz w:val="20"/>
        </w:rPr>
        <w:t xml:space="preserve">If the letter of transmittal is signed by a person other than the holder of any Old Notes listed therein, those Old Notes must be properly endorsed or accompanied by a properly completed bond power, signed by such holder exactly as such holder’s name appears on such Old Notes. If the letter of transmittal or any Old Notes, bond powers or other instruments of transfer are signed by trustees, executors, administrators, guardians, attorneys-in-fact, officers of corporations or others acting in a fiduciary or representative capacity, those persons should so indicate when signing, and, unless waived by us, evidence satisfactory to us of their authority to so act must be submitted with the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No alternative, conditional, irregular or contingent tenders will be accepted. By executing the letter of transmittal (or facsimile thereof), the tendering holders of Old Notes waive any right to receive any notice of the acceptance for exchange of their Old Notes. Tendering holders should indicate in the applicable box in the letter of transmittal the name and address to which payments and/or substitute certificates evidencing Old Notes for amounts not tendered or not exchanged are to be issued or sent, if different from the name and address of the person signing the letter of transmittal. If no such instructions are given, Old Notes not tendered or exchanged will be returned to the tendering holder. </w:t>
      </w:r>
    </w:p>
    <w:p>
      <w:pPr>
        <w:pStyle w:val="TextBody"/>
        <w:bidi w:val="0"/>
        <w:spacing w:before="240" w:after="0"/>
        <w:jc w:val="left"/>
        <w:rPr>
          <w:rFonts w:ascii="Times New Roman" w:hAnsi="Times New Roman"/>
          <w:sz w:val="20"/>
        </w:rPr>
      </w:pPr>
      <w:r>
        <w:rPr>
          <w:rFonts w:ascii="Times New Roman" w:hAnsi="Times New Roman"/>
          <w:sz w:val="20"/>
        </w:rPr>
        <w:t xml:space="preserve">All questions as to the validity, form, eligibility (including time of receipt), and acceptance and withdrawal of tendered Old Notes will be determined by us in our absolute discretion, which determination will be final and binding. We reserve the absolute right to reject any and all tendered Old Notes determined by us not to be in proper form or not to be properly tendered or any tendered Old Notes our acceptance of which would,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opinion of our counsel, be unlawful. We also reserve the right to waive, in our absolute discretion, any defects, irregularities or conditions of tender as to particular Old Notes, whether or not waived in the case of other Old Notes. Our interpretation of the terms and conditions of the exchange offer (including the instructions in the letter of transmittal) will be final and binding on all parties. Unless waived, any defects or irregularities in connection with tenders of Old Notes must be cured within such time as we will determine. Although we intend to notify holders of defects or irregularities with respect to tenders of Old Notes, neither we, the exchange agent nor any other person will be under any duty to give such notification or will incur any liability for failure to give any such notification. Tenders of Old Notes will not be deemed to have been made until such defects or irregularities have been cured or waived. Any holder whose Old Notes have been mutilated, lost, stolen or destroyed will be responsible for obtaining replacement securities or for arranging for indemnification with the trustee of the Old Notes. Holders may contact the exchange agent for assistance with these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Tenders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this prospectus, you may validly withdraw your tender of Old Notes at any time prior to 11:59 p.m., New York City time, on the expiration date of the exchange offer. For a withdrawal for Old Notes represented by global certificates to be effective you must comply with the appropriate procedures of DTC’s ATOP system prior to 11:59 p.m., New York City time, on the expiration date of the exchange offer. Any such notice of withdrawal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of the tendering holder of Old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Old Notes delivered for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and number of the account at DTC to be credited with the withdrawn Old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such holder is withdrawing its election to have such Old Notes exchanged.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 withdrawal to be effective for Old Notes represented by physical certificates you must comply with the appropriate procedures prior to 11:59 p.m., New York City time, on the expiration date of the exchange offer. Any such notice of withdrawal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of the tendering holder of Old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Old Notes delivered for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such holder is withdrawing its election to have such Old Notes exchanged.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determine all questions as to the validity, form and eligibility (including time of receipt) of such withdrawal notices. Any Old Notes so withdrawn will be considered not to have been validly tendered for purposes of the applicable exchange offer, and no New Notes will be issued in exchange for such Old Notes unless the Old Notes withdrawn are validly re-tendered. Any Old Notes which have been tendered but which are not accepted for exchange or which are withdrawn will be returned to the holder, without expense to such holder, promptly after withdrawal, rejection of tender or termination of the applicable exchange offer. Validly withdrawn Old Notes may be re-tendered by following one of the procedures described above under “—Procedures for Tendering” at any time prior to the expiration date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Agent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National Association, has been appointed the exchange agent for this exchange offer. Letters of transmittal and all correspondence in connection with this exchange offer should be sent or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each holder of Old Notes, or a beneficial owner’s commercial bank, broker, dealer, trust company or other nominee, to the exchange agent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By Registered or Certified Mail, Overnight</w:t>
              <w:br/>
              <w:t>Courier, or Hand Delivery: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Wilmington Trust, National Association</w:t>
              <w:br/>
              <w:t>Rodney Square North</w:t>
              <w:br/>
              <w:t>1100 North Market Street</w:t>
              <w:br/>
              <w:t xml:space="preserve">Wilmington, Delaware 19890 </w:t>
              <w:br/>
              <w:t>Attention: Workflow Management – 5th Floor</w:t>
            </w:r>
          </w:p>
        </w:tc>
      </w:tr>
      <w:tr>
        <w:trPr/>
        <w:tc>
          <w:tcPr>
            <w:tcW w:w="5204" w:type="dxa"/>
            <w:tcBorders/>
          </w:tcPr>
          <w:p>
            <w:pPr>
              <w:pStyle w:val="TableContents"/>
              <w:bidi w:val="0"/>
              <w:spacing w:before="0" w:after="283"/>
              <w:jc w:val="left"/>
              <w:rPr/>
            </w:pPr>
            <w:r>
              <w:rPr/>
              <w:t>Telephone: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(302) 636-6470</w:t>
            </w:r>
          </w:p>
        </w:tc>
      </w:tr>
      <w:tr>
        <w:trPr/>
        <w:tc>
          <w:tcPr>
            <w:tcW w:w="5204" w:type="dxa"/>
            <w:tcBorders/>
          </w:tcPr>
          <w:p>
            <w:pPr>
              <w:pStyle w:val="TableContents"/>
              <w:bidi w:val="0"/>
              <w:spacing w:before="0" w:after="283"/>
              <w:jc w:val="left"/>
              <w:rPr/>
            </w:pPr>
            <w:r>
              <w:rPr/>
              <w:t>Email: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DTC@Wilmingtontrust.com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Delivery to an address other than as listed above does not constitute a valid delivery. We will pay the exchange agent reasonable and customary fees for its services and will reimburse it for its reasonable, out-of-pocket expenses in connection with this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bear the expenses of soliciting tenders of the Old Notes and issuance of the New Notes. The principal solicitation is being made by mail. However, we may make additional solicitations by email, telephone or in person by our officers and employees and those of our affiliates. </w:t>
      </w:r>
    </w:p>
    <w:p>
      <w:pPr>
        <w:pStyle w:val="TextBody"/>
        <w:bidi w:val="0"/>
        <w:spacing w:before="240" w:after="0"/>
        <w:jc w:val="left"/>
        <w:rPr>
          <w:rFonts w:ascii="Times New Roman" w:hAnsi="Times New Roman"/>
          <w:sz w:val="20"/>
        </w:rPr>
      </w:pPr>
      <w:r>
        <w:rPr>
          <w:rFonts w:ascii="Times New Roman" w:hAnsi="Times New Roman"/>
          <w:sz w:val="20"/>
        </w:rPr>
        <w:t xml:space="preserve">We have not retained any dealer-manager in connection with the exchange offer and will not make any payments to broker-dealers or others soliciting acceptances of the exchange offer. As indicated above, we will, however, pay the exchange agent reasonable and customary fees for its services and reimburse it for its related reasonable out-of-pocket expenses. We will also pay any other cash expenses that we incur in connection with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we will pay all transfer taxes, if any, applicable to the exchange of Old Notes under the exchange offer. The tendering holder will be required to pay any transfer taxes, whether imposed on the registered holder or any other person,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Notes and/or substitute Old Notes not exchanged are to be delivered to, or registered or issued in the name of, any person other than the registered holder of the Old Notes so exchanged;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tendered Old Notes are registered in the name of any person other than the person signing the letter of transmittal;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transfer tax is imposed for any reason other than the exchange of Old Notes under the exchange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satisfactory evidence of payment of transfer taxes is not submitted with the letter of transmittal, the amount of any transfer taxes will be billed to the tendering holder.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We will record the New Notes at the same carrying value as the Old Notes reflected in our accounting records on the date of the exchange. Accordingly, we will not recognize any gain or loss for accounting purposes upon completion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of Failure to Exchange </w:t>
      </w:r>
    </w:p>
    <w:p>
      <w:pPr>
        <w:pStyle w:val="TextBody"/>
        <w:bidi w:val="0"/>
        <w:spacing w:before="120" w:after="0"/>
        <w:jc w:val="left"/>
        <w:rPr>
          <w:rFonts w:ascii="Times New Roman" w:hAnsi="Times New Roman"/>
          <w:sz w:val="20"/>
        </w:rPr>
      </w:pPr>
      <w:r>
        <w:rPr>
          <w:rFonts w:ascii="Times New Roman" w:hAnsi="Times New Roman"/>
          <w:sz w:val="20"/>
        </w:rPr>
        <w:t xml:space="preserve">Old Notes that are not exchanged will remain “restricted securities” within the meaning of Rule 144(a)(3)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Accordingly, they may not be offered, sold, pledged or otherwise transferred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us or to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 registration statement which has been declared effective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the Old Notes are eligible for resale pursuant to Rule 144A under the Securities Act, to a person the holder of the Old Notes and any person acting on its behalf reasonably believes is a “qualified institutional buyer” as defined in Rule 144A, that purchases for its own account or for the account of another qualified institutional buyer, in each case to whom notice is given that the transfer is being made in reliance on Rule 144A;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any other available exemption from the registration requirements of the Securities Act (in which case we and the trustee shall have the right to require the delivery of an opinion of counsel (at the holder’s sole cost), certifications and/or other information satisfactory to us and the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subject to compliance with any applicable foreign, state or other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exchange offer, due to the restrictions on transfer of the Old Notes and the absence of such restrictions applicable to the New Notes, it is likely that the market, if any, for Old Notes will be relatively less liquid than the market for New Notes. Consequently, holders of Old Notes who do not participate in the exchange offer could experience significant diminution in the value of their Old Notes, compared to the value of the New Notes. The holders of Old Notes not tendered will have no further registration rights, except that, under limited circumstances specified in the registration rights agreement, we may be required to file a shelf registration statement for a continuous offer of Old Notes.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Regarding the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we are effecting the exchange offer to comply with the registration rights agreement. The registration rights agreement requires us to cause an exchange offer registration statement to be filed with the SEC under the Securities Act, use our commercially reasonable efforts to cause the registration statement to become effective, and satisfy certain other obligations, within certain time periods.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is not filed with the SEC on or prior November 12, 2025, which is the 90th day after August 14,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has not been declared effective by the SEC on or prior to January 11, 2026, which is the 150th day after August 14, 2025;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is not completed on or prior to the 45th day following the effective date of the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the interest rate on the Old Notes will be increased by a rate of 0.25% per annum immediately following such registration default and will increase by 0.25% per annum immediately following each 90-day period during which additional interest accrues, but in no event will such increase exceed 0.50% per annum. Following the cure of all such registration defaults, the accrual of additional interest will cease and the interest rate will be immediately reduced to the original interest rate borne by the Old Notes.</w:t>
      </w:r>
    </w:p>
    <w:p>
      <w:pPr>
        <w:pStyle w:val="TextBody"/>
        <w:bidi w:val="0"/>
        <w:spacing w:before="240" w:after="0"/>
        <w:jc w:val="left"/>
        <w:rPr>
          <w:rFonts w:ascii="Times New Roman" w:hAnsi="Times New Roman"/>
          <w:sz w:val="20"/>
        </w:rPr>
      </w:pPr>
      <w:r>
        <w:rPr>
          <w:rFonts w:ascii="Times New Roman" w:hAnsi="Times New Roman"/>
          <w:sz w:val="20"/>
        </w:rPr>
        <w:t xml:space="preserve">Our obligation to register the New Notes will terminate upon completion of the exchange offer. However, under certain limited circumstances specified in the registration rights agreement, we may be required to file a shelf registration statement for a continuous offer in connection with the Old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toc32912_9"/>
      <w:bookmarkEnd w:id="11"/>
      <w:r>
        <w:rPr>
          <w:rFonts w:ascii="Times New Roman" w:hAnsi="Times New Roman"/>
          <w:b/>
          <w:sz w:val="20"/>
        </w:rPr>
        <w:t xml:space="preserve">DESCRIPTION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On August 14, 2025, we issued $40 million in aggregate principal amount of our 7.625% Fixed-to-Floating Rate Subordinated Notes due 2035, which we have referred to in this prospectus as the Old Notes. The Old Notes were issued in a private placement transaction to certain institutional accredited investors and qualified institutional buyers, and as such, were not registered under the Securities Act. The Old Notes were issued under an indenture dated August 14, 2025, between the Company, as issuer, and Wilmington Trust, National Association, as trustee, which we have referred to in this prospectus as the “indenture.” The term “notes” refers collectively to the Old Notes and the New Notes. </w:t>
      </w:r>
    </w:p>
    <w:p>
      <w:pPr>
        <w:pStyle w:val="TextBody"/>
        <w:bidi w:val="0"/>
        <w:spacing w:before="240" w:after="0"/>
        <w:jc w:val="left"/>
        <w:rPr>
          <w:rFonts w:ascii="Times New Roman" w:hAnsi="Times New Roman"/>
          <w:sz w:val="20"/>
        </w:rPr>
      </w:pPr>
      <w:r>
        <w:rPr>
          <w:rFonts w:ascii="Times New Roman" w:hAnsi="Times New Roman"/>
          <w:sz w:val="20"/>
        </w:rPr>
        <w:t xml:space="preserve">The New Notes will be issued under the indenture and will evidence the same debt as the Old Notes. The terms of the New Notes are identical in all material respects to those of the Old Notes,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Notes have been registered with the SEC under the Securities Act and, as a result, will not bear any legend restricting their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Notes bear different CUSIP numbers from the Old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Notes generally will not be subject to transfer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Notes will not be entitled to registration rights under the registration rights agreement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New Notes will not be entitled to registration rights, holders of the New Notes will not have the right to additional interest under the circumstances described in the registration rights agreement relating to our fulfillment of our registration obligations.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New Notes will be issued only in registered form without coupons and in minimum denominations of $100,000 and any integral multiple of $1,000 in excess thereof. Unless otherwise required for institutional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New Notes include those stated in the indenture and those made part of the indenture by reference to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provides a summary of certain terms of the indenture and the New Notes. This summary is qualified in its entirety by reference to the complete version of the indenture, which is incorporated by reference as an exhibit to the registration statement of which this prospectus is a part, and to the form of New Notes, which is included as an exhibit to the registration statement of which this prospectus is a part. We urge you to read the indenture and the form of New Notes because those documents, not this summary description, define your rights as holders of the New Notes. Whenever we refer to the defined terms of the indenture in this prospectus without defining them, the terms have the meanings given to them in the indenture. You must look to the indenture for the most complete description of the information summarized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offer for the New Notes will be for up to $40 million in aggregate principal amount of the Old Notes. The New Notes, together with any Old Notes that remain outstanding after the exchange offer, will be treated as a single class for all purposes of the indenture, including, without limitation, waivers, consents, amendments, redemptions and offers to purchase.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Maturity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New Notes have materially identical interest terms as the Old Notes except with respect to additional interest that may be earned on the Old Notes under circumstances relating to our registration obligations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registration rights agreement. Interest on the notes will accrue from and including August 14, 2025. The notes will mature and become payable, unless earlier redeemed, on August 15, 2035. </w:t>
      </w:r>
    </w:p>
    <w:p>
      <w:pPr>
        <w:pStyle w:val="TextBody"/>
        <w:bidi w:val="0"/>
        <w:spacing w:before="240" w:after="0"/>
        <w:jc w:val="left"/>
        <w:rPr>
          <w:rFonts w:ascii="Times New Roman" w:hAnsi="Times New Roman"/>
          <w:sz w:val="20"/>
        </w:rPr>
      </w:pPr>
      <w:r>
        <w:rPr>
          <w:rFonts w:ascii="Times New Roman" w:hAnsi="Times New Roman"/>
          <w:sz w:val="20"/>
        </w:rPr>
        <w:t xml:space="preserve">From and including August 14, 2025 to but excluding August 15, 2030 or earlier redemption date (the “Fixed Rate Period”), the New Notes will bear interest at a fixed rate equal to 7.625% per year, payable semi-annually in arrears on February 15 and August 15 of each year (each a “Fixed Interest Payment Date”), beginning on February 15, 2026, and interest will be computed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From and including August 15, 2030, to but excluding the maturity date or earlier redemption date (the “Floating Rate Period”), the New Notes will bear interest at an annual floating rate, reset quarterly, equal to the Benchmark rate (which is expected to be Three-Month Term SOFR), plus 422 basis points, provided however, that in the event the Three-Month Term SOFR is less than zero, Three-Month Term SOFR shall be deemed to be zero. A “Floating Interest Period” means, the period from, and including, each Floating Interest Payment Date to, but excluding, the next succeeding Floating Interest Payment Date, except for the initial Floating Interest Period, which will be the period from and including August 15, 2030 to, but excluding the next succeeding Floating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Floating Rate Period, interest on the New Notes will be payable quarterly in arrears on February 15, May 15, August 15 and November 15 of each year (each a “Floating Interest Payment Date” and, together with any Fixed Interest Payment Date, an “Interest Payment Date”), commencing on November 15, 2030 and interest will be computed on the basis of a 360-day year and the actual number of days elapsed and payable quarterly in arrears on each Floating Interest Payment Date. </w:t>
      </w:r>
    </w:p>
    <w:p>
      <w:pPr>
        <w:pStyle w:val="TextBody"/>
        <w:bidi w:val="0"/>
        <w:spacing w:before="240" w:after="0"/>
        <w:jc w:val="left"/>
        <w:rPr>
          <w:rFonts w:ascii="Times New Roman" w:hAnsi="Times New Roman"/>
          <w:sz w:val="20"/>
        </w:rPr>
      </w:pPr>
      <w:r>
        <w:rPr>
          <w:rFonts w:ascii="Times New Roman" w:hAnsi="Times New Roman"/>
          <w:sz w:val="20"/>
        </w:rPr>
        <w:t>For the purpose of calculating the interest on the New Notes for each interest period during the Floating Rate Period when the Benchmark is Three-Month Term SOFR, Three-Month Term SOFR means the rate for Term SOFR for a tenor of three months that is published by the Term SOFR Administrator at the Reference Time for any Floating Interest Period, as determined by the Calculation Agent after giving effect to the Three-Month Term SOFR Conventions; </w:t>
      </w:r>
      <w:r>
        <w:rPr>
          <w:rFonts w:ascii="Times New Roman" w:hAnsi="Times New Roman"/>
          <w:i/>
          <w:sz w:val="20"/>
        </w:rPr>
        <w:t>provided, however</w:t>
      </w:r>
      <w:r>
        <w:rPr>
          <w:rFonts w:ascii="Times New Roman" w:hAnsi="Times New Roman"/>
          <w:sz w:val="20"/>
        </w:rPr>
        <w:t xml:space="preserve">, that in the event Three-Month Term SOFR is less than zero, Three-Month Term SOFR shall be deemed to be zero. See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definitions apply to the following discussion of Three-Month Term SOFR: </w:t>
      </w:r>
    </w:p>
    <w:p>
      <w:pPr>
        <w:pStyle w:val="TextBody"/>
        <w:bidi w:val="0"/>
        <w:spacing w:before="240" w:after="0"/>
        <w:jc w:val="left"/>
        <w:rPr/>
      </w:pPr>
      <w:r>
        <w:rPr/>
        <w:t>“</w:t>
      </w:r>
      <w:r>
        <w:rPr>
          <w:rFonts w:ascii="Times New Roman" w:hAnsi="Times New Roman"/>
          <w:sz w:val="20"/>
        </w:rPr>
        <w:t xml:space="preserve">Benchmark” means, initially, Three-Month Term SOFR; provided that, if the Calculation Agent determines on or prior to the Reference Time for any Floating Interest Period that a Benchmark Transition Event and its related Benchmark Replacement Date have occurred with respect to Three-Month Term SOFR or the then-current Benchmark, then “Benchmark” means the applicable Benchmark Replacement for such Floating Interest Period and any subsequent Floating Interest Periods. </w:t>
      </w:r>
    </w:p>
    <w:p>
      <w:pPr>
        <w:pStyle w:val="TextBody"/>
        <w:bidi w:val="0"/>
        <w:spacing w:before="240" w:after="0"/>
        <w:jc w:val="left"/>
        <w:rPr/>
      </w:pPr>
      <w:r>
        <w:rPr/>
        <w:t>“</w:t>
      </w:r>
      <w:r>
        <w:rPr>
          <w:rFonts w:ascii="Times New Roman" w:hAnsi="Times New Roman"/>
          <w:sz w:val="20"/>
        </w:rPr>
        <w:t xml:space="preserve">Floating Interest Determination Date” means the date upon which the Floating Interest Rate is determined by the Calculation Agent pursuant to the Three-Month Term SOFR Conventions. </w:t>
      </w:r>
    </w:p>
    <w:p>
      <w:pPr>
        <w:pStyle w:val="TextBody"/>
        <w:bidi w:val="0"/>
        <w:spacing w:before="240" w:after="0"/>
        <w:jc w:val="left"/>
        <w:rPr/>
      </w:pPr>
      <w:r>
        <w:rPr/>
        <w:t>“</w:t>
      </w:r>
      <w:r>
        <w:rPr>
          <w:rFonts w:ascii="Times New Roman" w:hAnsi="Times New Roman"/>
          <w:sz w:val="20"/>
        </w:rPr>
        <w:t xml:space="preserve">FRBNY’s Website” means the website of the FRBNY at http://www.newyorkfed.org, or any successor source. The foregoing Internet website is an inactive textual reference only, meaning that the information contained on the website is not part of this prospectus supplement or the accompanying prospectus or incorporated by reference herein or therein. </w:t>
      </w:r>
    </w:p>
    <w:p>
      <w:pPr>
        <w:pStyle w:val="TextBody"/>
        <w:bidi w:val="0"/>
        <w:spacing w:before="240" w:after="0"/>
        <w:jc w:val="left"/>
        <w:rPr/>
      </w:pPr>
      <w:r>
        <w:rPr/>
        <w:t>“</w:t>
      </w:r>
      <w:r>
        <w:rPr>
          <w:rFonts w:ascii="Times New Roman" w:hAnsi="Times New Roman"/>
          <w:sz w:val="20"/>
        </w:rPr>
        <w:t xml:space="preserve">Interest Period” means (i) during the Fixed Rate Period, each six-month period beginning on a Fixed Interest Payment Date or (ii) during the Floating Rate Period, each Floating Interest Period. </w:t>
      </w:r>
    </w:p>
    <w:p>
      <w:pPr>
        <w:pStyle w:val="TextBody"/>
        <w:bidi w:val="0"/>
        <w:spacing w:before="240" w:after="0"/>
        <w:jc w:val="left"/>
        <w:rPr/>
      </w:pPr>
      <w:r>
        <w:rPr/>
        <w:t>“</w:t>
      </w:r>
      <w:r>
        <w:rPr>
          <w:rFonts w:ascii="Times New Roman" w:hAnsi="Times New Roman"/>
          <w:sz w:val="20"/>
        </w:rPr>
        <w:t xml:space="preserve">Reference Time” with respect to any determination of a Benchmark means: (i) if the Benchmark is Three-Month Term SOFR, the time determined by the Calculation Agent after giving effect to the Three-Month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 SOFR Conventions, and (ii) if the Benchmark is not Three-Month Term SOFR, the time determined by the Calculation Agent after giving effect to the Benchmark Replacement Conforming Changes. </w:t>
      </w:r>
    </w:p>
    <w:p>
      <w:pPr>
        <w:pStyle w:val="TextBody"/>
        <w:bidi w:val="0"/>
        <w:spacing w:before="240" w:after="0"/>
        <w:jc w:val="left"/>
        <w:rPr/>
      </w:pPr>
      <w:r>
        <w:rPr/>
        <w:t>“</w:t>
      </w:r>
      <w:r>
        <w:rPr>
          <w:rFonts w:ascii="Times New Roman" w:hAnsi="Times New Roman"/>
          <w:sz w:val="20"/>
        </w:rPr>
        <w:t xml:space="preserve">Relevant Governmental Body” means the Federal Reserve and/or the FRBNY, or a committee officially endorsed or convened by the Federal Reserve and/or the FRBNY or any successor thereto. </w:t>
      </w:r>
    </w:p>
    <w:p>
      <w:pPr>
        <w:pStyle w:val="TextBody"/>
        <w:bidi w:val="0"/>
        <w:spacing w:before="240" w:after="0"/>
        <w:jc w:val="left"/>
        <w:rPr/>
      </w:pPr>
      <w:r>
        <w:rPr/>
        <w:t>“</w:t>
      </w:r>
      <w:r>
        <w:rPr>
          <w:rFonts w:ascii="Times New Roman" w:hAnsi="Times New Roman"/>
          <w:sz w:val="20"/>
        </w:rPr>
        <w:t xml:space="preserve">SOFR” means the daily Secured Overnight Financing Rate provided by the FRBNY, as the administrator of the benchmark (or a successor administrator), on the FRBNY’s Website. </w:t>
      </w:r>
    </w:p>
    <w:p>
      <w:pPr>
        <w:pStyle w:val="TextBody"/>
        <w:bidi w:val="0"/>
        <w:spacing w:before="240" w:after="0"/>
        <w:jc w:val="left"/>
        <w:rPr/>
      </w:pPr>
      <w:r>
        <w:rPr/>
        <w:t>“</w:t>
      </w:r>
      <w:r>
        <w:rPr>
          <w:rFonts w:ascii="Times New Roman" w:hAnsi="Times New Roman"/>
          <w:sz w:val="20"/>
        </w:rPr>
        <w:t xml:space="preserve">Term SOFR” means the forward-looking term rate for the Corresponding Tenor based on SOFR as published by the Term SOFR Administrator. </w:t>
      </w:r>
    </w:p>
    <w:p>
      <w:pPr>
        <w:pStyle w:val="TextBody"/>
        <w:bidi w:val="0"/>
        <w:spacing w:before="240" w:after="0"/>
        <w:jc w:val="left"/>
        <w:rPr/>
      </w:pPr>
      <w:r>
        <w:rPr/>
        <w:t>“</w:t>
      </w:r>
      <w:r>
        <w:rPr>
          <w:rFonts w:ascii="Times New Roman" w:hAnsi="Times New Roman"/>
          <w:sz w:val="20"/>
        </w:rPr>
        <w:t xml:space="preserve">Term SOFR Administrator” means CME Group Benchmark Administration Limited (or a successor administrator of Three-Month Term SOFR selected by the Calculation Agent in its reasonable discretion). </w:t>
      </w:r>
    </w:p>
    <w:p>
      <w:pPr>
        <w:pStyle w:val="TextBody"/>
        <w:bidi w:val="0"/>
        <w:spacing w:before="240" w:after="0"/>
        <w:jc w:val="left"/>
        <w:rPr/>
      </w:pPr>
      <w:r>
        <w:rPr/>
        <w:t>“</w:t>
      </w:r>
      <w:r>
        <w:rPr>
          <w:rFonts w:ascii="Times New Roman" w:hAnsi="Times New Roman"/>
          <w:sz w:val="20"/>
        </w:rPr>
        <w:t>Three-Month Term SOFR” means the rate for Term SOFR for a tenor of three months that is published by the Term SOFR Administrator at the Reference Time for any Floating Interest Period, as determined by the Calculation Agent after giving effect to the Three-Month Term SOFR Conventions; </w:t>
      </w:r>
      <w:r>
        <w:rPr>
          <w:rFonts w:ascii="Times New Roman" w:hAnsi="Times New Roman"/>
          <w:i/>
          <w:sz w:val="20"/>
        </w:rPr>
        <w:t>provided, however</w:t>
      </w:r>
      <w:r>
        <w:rPr>
          <w:rFonts w:ascii="Times New Roman" w:hAnsi="Times New Roman"/>
          <w:sz w:val="20"/>
        </w:rPr>
        <w:t xml:space="preserve">, that in the event Three-Month Term SOFR is less than zero, Three-Month Term SOFR shall be deemed to be zero. </w:t>
      </w:r>
    </w:p>
    <w:p>
      <w:pPr>
        <w:pStyle w:val="TextBody"/>
        <w:bidi w:val="0"/>
        <w:spacing w:before="240" w:after="0"/>
        <w:jc w:val="left"/>
        <w:rPr/>
      </w:pPr>
      <w:r>
        <w:rPr/>
        <w:t>“</w:t>
      </w:r>
      <w:r>
        <w:rPr>
          <w:rFonts w:ascii="Times New Roman" w:hAnsi="Times New Roman"/>
          <w:sz w:val="20"/>
        </w:rPr>
        <w:t xml:space="preserve">Three-Month Term SOFR Conventions” means any determination, decision or election with respect to any technical, administrative or operational matter (including with respect to the manner and timing of the publication of Three-Month Term SOFR, or changes to the definition of “Floating Interest Period,” timing and frequency of determining Three-Month Term SOFR with respect to each Floating Interest Period and making payments of interest, rounding of amounts or tenors, and other administrative matters) that the Calculation Agent or the Company decides may be appropriate to reflect the use of Three-Month Term SOFR as the Benchmark in a manner substantially consistent with market practice (or, if the Calculation Agent or the Company decides that adoption of any portion of such market practice is not administratively feasible or if the Calculation Agent or the Company determines that no market practice for the use of Three-Month Term SOFR exists, in such other manner as the Calculation Agent or the Company determines is reasonably necessary). </w:t>
      </w:r>
    </w:p>
    <w:p>
      <w:pPr>
        <w:pStyle w:val="TextBody"/>
        <w:bidi w:val="0"/>
        <w:spacing w:before="240" w:after="0"/>
        <w:jc w:val="left"/>
        <w:rPr>
          <w:rFonts w:ascii="Times New Roman" w:hAnsi="Times New Roman"/>
          <w:sz w:val="20"/>
        </w:rPr>
      </w:pPr>
      <w:r>
        <w:rPr>
          <w:rFonts w:ascii="Times New Roman" w:hAnsi="Times New Roman"/>
          <w:sz w:val="20"/>
        </w:rPr>
        <w:t xml:space="preserve">The terms “Benchmark Replacement,” “Benchmark Replacement Conforming Changes,” “Benchmark Replacement Date,” “Benchmark Transition Event” and “Corresponding Tenor” have the meanings set forth below under the heading “—Effect of Benchmark Transition Event.”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paragraphs related to the determination of interest, if the Calculation Agent determines prior to the relevant Floating Interest Determination Date that a Benchmark Transition Event and its related Benchmark Replacement Date (each as defined below) have occurred with respect to Three-Month Term SOFR, then the Company shall promptly provide notice of such determination to the holders and the provisions set forth below under the heading “—Effect of Benchmark Transition Event,” which we refer to as the “benchmark transition provisions,” will thereafter apply to all determinations, calculations and quotations made or obtained for the purposes of calculating the Floating Interest Rate payable on the New Notes during a relevant Floating Interest Period. In accordance with the benchmark transition provisions, after a Benchmark Transition Event and its related Benchmark Replacement Date have occurred, the interest rate on the New Notes for each interest period during the Floating Rate Period will be an annual rate equal to the sum of the applicable Benchmark Replacement plus 422 basis points. </w:t>
      </w:r>
    </w:p>
    <w:p>
      <w:pPr>
        <w:pStyle w:val="TextBody"/>
        <w:bidi w:val="0"/>
        <w:spacing w:before="240" w:after="0"/>
        <w:jc w:val="left"/>
        <w:rPr>
          <w:rFonts w:ascii="Times New Roman" w:hAnsi="Times New Roman"/>
          <w:sz w:val="20"/>
        </w:rPr>
      </w:pPr>
      <w:r>
        <w:rPr>
          <w:rFonts w:ascii="Times New Roman" w:hAnsi="Times New Roman"/>
          <w:sz w:val="20"/>
        </w:rPr>
        <w:t xml:space="preserve">Absent manifest error, the Calculation Agent’s determination of the interest rate for an interest period for the New Notes will be conclusive and binding on you, the trustee and us. The Calculation Agent’s determination of any interest rate, and its calculation of interest payments for any period, will be maintained on file at the Calculation Agent’s principal offices, will be made available to any holder of the New Notes upon request and will be provided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the maturity date, any earlier redemption date or any Fixed Interest Payment Date with respect to the Fixed Rate Period falls on a day that is not a business day, the payment of interest and principal due on that date shall be postponed to the next day that is a business day and no additional interest shall accrue as a result of that postponement. In the event that any Floating Interest Payment Date with respect to the Floating Rate Period, other than the maturity date or an earlier redemption date, falls on a day that is not a business day, the Floating Interest Payment Date shall be postponed to the next day that is a business day, in which case interest shall accrue to but excluding the date interest is paid. However, if the postponement would cause the day to fall in the next calendar month during the Floating Interest Period, the Floating Interest Payment Date shall instead be brought forward to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If the Calculation Agent, determines that a Benchmark Transition Event and its related Benchmark Replacement Date have occurred with respect to Three-Month Term SOFR at any time when any of the New Notes are outstanding, then the Company shall promptly provide notice of such determination to the holders, with a copy to the trustee, and the foregoing provisions concerning the calculation of the interest rate and interest payments during the Floating Rate Period will be modified in accordance with the benchmark transition provisions. However, if for any reason the Benchmark Replacement has not been determined as of the relevant Floating Interest Determination Date, the Floating Interest Rate for the applicable Floating Interest Period will be equal to the Floating Interest Rate on the last Floating Interest Determination Date for the New Notes, as determined by the Calculation Agent. If the then-current Benchmark is Three-Month Term SOFR and any of the foregoing provisions concerning the calculation of the interest rate and the payment of interest during the Floating Interest Period are inconsistent with any of the Three-Month Term SOFR Conventions determined by the Company, then the relevant Three-Month Term SOFR Conventions will apply. </w:t>
      </w:r>
    </w:p>
    <w:p>
      <w:pPr>
        <w:pStyle w:val="TextBody"/>
        <w:bidi w:val="0"/>
        <w:spacing w:before="240" w:after="0"/>
        <w:jc w:val="left"/>
        <w:rPr>
          <w:rFonts w:ascii="Times New Roman" w:hAnsi="Times New Roman"/>
          <w:sz w:val="20"/>
        </w:rPr>
      </w:pPr>
      <w:r>
        <w:rPr>
          <w:rFonts w:ascii="Times New Roman" w:hAnsi="Times New Roman"/>
          <w:sz w:val="20"/>
        </w:rPr>
        <w:t xml:space="preserve">We will make each interest payment to the holders of record of the notes at the close of business on the fifteenth calendar day prior to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Principal of and interest on the notes will be payable, and the notes will be exchangeable and transferable, at the office or agency that we have designated and maintain for such purposes, which, initially, will be the corporate trust office of the trustee located at Wilmington Trust, National Association, 99 Wood Avenue South – Suite #1000, Attn: USCB Financial Holdings, Inc. Administrator; except that payment of interest may be made at our option by check mailed to the person entitled thereto as shown on the security register or by wire transfer to an account appropriately designated by the person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The term “business day” means any day other than a Saturday, Sunday or any day which is a federal holiday or other day on which banking institutions in the State of Florida, the Borough of Manhattan, New York, New York or the place of payment are authorized or obligated by law, regulation or executive order to close.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Our obligation to make any payment on account of the principal of, or interest on, the notes will be subordinate and junior in right of payment to the prior payment in full of all of our senior indebtedness. As of September 30, 2025, the Company and its consolidated subsidiaries had outstanding liabilities of $2.6 billion, of which $2.5 billion rank senior to the notes and $11 million rank </w:t>
      </w:r>
      <w:r>
        <w:rPr>
          <w:rFonts w:ascii="Times New Roman" w:hAnsi="Times New Roman"/>
          <w:i/>
          <w:sz w:val="20"/>
        </w:rPr>
        <w:t>pari</w:t>
      </w:r>
      <w:r>
        <w:rPr>
          <w:rFonts w:ascii="Times New Roman" w:hAnsi="Times New Roman"/>
          <w:sz w:val="20"/>
        </w:rPr>
        <w:t xml:space="preserve"> </w:t>
      </w:r>
      <w:r>
        <w:rPr>
          <w:rFonts w:ascii="Times New Roman" w:hAnsi="Times New Roman"/>
          <w:i/>
          <w:sz w:val="20"/>
        </w:rPr>
        <w:t>passu</w:t>
      </w:r>
      <w:r>
        <w:rPr>
          <w:rFonts w:ascii="Times New Roman" w:hAnsi="Times New Roman"/>
          <w:sz w:val="20"/>
        </w:rPr>
        <w:t xml:space="preserve"> with the notes. The notes and the indenture do not contain any limitation on the amount of senior indebtedness that we may incur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term “senior indebtedness” means the principal of, and premium, if any, and interest, including interest accruing after the commencement of any bankruptcy proceeding relating to us, on, or substantially similar payments we make in respect of the following categories of debt, whether that debt was outstanding on the date of execution of the indenture or thereafter incurred, created or assumed: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for borrowed money, whether or not evidenced by notes, debentures, bonds, securities or other similar instruments issued under the provisions of any indenture, fiscal agency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debenture or note purchase agreement or other agreement, including any senior debt securities that we may offer, and including, but not limited to, deposits of the Bank and our obligations to our general and secured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for money borrowed or represented by purchase money obligations,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as lessee under leases of property whether made as part of a sale and leaseback transaction to which we are a party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reimbursement and other obligations relating to letters of credit, bankers’ acceptances and similar obligations and direct credit substitutes;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in respect of interest rate swap, cap or other agreements, interest rate future or option contracts, currency swap agreements, currency future or option contracts, commodity contracts and other similar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obligations issued or assumed as the deferred purchase price of property or services, but excluding trade accounts payable and accrued liabilities arising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obligation of ours to our general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of the type referred to in the bullets above of other persons for the payment as to which we are liable contingently or otherwise to pay or advance money as obligor, guarantor, endorser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of the types referred to in the bullets above of other persons secured by a lien on any property or asset of ours;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deferrals, renewals or extensions of any of the indebtedness or obligations described in the bullets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“senior indebtedness”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subordinated debentures or junior subordinated debentures of ours underlying trust preferred securities issued by subsidiary trusts of the Company that were outstanding as of the date of the issuance of the Old Notes or that are issued after the date of such issuance by a subsidiary trust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indebtedness, obligation or liability that is subordinated to indebtedness, obligations or liabilities of the Company to substantially the same extent as or to a greater extent than the notes are subordinated;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and, unless expressly provided in the terms thereof, any indebtedness of the Company to its subsidiaries.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above, the term “purchase money obligations” means indebtedness, obligations evidenced by a note, debenture, bond or other instrument, whether or not secured by a lien or other security interest, issued to evidence the obligation to pay or a guarantee of the payment of, and any deferred obligation for the payment of, the purchase price of property but excluding indebtedness or obligations for which recourse is limited to the property purchased, issued or assumed as all or a part of the consideration for the acquisition of property or services, whether by purchase, merger, consolidation or otherwise, but does not include any trade accounts payable as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subordination provisions of the indenture and the notes, we are permitted to make payments of accrued and unpaid interest on the notes on the interest payment dates and at maturity and to pay the principal of the notes at maturity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any termination, winding up, liquidation or reorganization, whether in bankruptcy, insolvency, reorganization, receivership or similar proceedings or upon an assignment for the benefit of our creditors or any other marshalling of our assets and liabilities;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the payment of principal of, or premium, if any, or interest on, any senior indebtedness, has occurred and is continuing beyond any applicable grace period or an event of default has occurred and is continuing with respect to any senior indebtedness, or would occur as a result of a payment of principal of, or interest on, the notes being made and that event of default would permit the holders of any senior indebtedness to accelerate the maturity of that senior indebtedness and such default or event of default has not been cured, waived or otherwise have ceased to exist.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our termination, winding up, liquidation or reorganization, whether in bankruptcy, insolvency, reorganization, receivership or similar proceedings or upon an assignment for the benefit of our creditors or any other marshalling of our assets and liabilities or otherwise, we must pay to the holders of all of our senior indebtedness the full amounts of principal of, and premium, if any, and interest on, that senior indebtedness before any payment is made on the notes. If, after we have paid the senior indebtedness in full, there are any amounts available for payment of the notes and any of our other indebtedness and obligations ranking equally in right of payment with the notes, then we will use such remaining assets to pay the amounts of principal of, premium, if any, and accrued and unpaid interest on, the notes and such other of our indebtedness and obligations that rank equally in right of payment with the notes. If those assets are insufficient to pay in full the principal of, premium, if any, and interest on the notes and such other indebtedness and obligations, those assets will be applicable ratably to the payment of such amounts owing with respect to the notes and such other indebtedness and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are subject to any termination, winding up, liquidation or reorganization, whether in bankruptcy, insolvency, reorganization, receivership or similar proceedings or upon an assignment for the benefit of our creditors or any other marshalling of our assets and liabilities or otherwise, if the holders of the notes receive for any reason any payment on the notes or other distributions of our assets with respect to the notes before all of our senior indebtedness is paid in full, the holders of the notes will be required to return that payment or distribution to the bankruptcy trustee, receiver, liquidating trustee, custodian, assignee, agent or other person making payment of our assets for all our senior indebtedness remaining unpaid until all that senior indebtedness has been paid in full, after giving effect to any other concurrent payment or distribution to the holders of such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subordination of the notes in favor of the holders of our senior indebtedness, in the event of our bankruptcy or insolvency, holders of our senior indebtedness may receive more, ratably, and holders of the notes may receive less, ratably, than our other creditors. </w:t>
      </w:r>
    </w:p>
    <w:p>
      <w:pPr>
        <w:pStyle w:val="TextBody"/>
        <w:bidi w:val="0"/>
        <w:spacing w:before="240" w:after="0"/>
        <w:jc w:val="left"/>
        <w:rPr>
          <w:rFonts w:ascii="Times New Roman" w:hAnsi="Times New Roman"/>
          <w:sz w:val="20"/>
        </w:rPr>
      </w:pPr>
      <w:r>
        <w:rPr>
          <w:rFonts w:ascii="Times New Roman" w:hAnsi="Times New Roman"/>
          <w:sz w:val="20"/>
        </w:rPr>
        <w:t xml:space="preserve">All liabilities of the Bank and our other subsidiaries, including deposits and liabilities to general creditors arising during the ordinary course of business or otherwise, will be effectively senior in right of payment to the notes to the extent of the assets of the subsidiary because, as a shareholder of the subsidiary, we do not have any rights to the assets of the subsidiary except if the subsidiary declares a dividend payable to us or if there are assets of the subsidiary remaining after it has discharged its liabilities to its creditors in connection with its liquidation. As of September 30, 2025, on a consolidated basis, the Bank and our other subsidiaries had, in the aggregate, outstanding liabilities of $2.5 billion. Over the term of the notes, we will need to rely primarily on dividends paid to us by the Bank, which is a regulated and supervised depository institution, for the funds necessary to pay the interest on our outstanding debt obligations and to make dividends and other payments on our other securities outstanding now or in the future. With respect to the payment of the principal of the notes at their maturity, we may rely on the funds we receive from dividends paid to us by the Bank, but may have to rely on the proceeds of borrowings and/or the sale of other securities to pay the principal amount of the notes. Regulatory rules may restrict the Bank’s ability to pay dividends or make other distributions to us or provide funds to us by other means. As a result, with respect to the assets of the Bank, our creditors (including the holders of the notes) are structurally subordinated to the prior claims of creditors of the Bank, including its depositors, except to the extent that we may be a creditor with recognized claims against the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redeem the notes, in whole or in part, beginning with the Interest Payment Date of August 15, 2030 and on any Interest Payment Date thereafter. In addition, at our option, we may redeem the notes in whole but not in part, at any time upon the occurrence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“Tier 2 Capital Event,” which is defined in the indenture to mean receipt by us of a legal opinion of counsel experienced in such matters to the effect that there is a material risk that the notes no longer qualify or, within 120 days of the date of such legal opinion, will not qualify, as Tier 2 Capital (or its then equivalent), as a result of a change in law or regulation, or interpretation or application thereof, by any judicial, legislative or regulatory authority that becomes effective after the date of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 Event,” which is defined in the indenture to mean the receipt by us of a legal opinion of counsel experienced in such matters to the effect that, as a result of any amendment to, or change (including any final and adopted (or enacted) prospective change) in, the laws (or any regulations thereunder) of the United States or any political subdivision or taxing authority thereof or therein, or as a result of any official administrative pronouncement or judicial decision interpreting or applying such laws or regulations, there exists a material risk that interest payable by the Company on the notes is not, or within 120 days after the receipt of such opinion, will not be, deductible by the Company, in whole or in part, for United States federal income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“Investment Company Event,” which is defined in the indenture to mean receipt by us of a legal opinion from counsel experienced in such matters to the effect that there is a material risk that the Company is or, within 120 days after the receipt of such opinion, will be required to register as an “investment company” pursuant to the Investment Company Act of 1940, as amended.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all or any portion of the New Notes ceases to be deemed to be Tier 2 Capital, other than due to the limitation imposed on the capital treatment of subordinated debt during the five (5) years immediately preceding the maturity date of the New Notes, the Company will immediately notify the trustee and the holders, and thereafter the Company and the holders will work together in good faith, subject to the terms of the indenture, to execute and deliver all agreements as reasonably necessary in order to restructure the applicable portions of the obligations evidenced by the New Notes to qualify as Tier 2 Capital and the Company shall request, subject to the terms of the indenture, that the trustee execute and deliver all such agreements as may be reasonably necessary in order to effect any restructuring agreed to by the Company and the holders; provided, however, that the foregoing shall not limit the Company’s right to redeem the New Notes pursuant to the terms of the New Notes and the indenture, including upon the occurrence of a Tier 2 Capital Event.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of the New Notes will be subject to any required regulatory approvals, including but not limited to prior approval of the Federal Reserve, to the extent such approval is then required. Any redemption of the notes will be at a redemption price equal to the principal amount of the notes, or portion thereof, to be redeemed plus accrued and unpaid interest to, but excluding, the date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notes are to be redeemed, the trustee will select the notes or portions thereof to be redeemed on a pro rata basis, unless otherwise required by law or applicable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If the notes are represented by global notes held by DTC and such redemption is processed through DTC, such redemption will be made on a “Pro Rata Pass Through Distribution of Principal” basis in accordance with the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Notices of redemption will be mailed by registered or certified mail (return receipt requested), facsimile or overnight air courier guaranteeing next day delivery, at least 30 but no more than 60 days before the redemption date to each holder of notes to be redeemed at its registered address. If any note is to be redeemed in part only, the notice of redemption that relates to that note will state the portion of the principal amount thereof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redeemed. A new note in principal amount equal to the unredeemed portion of the original note, if any, will be issued in the name of the holder thereof upon cancellation of the original note. Notes called for redemption become due on the date fixed for redemption. On and after the redemption date, interest ceases to accrue on notes or portions of them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Repurchases </w:t>
      </w:r>
    </w:p>
    <w:p>
      <w:pPr>
        <w:pStyle w:val="TextBody"/>
        <w:bidi w:val="0"/>
        <w:spacing w:before="120" w:after="0"/>
        <w:jc w:val="left"/>
        <w:rPr>
          <w:rFonts w:ascii="Times New Roman" w:hAnsi="Times New Roman"/>
          <w:sz w:val="20"/>
        </w:rPr>
      </w:pPr>
      <w:r>
        <w:rPr>
          <w:rFonts w:ascii="Times New Roman" w:hAnsi="Times New Roman"/>
          <w:sz w:val="20"/>
        </w:rPr>
        <w:t xml:space="preserve">We may purchase notes at any time on the open market or otherwise. If we purchase notes in this manner, we have the discretion to hold, resell or surrender the notes to the trustee under the indenture for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No Sinking Fund; Non-Convertible </w:t>
      </w:r>
    </w:p>
    <w:p>
      <w:pPr>
        <w:pStyle w:val="TextBody"/>
        <w:bidi w:val="0"/>
        <w:spacing w:before="120" w:after="0"/>
        <w:jc w:val="left"/>
        <w:rPr>
          <w:rFonts w:ascii="Times New Roman" w:hAnsi="Times New Roman"/>
          <w:sz w:val="20"/>
        </w:rPr>
      </w:pPr>
      <w:r>
        <w:rPr>
          <w:rFonts w:ascii="Times New Roman" w:hAnsi="Times New Roman"/>
          <w:sz w:val="20"/>
        </w:rPr>
        <w:t>The notes will not be entitled to the benefit of any sinking fund. This means that we will not deposit money on a regular basis into any separate custodial account to repay the notes. The notes are not convertible into, or exchangeable for, any of our equity securities.</w:t>
      </w:r>
    </w:p>
    <w:p>
      <w:pPr>
        <w:pStyle w:val="TextBody"/>
        <w:bidi w:val="0"/>
        <w:spacing w:before="360" w:after="0"/>
        <w:jc w:val="left"/>
        <w:rPr>
          <w:rFonts w:ascii="Times New Roman" w:hAnsi="Times New Roman"/>
          <w:b/>
          <w:sz w:val="20"/>
        </w:rPr>
      </w:pPr>
      <w:r>
        <w:rPr>
          <w:rFonts w:ascii="Times New Roman" w:hAnsi="Times New Roman"/>
          <w:b/>
          <w:sz w:val="20"/>
        </w:rPr>
        <w:t xml:space="preserve">Form, Denomination, Transfer, Exchange and Book-Entry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issued only in fully registered form, without interest coupons, and in minimum denominations of $100,000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required for institutional accredited investors, the notes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If New Notes are issued to institutional accredited investors in certificated form, the New Notes will be transferable only on the records of the trustee and may not be exchanged for a beneficial interest in the global note unless the exchange occurs in connection with a transfer where the transferor and transferee provide evidence satisfactory to the trustee and DTC that the transferee is eligible to hold a beneficial interest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 will not be registered in the name of any person, or exchanged for notes that are registered in the name of any person, other than DTC or its nominee, unless one of the following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acting as the depositary for the global note, or DTC has ceased to be a “clearing agency” registered under the Exchange Act, and in either case we fail to appoint a successor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that the notes are no longer to be represented by the global note and so notify the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represented by the global note has occurred and is continuing and DTC or its participant(s) has requested the issuance of definitive subordinated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global note exchanged in accordance with the first two items above will be so exchanged in whole and not in part, and any global note exchanged in accordance with the third item above may be exchanged in whole or from time to time in part as directed by DTC. In those circumstances, DTC will determine in whose names any securities issued in exchange for the global note will be registered. Any such notes in certificated form will be issued in minimum denominations of $100,000 and multiples of $1,000 in excess thereof and may be transferred or exchanged only in such minimum denominations. </w:t>
      </w:r>
    </w:p>
    <w:p>
      <w:pPr>
        <w:pStyle w:val="TextBody"/>
        <w:bidi w:val="0"/>
        <w:spacing w:before="240" w:after="0"/>
        <w:jc w:val="left"/>
        <w:rPr>
          <w:rFonts w:ascii="Times New Roman" w:hAnsi="Times New Roman"/>
          <w:sz w:val="20"/>
        </w:rPr>
      </w:pPr>
      <w:r>
        <w:rPr>
          <w:rFonts w:ascii="Times New Roman" w:hAnsi="Times New Roman"/>
          <w:sz w:val="20"/>
        </w:rPr>
        <w:t xml:space="preserve">DTC or its nominee will be considered the sole owner and holder of the global note for all purposes, and as a result: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get notes registered in your name if they are represented by the global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receive certificated (physical) notes in exchange for your beneficial interest in the global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considered to be the owner or holder of the global note or any note it represents for any purpose;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payments on the global note will be made to DTC or its nominee.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 </w:t>
      </w:r>
    </w:p>
    <w:p>
      <w:pPr>
        <w:pStyle w:val="TextBody"/>
        <w:bidi w:val="0"/>
        <w:spacing w:before="240" w:after="0"/>
        <w:jc w:val="left"/>
        <w:rPr>
          <w:rFonts w:ascii="Times New Roman" w:hAnsi="Times New Roman"/>
          <w:sz w:val="20"/>
        </w:rPr>
      </w:pPr>
      <w:r>
        <w:rPr>
          <w:rFonts w:ascii="Times New Roman" w:hAnsi="Times New Roman"/>
          <w:sz w:val="20"/>
        </w:rPr>
        <w:t xml:space="preserve">Only institutions (such as a securities broker or dealer) that have accounts with the DTC or its nominee (called “participants”) and persons that may hold beneficial interests through participants (including through 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 </w:t>
      </w:r>
    </w:p>
    <w:p>
      <w:pPr>
        <w:pStyle w:val="TextBody"/>
        <w:bidi w:val="0"/>
        <w:spacing w:before="240" w:after="0"/>
        <w:jc w:val="left"/>
        <w:rPr>
          <w:rFonts w:ascii="Times New Roman" w:hAnsi="Times New Roman"/>
          <w:sz w:val="20"/>
        </w:rPr>
      </w:pPr>
      <w:r>
        <w:rPr>
          <w:rFonts w:ascii="Times New Roman" w:hAnsi="Times New Roman"/>
          <w:sz w:val="20"/>
        </w:rPr>
        <w:t xml:space="preserve">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 </w:t>
      </w:r>
    </w:p>
    <w:p>
      <w:pPr>
        <w:pStyle w:val="TextBody"/>
        <w:bidi w:val="0"/>
        <w:spacing w:before="240" w:after="0"/>
        <w:jc w:val="left"/>
        <w:rPr>
          <w:rFonts w:ascii="Times New Roman" w:hAnsi="Times New Roman"/>
          <w:sz w:val="20"/>
        </w:rPr>
      </w:pPr>
      <w:r>
        <w:rPr>
          <w:rFonts w:ascii="Times New Roman" w:hAnsi="Times New Roman"/>
          <w:sz w:val="20"/>
        </w:rPr>
        <w:t xml:space="preserve">Cash payments of interest on and principal of the global note will be made to Cede, the nominee for DTC, as the registered owner of the global note. These payments will be made by wire transfer of immediately available funds on each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 </w:t>
      </w:r>
    </w:p>
    <w:p>
      <w:pPr>
        <w:pStyle w:val="TextBody"/>
        <w:bidi w:val="0"/>
        <w:spacing w:before="240" w:after="0"/>
        <w:jc w:val="left"/>
        <w:rPr>
          <w:rFonts w:ascii="Times New Roman" w:hAnsi="Times New Roman"/>
          <w:sz w:val="20"/>
        </w:rPr>
      </w:pPr>
      <w:r>
        <w:rPr>
          <w:rFonts w:ascii="Times New Roman" w:hAnsi="Times New Roman"/>
          <w:sz w:val="20"/>
        </w:rPr>
        <w:t xml:space="preserve">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 </w:t>
      </w:r>
    </w:p>
    <w:p>
      <w:pPr>
        <w:pStyle w:val="TextBody"/>
        <w:bidi w:val="0"/>
        <w:spacing w:before="240" w:after="0"/>
        <w:jc w:val="left"/>
        <w:rPr>
          <w:rFonts w:ascii="Times New Roman" w:hAnsi="Times New Roman"/>
          <w:sz w:val="20"/>
        </w:rPr>
      </w:pPr>
      <w:r>
        <w:rPr>
          <w:rFonts w:ascii="Times New Roman" w:hAnsi="Times New Roman"/>
          <w:sz w:val="20"/>
        </w:rPr>
        <w:t xml:space="preserve">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that it will take any action permitted to be taken by a holder of notes (including the presentation of notes for exchange) only at the direction of one or more participants to whose account with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interests in the global note are credited and only in respect of such portion of the principal amount of the notes represented by the global note as to which such participant has, or participants have, given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DTC has also advised as follows: DTC is a limited purpose trust company organized under the laws of the State of New York, a “banking organization” within the meaning of the New York Banking Law, a member of the Federal Reserve,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 The rules applicable to DTC and its direct and indirect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no covenants or restrictions restricting the incurrence of indebtedness or other obligations by us or by a subsidiary of ours, including the Bank. The indenture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 Moreover, neither the indenture nor the notes contain any covenants limiting our right to incur additional indebtedness or obligations, grant liens on our assets to secure our indebtedness or other obligations that are senior in right of payment to the notes, repurchase our stock or other securities, including any of the notes, or pay dividends or make other distributions to our shareholders (except, subject to certain limited exceptions, in the case of dividends or other distributions; redemptions, purchases, acquisitions or liquidation payments with respect to our capital stock; and repayments, repurchases or redemptions of any debt securities that rank equal with or junior to the notes, in each case, upon our failure to timely pay the principal of or interest on the notes, when the same becomes due and payable). In addition, neither the indenture nor the notes contain any provision that would provide protection to the holders of the notes against a sudden and dramatic decline in our credit quality resulting from a merger, takeover, recapitalization or similar restructuring or any other event involving us or our subsidiaries that may adversely affect our credit quality.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Right of Acceleration; Failure to Pay Principal or Interest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events of default under the indenture (whatever the reason for such event of default and whether it will be voluntary or involuntary or be effected by operation of law or in accordance with any judgment, decree, or order of any court or any order, rule, or regulation of any administrative or governmental body):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of a decree or order for relief in respect of the Company by a court having jurisdiction in the premises in an involuntary case or proceeding under any applicable bankruptcy, insolvency, or reorganization law, now or hereafter in effect of the United States or any political subdivision thereof, and such decree or order will have continued unstayed and in effect for a period of 60 consecutive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by the Company of a voluntary case under any applicable bankruptcy, insolvency or reorganization law, now or hereafter in effect of the United States or any political subdivision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thereof, or the consent by the Company to the entry of a decree or order for relief in an involuntary case or proceeding under any such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Company to pay any installment of interest on the notes as and when the same will become due and payable, and the continuation of such failure for a period of 15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Company to pay all or any part of the principal of any of the notes as and when the same will become due and payable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Company to perform any other covenant or agreement on the part of the Company contained in the notes or in the indenture, and the continuation of such failure for a period of 30 days after the date on which notice specifying such failure, stating that such notice is a “Notice of Default” (as defined in the indenture) and demanding that the Company remedy the same, will have been given, in the manner set forth in the indenture, to the Company by the trustee, or to the Company and the trustee by the holders of at least 25% in aggregate principal amount of the notes at the time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default by the Company under any bond, debenture, note or other evidence of indebtedness for money borrowed by the Company having an aggregate principal amount of at least $25,000,000, whether such indebtedness now exists or is created or incurred in the future, which default (i) constitutes a failure to pay any portion of the principal of such indebtedness when due and payable after the expiration of any applicable grace period or (ii) results in such indebtedness becoming due or being declared due and payable prior to the date on which it otherwise would have become due and payable without, in the case of clause (i), such indebtedness having been discharged or, in the case of clause (ii) without such indebtedness having been discharged or such acceleration having been rescinded or annulled.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becoming aware of any event of default, the Company will promptly deliver to the trustee a written statement specifying the event of default. If an event of default with respect to the notes occurs due to a bankruptcy event, then the principal amount of all of the outstanding notes, and accrued and unpaid interest, if any, on all outstanding notes will become and be immediately due and payable without any declaration or other act on the part of the trustee or any holder, and the Company waives demand, presentment for payment, notice of nonpayment, notice of protest, and all other notices with respect to such event of default. Notwithstanding the foregoing, because the Company will treat the notes as Tier 2 Capital, upon the occurrence of an event of default other than an event of default described in the foregoing sentence, neither the trustee nor any holder may accelerate the maturity of the notes and make the principal of, and any accrued and unpaid interest on, the notes,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Under the indenture, if the Company fails to make any payment of interest on any note when such interest becomes due and payable and such default continues for a period of 15 days, or if the Company fails to make any payment of the principal of any note when such principal becomes due and payable, the trustee may, subject to certain limitations and conditions, demand, for the benefit of the holders of the notes, that the Company pay to the trustee, for the benefit of the holders of the notes, the whole amount then due and payable with respect to the notes, with interest upon the overdue principal, and, to the extent permitted by applicable law, upon any overdue installments of interest at the rate or respective rates, as the case may be, provided for or with respect to the notes or, if no such rate or rates are so provided, at the rate or respective rates, as the case may be, of interest borne by the notes. Any such rights to receive payment of such amounts under the notes remain subject to the subordination provisions of the notes as discussed above under “—Subordination.” Neither the trustee nor the holders of the notes will have the right to accelerate the maturity of the notes in the case of our failure to pay the principal of, or interest on, the notes or our non-performance of any other covenant or warranty under the notes or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Amendment, Supplement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holder of notes, we and the trustee, at any time and from time to time, may enter into one or more indentures supplemental to the indenture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 succession of another person to the Company, and the assumption by any such successor of our covenants contained in the indenture and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for the benefit of the holders, or to surrender any right or power conferred upon us with respect to the notes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permit or facilitate the issuance of notes in uncertificated or global form, provided any such action will not adversely affect the interests of the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indenture by a successor trustee with respect to the notes and to add to or change any provisions of the indenture as will be necessary to provide for or facilitate the administration of the trusts hereunder by more than one trustee in accordance with the terms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to correct or supplement any provision of the indenture that may be defective or that may be inconsistent with any other provision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provisions with respect to matters or questions arising under the indenture that will not adversely affect the interests of the holders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as necessary to permit or facilitate legal or covenant defeasance, or satisfaction and discharge of the notes in accordance with the indenture, as long as any such action will not adversely affect the interests of any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any provision of the indenture to the requirements of the Trust Indenture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legal rights under the indenture of any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the consent of the holders of not less than a majority in principal amount of the outstanding notes, we and the trustee may enter into an indenture or indentures supplemental to the indenture for the purpose of adding any provisions to or changing in any manner or eliminating any of the provisions of the indenture or the notes or of modifying in any manner the rights of the holders under the indenture, except that no such supplemental indenture, without the consent of the holder of each outstanding note affected thereby,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change the time for payment of, interest, including defaulted interest, on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change the stated maturity of any note, change the date on which any note may be subject to redemption, or reduce the redemption price at which any note subject to redemption may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note payable in money other than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provisions of the indenture protecting the right of each holder to receive payment of principal of and interest on such note on or after the due date thereof or to bring suit to enforce such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threshold of holders the consent of whom is required for any such supplemental indenture or required to waive certain defaults and covenants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the section of the indenture governing supplemental indentures with the consent of holders, or those provisions relating to waiver of defaults or certain covenants, except to increase any such percentage required for such actions or to provide that certain other provisions of the indenture cannot be modified or waived without the consent of the holder of each outstanding note affected thereby.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holders of not less than a majority in aggregate principal amount of the outstanding notes may on behalf of the holders of all notes waive any past default under the indenture and its consequences, except a default in the payment of the principal of or interest on any note, or in respect of a covenant or provision of the indenture under which the indenture cannot be modified or amended without the consent of the holder of each outstanding note.</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of the Indenture;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our obligations under the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all notes that have been authenticated and delivered have been delivered to the trustee for cancellation, or (2) all notes that have not been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and in the case of the foregoing clause 2(i), 2(ii) or 2(iii), we have deposited or caused to be deposited with the trustee trust funds in trust for such purpose, an amount sufficient to pay and discharge the entire indebtedness on the outstanding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by us under the indenture with respect to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the indenture relating to the satisfaction and discharge of the indenture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elect, at our option and at any time, to have our obligations discharged with respect to the outstanding notes, which we refer to as legal defeasance. Legal defeasance means that we will be deemed to have paid and discharged the entire indebtedness represented by the outstanding notes,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the holders of such notes to receive payments in respect of the principal of and interest on such notes when payments are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and the obligations of the trustee with respect to such notes concerning registration of notes, mutilated, destroyed, lost or stolen notes and the maintenance of an office or agency for payment and money for payments on the notes to be held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provisions and the application of trust money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at our option, to have our obligations released with respect to certain covenants contained in the indenture, which is also called covenant defeasance. In the event covenant defeasance occurs, certain events (not including non-payment, bankruptcy and insolvency events) will no longer constitute an event of default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outstanding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in trust for the purpose of making the following payments, specifically pledged as security for, and dedicated solely to the benefit of the holders of such notes, (i) an amount in dollars, (ii) U.S. government obligations that through the scheduled payment of principal and interest in respect thereof in accordance with their terms will provide, not later than one day before the due date of any payment on the notes, money, or (iii) a combination thereof, in each case, in an amount, sufficient to pay and discharge, and which will be applied by the trustee to pay and discharge, the entire indebtedness in respect of the principal of and interest on the notes on the stated maturity thereof or, with respect to notes called for redemption, on the redemption date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legal defeasance or covenant defeasance will not result in a breach or violation of, or constitute a default under, the indenture or any other material agreement or instrument to which the Company or any subsidiary is a party or by which it is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event which with notice or lapse of time or both would become an event of default with respect to the outstanding notes will have occurred and be continuing on the date of such deposit referred to in the first bullet point above (and in the case of legal defeasance will have occurred and be continuing at any time during the period ending on and including the 91st day after the date of such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we must have delivered to the trustee an opinion of counsel stating that (i) we have received from, or there has been published by, the Internal Revenue Service a ruling or (ii) since the date of the indenture there has been a change in the applicable U.S. federal income tax law, in either case to the effect that, and based thereon such opinion will confirm that, the holders of the notes will not recognize income, gain or loss for U.S. federal income tax purposes as a result of such legal defeasance to be effected with respect to such notes and will be subject to U.S. federal income tax on the same amounts, in the same manner and at the same times as would be the case if such legal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must have delivered to the trustee an opinion of counsel to the effect that the holders of the outstanding notes will not recognize income, gain or loss for U.S. federal income tax purposes as a result of such covenant defeasance to be effected with respect to the notes and will be subject to U.S. federal income tax on the same amount, in the same manner and at the same times as would be the case if such covenant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have delivered to the trustee an officers’ certificate and an opinion of counsel, each stating that all conditions precedent with respect to such legal defeasance or covenant defeasance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a discharge or defeasance, in the event the trustee is unable to apply the moneys deposited as contemplated under the satisfaction and discharge provisions of the indenture for any reason, our obligations under the indenture and the notes will be revived as if the deposit had never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Benchmark Transition Event </w:t>
      </w:r>
    </w:p>
    <w:p>
      <w:pPr>
        <w:pStyle w:val="TextBody"/>
        <w:bidi w:val="0"/>
        <w:spacing w:before="120" w:after="0"/>
        <w:jc w:val="left"/>
        <w:rPr>
          <w:rFonts w:ascii="Times New Roman" w:hAnsi="Times New Roman"/>
          <w:sz w:val="20"/>
        </w:rPr>
      </w:pPr>
      <w:r>
        <w:rPr>
          <w:rFonts w:ascii="Times New Roman" w:hAnsi="Times New Roman"/>
          <w:i/>
          <w:sz w:val="20"/>
        </w:rPr>
        <w:t>Benchmark Replacement</w:t>
      </w:r>
      <w:r>
        <w:rPr>
          <w:rFonts w:ascii="Times New Roman" w:hAnsi="Times New Roman"/>
          <w:sz w:val="20"/>
        </w:rPr>
        <w:t xml:space="preserve">. If the Calculation Agent determines that a Benchmark Transition Event and its related Benchmark Replacement Date have occurred on or prior to the Reference Time in respect of any determination of the Benchmark on any date, the Benchmark Replacement will replace the then-current Benchmark for all purposes relating to the notes during the relevant Floating Interest Period in respect of such determination on such date and all determinations on all subsequent dates. </w:t>
      </w:r>
    </w:p>
    <w:p>
      <w:pPr>
        <w:pStyle w:val="TextBody"/>
        <w:bidi w:val="0"/>
        <w:spacing w:before="240" w:after="0"/>
        <w:jc w:val="left"/>
        <w:rPr>
          <w:rFonts w:ascii="Times New Roman" w:hAnsi="Times New Roman"/>
          <w:sz w:val="20"/>
        </w:rPr>
      </w:pPr>
      <w:r>
        <w:rPr>
          <w:rFonts w:ascii="Times New Roman" w:hAnsi="Times New Roman"/>
          <w:i/>
          <w:sz w:val="20"/>
        </w:rPr>
        <w:t>Benchmark Replacement Conforming Changes</w:t>
      </w:r>
      <w:r>
        <w:rPr>
          <w:rFonts w:ascii="Times New Roman" w:hAnsi="Times New Roman"/>
          <w:sz w:val="20"/>
        </w:rPr>
        <w:t xml:space="preserve">. In connection with the implementation of a Benchmark Replacement, the Company will have the right to make Benchmark Replacement Conforming Changes from time to time, and such changes shall become effective without consent from the relevant holders or any other party. </w:t>
      </w:r>
    </w:p>
    <w:p>
      <w:pPr>
        <w:pStyle w:val="TextBody"/>
        <w:bidi w:val="0"/>
        <w:spacing w:before="240" w:after="0"/>
        <w:jc w:val="left"/>
        <w:rPr>
          <w:rFonts w:ascii="Times New Roman" w:hAnsi="Times New Roman"/>
          <w:sz w:val="20"/>
        </w:rPr>
      </w:pPr>
      <w:r>
        <w:rPr>
          <w:rFonts w:ascii="Times New Roman" w:hAnsi="Times New Roman"/>
          <w:i/>
          <w:sz w:val="20"/>
        </w:rPr>
        <w:t>Certain Defined Terms</w:t>
      </w:r>
      <w:r>
        <w:rPr>
          <w:rFonts w:ascii="Times New Roman" w:hAnsi="Times New Roman"/>
          <w:sz w:val="20"/>
        </w:rPr>
        <w:t xml:space="preserve">. As used herein: </w:t>
      </w:r>
    </w:p>
    <w:p>
      <w:pPr>
        <w:pStyle w:val="TextBody"/>
        <w:bidi w:val="0"/>
        <w:spacing w:before="240" w:after="0"/>
        <w:jc w:val="left"/>
        <w:rPr/>
      </w:pPr>
      <w:r>
        <w:rPr/>
        <w:t>“</w:t>
      </w:r>
      <w:r>
        <w:rPr>
          <w:rFonts w:ascii="Times New Roman" w:hAnsi="Times New Roman"/>
          <w:sz w:val="20"/>
        </w:rPr>
        <w:t xml:space="preserve">Benchmark Replacement” means the Interpolated Benchmark with respect to the then-current Benchmark, plus the Benchmark Replacement Adjustment for such Benchmark; provided that if: (i) the Calculation Agent cannot determine the Interpolated Benchmark as of the Benchmark Replacement Date, or (ii)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means the first alternative set forth in the order below that can be determined by the Calculation Agent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(A) Compounded SOFR and the (B) Benchmark Replacement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that of interest has been selected or recommended by the Relevant Governmental Body as the replacement for the then-current Benchmark for the applicable Corresponding Tenor and (b) the Benchmark Replacement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ISDA Fallback Rate and (b) the Benchmark Replacement Adjustment;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of interest that has been selected by the Calculation Agent as the replacement for the then-current Benchmark for the applicable Corresponding Tenor giving due consideration to any industry-accepted rate of interest as a replacement for the then-current Benchmark for U.S. dollar-denominated floating rate notes at such time, and (b) the Benchmark Replacement Adjustment.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(i), (ii), (iii) or (iv) above would be less than zero, the Benchmark Replacement will be deemed to be zero. </w:t>
      </w:r>
    </w:p>
    <w:p>
      <w:pPr>
        <w:pStyle w:val="TextBody"/>
        <w:bidi w:val="0"/>
        <w:spacing w:before="240" w:after="0"/>
        <w:jc w:val="left"/>
        <w:rPr/>
      </w:pPr>
      <w:r>
        <w:rPr/>
        <w:t>“</w:t>
      </w:r>
      <w:r>
        <w:rPr>
          <w:rFonts w:ascii="Times New Roman" w:hAnsi="Times New Roman"/>
          <w:sz w:val="20"/>
        </w:rPr>
        <w:t xml:space="preserve">Benchmark Replacement Adjustment” means the first alternative set forth in the order below that can be determined by the Calculation Agent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or method for calculating or determining such spread adjustment (which may be a positive or negative value or zero), that has been selected or recommended by the Relevant Governmental Body for the applicable Unadjusted Benchmark Replacement;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applicable Unadjusted Benchmark Replacement is equivalent to the ISDA Fallback Rate, then the ISDA Fallback Adjustment;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that has been selected by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 </w:t>
            </w:r>
          </w:p>
        </w:tc>
      </w:tr>
    </w:tbl>
    <w:p>
      <w:pPr>
        <w:pStyle w:val="TextBody"/>
        <w:bidi w:val="0"/>
        <w:spacing w:before="240" w:after="0"/>
        <w:jc w:val="left"/>
        <w:rPr/>
      </w:pPr>
      <w:r>
        <w:rPr/>
        <w:t>“</w:t>
      </w:r>
      <w:r>
        <w:rPr>
          <w:rFonts w:ascii="Times New Roman" w:hAnsi="Times New Roman"/>
          <w:sz w:val="20"/>
        </w:rPr>
        <w:t xml:space="preserve">Benchmark Replacement Conforming Changes” means, with respect to any Benchmark Replacement, any technical, administrative or operational changes (including, without limitation, changes to the definition of “Floating Interest Period,” timing and frequency of determining rates with respect to each Floating Interest Period and making payments of interest, rounding of amounts or tenors and other administrative matters) that the Calculation Agent or the Company decides may be appropriate to reflect the adoption of such Benchmark Replacement in a manner substantially consistent with market practice (or, if the Calculation Agent or the Company decides that adoption of any portion of such market practice is not administratively feasible or if the Calculation Agent or the Company determines that no market practice for use of the Benchmark Replacement exists, in such other manner as the Calculation Agent or the Company determines is reasonably necessary). </w:t>
      </w:r>
    </w:p>
    <w:p>
      <w:pPr>
        <w:pStyle w:val="TextBody"/>
        <w:bidi w:val="0"/>
        <w:spacing w:before="240" w:after="0"/>
        <w:jc w:val="left"/>
        <w:rPr/>
      </w:pPr>
      <w:r>
        <w:rPr/>
        <w:t>“</w:t>
      </w:r>
      <w:r>
        <w:rPr>
          <w:rFonts w:ascii="Times New Roman" w:hAnsi="Times New Roman"/>
          <w:sz w:val="20"/>
        </w:rPr>
        <w:t xml:space="preserve">Benchmark Replacement Date” means the earliest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(i) of the definition of “Benchmark Transition Event,” the relevant Reference Time in respect of any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(ii) or (iii) of the definition of “Benchmark Transition Event,” the later of (a) the date of the public statement or publication of information referenced therein and (b) the date on which the administrator of the Benchmark permanently or indefinitely ceases to provide the Benchmark;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(iv) of the definition of “Benchmark Transition Event,” the date of the public statement or publication of information referenced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purposes of such determination. </w:t>
      </w:r>
    </w:p>
    <w:p>
      <w:pPr>
        <w:pStyle w:val="TextBody"/>
        <w:bidi w:val="0"/>
        <w:spacing w:before="240" w:after="0"/>
        <w:jc w:val="left"/>
        <w:rPr/>
      </w:pPr>
      <w:r>
        <w:rPr/>
        <w:t>“</w:t>
      </w:r>
      <w:r>
        <w:rPr>
          <w:rFonts w:ascii="Times New Roman" w:hAnsi="Times New Roman"/>
          <w:sz w:val="20"/>
        </w:rPr>
        <w:t xml:space="preserve">Benchmark Transition Event” means the occurrence of one or more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Benchmark is Three-Month Term SOFR, the Calculation Agent or the Company determines that the use of a forward-looking rate for a tenor of three months based on SOFR is not administratively feasible;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announcing that the Benchmark is no longer representative. </w:t>
            </w:r>
          </w:p>
        </w:tc>
      </w:tr>
    </w:tbl>
    <w:p>
      <w:pPr>
        <w:pStyle w:val="TextBody"/>
        <w:bidi w:val="0"/>
        <w:spacing w:before="240" w:after="0"/>
        <w:jc w:val="left"/>
        <w:rPr/>
      </w:pPr>
      <w:r>
        <w:rPr/>
        <w:t>“</w:t>
      </w:r>
      <w:r>
        <w:rPr>
          <w:rFonts w:ascii="Times New Roman" w:hAnsi="Times New Roman"/>
          <w:sz w:val="20"/>
        </w:rPr>
        <w:t xml:space="preserve">Compounded SOFR” means the compounded average of SOFRs for the applicable Corresponding Tenor, with the rate, or methodology for this rate, and conventions for this rate being established by the Company in accordance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methodology for this rate, and conventions for this rate selected or recommended by the Relevant Governmental Body for determining Compounded SOFR;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to the extent that, the Calculation Agent determines that Compounded SOFR cannot be determined in accordance with clause (i) above, then the rate, or methodology for this rate, and conventions for this rate that have been selected by the Calculation Agent giving due consideration to any industry-accepted market practice for U.S. dollar-denominated floating rate notes at such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calculation of Compounded SOFR will exclude the Benchmark Replacement Adjustment (if applicable) and the spread of 422 basis points per annum. </w:t>
      </w:r>
    </w:p>
    <w:p>
      <w:pPr>
        <w:pStyle w:val="TextBody"/>
        <w:bidi w:val="0"/>
        <w:spacing w:before="240" w:after="0"/>
        <w:jc w:val="left"/>
        <w:rPr/>
      </w:pPr>
      <w:r>
        <w:rPr/>
        <w:t>“</w:t>
      </w:r>
      <w:r>
        <w:rPr>
          <w:rFonts w:ascii="Times New Roman" w:hAnsi="Times New Roman"/>
          <w:sz w:val="20"/>
        </w:rPr>
        <w:t xml:space="preserve">Corresponding Tenor” means (i) with respect to Term SOFR, three months, and (ii) with respect to a Benchmark Replacement, a tenor (including overnight) having approximately the same length (disregarding business day adjustment) as the applicable tenor for the then-current Benchmark. </w:t>
      </w:r>
    </w:p>
    <w:p>
      <w:pPr>
        <w:pStyle w:val="TextBody"/>
        <w:bidi w:val="0"/>
        <w:spacing w:before="240" w:after="0"/>
        <w:jc w:val="left"/>
        <w:rPr/>
      </w:pPr>
      <w:r>
        <w:rPr/>
        <w:t>“</w:t>
      </w:r>
      <w:r>
        <w:rPr>
          <w:rFonts w:ascii="Times New Roman" w:hAnsi="Times New Roman"/>
          <w:sz w:val="20"/>
        </w:rPr>
        <w:t xml:space="preserve">Interpolated Benchmark” with respect to the Benchmark means the rate determined for the Corresponding Tenor by interpolating on a linear basis between: (i) the Benchmark for the longest period (for which the Benchmark is available) that is shorter than the Corresponding Tenor, and (ii) the Benchmark for the shortest period (for which the Benchmark is available) that is longer than the Corresponding Tenor. </w:t>
      </w:r>
    </w:p>
    <w:p>
      <w:pPr>
        <w:pStyle w:val="TextBody"/>
        <w:bidi w:val="0"/>
        <w:spacing w:before="240" w:after="0"/>
        <w:jc w:val="left"/>
        <w:rPr/>
      </w:pPr>
      <w:r>
        <w:rPr/>
        <w:t>“</w:t>
      </w:r>
      <w:r>
        <w:rPr>
          <w:rFonts w:ascii="Times New Roman" w:hAnsi="Times New Roman"/>
          <w:sz w:val="20"/>
        </w:rPr>
        <w:t xml:space="preserve">ISDA” means the International Swaps and Derivatives Association, Inc. or any successor thereto. </w:t>
      </w:r>
    </w:p>
    <w:p>
      <w:pPr>
        <w:pStyle w:val="TextBody"/>
        <w:bidi w:val="0"/>
        <w:spacing w:before="240" w:after="0"/>
        <w:jc w:val="left"/>
        <w:rPr/>
      </w:pPr>
      <w:r>
        <w:rPr/>
        <w:t>“</w:t>
      </w:r>
      <w:r>
        <w:rPr>
          <w:rFonts w:ascii="Times New Roman" w:hAnsi="Times New Roman"/>
          <w:sz w:val="20"/>
        </w:rPr>
        <w:t xml:space="preserve">ISDA Definitions” means the 2006 ISDA Definitions published by the ISDA or any successor thereto, as amended or supplemented from time to time, or any successor definitional booklet for interest rate derivatives published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before="240" w:after="0"/>
        <w:jc w:val="left"/>
        <w:rPr/>
      </w:pPr>
      <w:r>
        <w:rPr/>
        <w:t>“</w:t>
      </w:r>
      <w:r>
        <w:rPr>
          <w:rFonts w:ascii="Times New Roman" w:hAnsi="Times New Roman"/>
          <w:sz w:val="20"/>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before="240" w:after="0"/>
        <w:jc w:val="left"/>
        <w:rPr/>
      </w:pPr>
      <w:r>
        <w:rPr/>
        <w:t>“</w:t>
      </w:r>
      <w:r>
        <w:rPr>
          <w:rFonts w:ascii="Times New Roman" w:hAnsi="Times New Roman"/>
          <w:sz w:val="20"/>
        </w:rPr>
        <w:t xml:space="preserve">Unadjusted Benchmark Replacement” means the Benchmark Replacement excluding the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terms “FRBNY’s Website,” “Reference Time,” “Relevant Governmental Body,” “SOFR” and “Term SOFR” have the meanings set forth above under the heading “—Principal, Maturity and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Determinations and Decisions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Calculation Agent is expressly authorized to make certain determinations, decisions and elections under the terms of the notes, including with respect to the use of Three-Month Term SOFR as the Benchmark for the Floating Rate Period and under the benchmark transition provisions. Any determination, decision or election that may be made by the Company or by the Calculation Agent pursuant to the benchmark transition provisions set forth herein, including any determination with respect to a tenor, rate or adjustment or of the occurrence or non-occurrence of an event, circumstance or date, and any decision to take or refrain from taking any action or any selection: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conclusive and binding absent manifest error;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the Company, will be made in the Company’s sole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the Calculation Agent, will be made after consultation with the Company, and the Calculation Agent will not make any such determination, decision or election to which the Company reasonably objects;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in the notes or the purchase agreement, shall become effective without consent from the relevant holders or any other party.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We may appoint a bank or other entity (which may be the Company or an affiliate of the Company) to act as the Calculation Agent for the notes during the Floating Rate Period. The initial Calculation Agent will be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National Association is acting as the trustee under the indenture and the initial paying agent and registrar for the notes. From time to time, we and some of our subsidiaries may maintain deposit accounts and conduct other banking transactions, including lending transactions, with the trustee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Except during the continuance of an event of default under the indenture, the trustee will perform only such duties as are specifically set forth in the indenture. During the continuance of an event of default that has not been cured or waived, the trustee will exercise such of the rights and powers vested in it by the indenture, and use the same degree of care and skill in their exercise, as a prudent person would exercise or use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and the Trust Indenture Act contain certain limitations on the rights of the trustee, should it become a creditor of our organization, to obtain payment of claims in certain cases or to realize on certain property received in respect of any such claim as security or otherwise. The trustee will be permitted to engage in other transactions; however, if it acquires any “conflicting interest” (as defined in the Trust Indenture Act) it must eliminate such conflict within 90 days, apply to the SEC for permission to continue or resign.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notes will have the right to direct the time, method and place of conducting any proceeding for any remedy available to the trustee or exercising any trust or power conferred on the trustee with respect to the notes, subject to certain exceptions. The indenture provides that in case an event of default has occurred and is continuing, the trustee will exercise such of the rights and powers vested in it by the indenture, and use the same degree of care and skill in their exercise, as a prudent person would exercise or use under the circumstances in the conduct of such person’s own affairs. Subject to such provisions, the trustee will be under no obligation to exercise any of the rights or powers vested in it by the indenture at the request or direction of any of the holders under the indenture, unless such holders will have provided to the trustee security or indemnity satisfactory to the trustee against the losses, liabilities and expenses which might be incurred by it in compliance with such request or direction.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Shareholders, Employees, Officers or Directors </w:t>
      </w:r>
    </w:p>
    <w:p>
      <w:pPr>
        <w:pStyle w:val="TextBody"/>
        <w:bidi w:val="0"/>
        <w:spacing w:before="120" w:after="0"/>
        <w:jc w:val="left"/>
        <w:rPr>
          <w:rFonts w:ascii="Times New Roman" w:hAnsi="Times New Roman"/>
          <w:sz w:val="20"/>
        </w:rPr>
      </w:pPr>
      <w:r>
        <w:rPr>
          <w:rFonts w:ascii="Times New Roman" w:hAnsi="Times New Roman"/>
          <w:sz w:val="20"/>
        </w:rPr>
        <w:t xml:space="preserve">No past, present or future director, officer, employee or shareholder of our company or any of our predecessors or successors, as such or in such capacity, will have any personal liability for any of our obligations under the notes or the indenture by reason of his, her or its status as such director, officer, employee or shareholder. Each holder of notes by accepting a note waives and releases all such liability. The waiver and release are part of the consideration for the issuance of the notes. Such waiver may not be effective to waive liabilities under the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notes and the indenture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toc32912_10"/>
      <w:bookmarkEnd w:id="12"/>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summary of the material U.S. federal income tax considerations of the exchange of outstanding Old Notes for New Notes in the exchange offer. It is not a complete analysis of all the potential tax considerations relating to the exchange of outstanding Old Notes for New Notes. This discussion is based upon the provisions of the Internal Revenue Code of 1986, as amended (the “Code”), its legislative history, existing and proposed regulations under the Code, and administrative and judicial interpretations, all as currently in effect. These authorities are subject to change, possibly on a retroactive basis. We cannot assure you that the Internal Revenue Service will not challenge one or more of the tax consequences described in this discussion, and we have not obtained, nor do we intend to obtain, a ruling from the Internal Revenue Service or an opinion of counsel with respect to the U.S. federal income tax consequences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tax treatment of a holder of notes may vary depending on the holder’s particular situation. This discussion is limited to the U.S. federal income tax consequences applicable to holders that purchased their Old Notes from us in the initial offering and at the initial offering price for cash and who held the Old Notes, and will hold the New Notes, as capital assets within the meaning of Section 1221 of the Code for U.S. federal income tax purposes. This discussion does not address all U.S. federal income tax considerations that may be applicable to holders’ particular circumstances or to holders that may be subject to special tax rules under U.S. federal income tax laws, including, but not limited to, banks, insurance companies, or other financial institutions, regulated investment companies, real estate investment trusts, tax-exempt organizations, dealers or traders in securities, commodities or currencies, U.S. expatriates, controlled foreign corporations, passive foreign investment companies, holders subject to the alternative minimum tax, traders in securities that elect to use a mark-to-market method of accounting for their securities holdings, United States holders whose functional currency is not the United States dollar, persons that will hold the New Notes as a position in a hedging transaction, straddle, conversion transaction or other integrated transactions or risk reduction transaction, persons deemed to sell the New Notes under the constructive sale provisions of the Code, persons that will hold the New Notes in an individual retirement account, 401(k) plan or similar tax-favored account, an accrual method taxpayer who is required to recognize income for U.S. federal income tax purposes no later than when such income is taken into account for financial accounting purposes, a person that purchases or sells notes as part of a wash sale for tax purposes, or entities or arrangements classified as partnerships for U.S. federal income tax purposes or other pass-through entities, or investors in such entities. This discussion does not address the tax considerations arising under the laws of any foreign, state or local jurisdiction, or any non-income tax consequences of the exchange of Old Notes for New Notes.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Old Notes for New Notes in the exchange offer should not constitute a taxable exchange for U.S. federal income tax purposes. Consequently, (1) holders of Old Notes should not recognize gain or loss upon the receipt of New Notes in the exchange offer, (2) a holder’s basis in the New Notes received in the exchange offer should be the same as such holder’s basis in the Old Notes surrendered in exchange therefor immediately before the exchange, and (3) a holder’s holding period in the New Notes should include such holder’s holding period in the Old Notes surrendered in exchange therefor.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material United States Federal Income Tax Considerations is for general information only and may not be applicable depending upon a holder’s particular situation. Holders of Old Notes considering the exchange offer are urged to consult their own tax advisors with respect to the tax consequences to them of exchanging Old Notes for New Notes, including the tax consequences under state, local, estate, foreign and other tax laws and the possible effects of changes in United States or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toc32912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New Notes for its own account pursuant to the exchange offer must acknowledge that it may be a statutory underwriter and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provided that such broker-dealer notifies the Company to that effect by so indicating on the letter of transmittal. To the extent that any notifying broker-dealer participates in the exchange offer, we will use our commercially reasonable efforts to maintain the effectiveness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sale of New Notes by broker-dealers or any other persons.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New Notes. Any broker-dealer that receives New Notes in exchange for Old Notes acquired for its own account as a result of market-making activities or other trading activities, and resells such New Notes, and any broker-dealer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will promptly send additional copies of this prospectus and any amendment or supplement to this prospectus to any broker-dealer that reasonably requests such documents. We have agreed to pay certain expenses in connection with the exchange offer and will indemnify the holders of the Old Notes (including any broker-dealers) against certain liabilities, including certain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oc32912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New Notes will be passed upon for us by Squire Patton Boggs (US) LLP. </w:t>
      </w:r>
    </w:p>
    <w:p>
      <w:pPr>
        <w:pStyle w:val="TextBody"/>
        <w:bidi w:val="0"/>
        <w:spacing w:before="480" w:after="0"/>
        <w:jc w:val="center"/>
        <w:rPr>
          <w:rFonts w:ascii="Times New Roman" w:hAnsi="Times New Roman"/>
          <w:b/>
          <w:sz w:val="20"/>
        </w:rPr>
      </w:pPr>
      <w:bookmarkStart w:id="15" w:name="toc32912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balance sheets of USCB Financial Holdings Inc. as of December 31, 2024 and 2023, the related consolidated statements of operations, comprehensive income (loss), changes in stockholders’ equity, and cash flows for each of the years then ended, as incorporated in this prospectus by reference from the Company’s Annual Report on Form 10-K for the year ended December 31, 2024, have been audited by Crowe LLP, an independent registered public accounting firm, as stated in their report. Such consolidated financial statements are incorporated by reference in reliance upon the report of such firm given their authority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bookmarkStart w:id="16" w:name="toc32912_14"/>
      <w:bookmarkEnd w:id="16"/>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20.</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b/>
          <w:sz w:val="20"/>
          <w:u w:val="single"/>
        </w:rPr>
        <w:t>Florida Law.</w:t>
      </w:r>
      <w:r>
        <w:rPr>
          <w:rFonts w:ascii="Times New Roman" w:hAnsi="Times New Roman"/>
          <w:sz w:val="20"/>
        </w:rPr>
        <w:t xml:space="preserve"> The Florida Business Corporation Act, as amended (the “FBCA”) permits, under certain circumstances, the indemnification of officers, directors, employees and agents of a corporation with respect to any threatened, pending or completed action, suit or proceeding, whether civil, criminal, administrative or investigative, and whether formal or informal, to which such person was or is a party or is threatened to be made a party, by reason of his or her being an officer, director, employee or agent of a corporation, or is or was serving at the request of, such corporation as a director, officer, employee or agent of another corporation, partnership, joint venture, trust or other enterprise, against liability incurred in connection with such proceeding, including appeals thereof; provided, however, that the officer, director, employee or agent acted in good faith and in a manner that he or she reasonably believed to be in, or not opposed to, the best interests of the corporation and, with respect to any criminal action or proceeding, had no reasonable cause to believe his or her conduct was unlawful. The termination of any such third-party action by judgment, order, settlement, or conviction or upon a plea of nolo contendere or its equivalent does not, of itself, create a presumption that the person (1) did not act in good faith and in a manner which he or she reasonably believed to be in, or not opposed to, the best interests of the corporation or (2) with respect to any criminal action or proceeding, had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proceedings by or in the right of the corporation, the statute permits indemnification of any person by reason of the fact that such person is or was a director, officer, employee or agent of the corporation, or is or was serving at the request of, such corporation as a director, officer, employee or agent of another corporation, partnership, joint venture, trust or other enterprise, against expenses and certain amounts paid in settlement in connection with such proceeding, including appeals thereof; provided, however, that the officer, director, employee or agent acted in good faith and in a manner that he or she reasonably believed to be in, or not opposed to, the best interests of the corporation, except that no indemnification is made where such person is adjudged liable, unless, and only to the extent that, the court in which such proceeding was brought, or any other court of competent jurisdiction, determines that, despite the adjudication of liability but in view of all circumstances of the case, such person is fairly and reasonably entitled to indemnity for such expenses which such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such person is successful on the merits or otherwise in defending against any such proceeding, the statute provides that he or she shall be indemnified against expenses actually and reasonably incurred by him or her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Also, under the statute, expenses incurred by an officer or director in defending a civil or criminal proceeding may be paid by the corporation in advance of the final disposition of such proceeding upon receipt of an undertaking by or on behalf of such director or officer to repay such amount if he or she is ultimately found not to be entitled to indemnification by the corporation pursuant to this section. Expenses incurred by other employees and agents may be paid in advance upon such terms or conditions that the board of directors deems appropriate. </w:t>
      </w:r>
    </w:p>
    <w:p>
      <w:pPr>
        <w:pStyle w:val="TextBody"/>
        <w:bidi w:val="0"/>
        <w:spacing w:before="240" w:after="0"/>
        <w:jc w:val="left"/>
        <w:rPr>
          <w:rFonts w:ascii="Times New Roman" w:hAnsi="Times New Roman"/>
          <w:sz w:val="20"/>
        </w:rPr>
      </w:pPr>
      <w:r>
        <w:rPr>
          <w:rFonts w:ascii="Times New Roman" w:hAnsi="Times New Roman"/>
          <w:b/>
          <w:sz w:val="20"/>
          <w:u w:val="single"/>
        </w:rPr>
        <w:t>Articles of Incorporation and Bylaws</w:t>
      </w:r>
      <w:r>
        <w:rPr>
          <w:rFonts w:ascii="Times New Roman" w:hAnsi="Times New Roman"/>
          <w:sz w:val="20"/>
          <w:u w:val="single"/>
        </w:rPr>
        <w:t xml:space="preserve">. </w:t>
      </w:r>
      <w:r>
        <w:rPr>
          <w:rFonts w:ascii="Times New Roman" w:hAnsi="Times New Roman"/>
          <w:sz w:val="20"/>
        </w:rPr>
        <w:t xml:space="preserve">Our Articles of Incorporation provide that our officers, directors, employees and agents (and any other persons to which the applicable provisions of the FCBA or any other applicable law not in conflict therewith permits us to provide indemnification) will be indemnified by us to the fullest extent authorized by applicable law, as it now exists or may in the future be amended. Our Articles of Incorporation also acknowledges that the directors nominated by certain of our affiliated stockholders (each an “Investor Director”) may have certain rights to indemnification, advancement of expenses and/or insurance provided by the Priam Capital Fund II, LP, Patriot Financial Partners II, L.P., Patriot Financial Partners Parallel II, L.P. and/or certain of their respective affiliates (collectively, the “Investor Indemnitors”). We agree (1)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the indemnitor of first resort (i.e., our obligations to each Investor Director are primary and any obligation of Investor Indemnitors to advance expenses or to provide indemnification for the same expenses or liabilities incurred by any Investor Director are secondary), and (2) that we shall be required to advance the full amount of expenses incurred by each Investor Director and shall be liable for the full amount of all expenses and liabilities, in each case, to the extent permitted by law, without regard to any rights an Investor Director may have against any Investor Indemnitor.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(“Bylaws”) contain indemnification provisions similar to the FBCA, and further provide that we may purchase and maintain insurance on behalf of our directors, officers, employees and agents in their capacities as such, or serving at the request of us, against any liabilities asserted against such persons and incurred by such persons in any capacity, or arising of such persons status as such, whether or not we would have the power to indemnify such persons against such liability under our Bylaws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for the directors and officers of the Company or for persons controlling such entity, pursuant to our Articles, Bylaws or the FBCA, we acknowledge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authority granted to us by the FBCA to indemnify our directors, certain other provisions of the FBCA have the effect of further limiting the personal liability of our directors. For example, a director of a Florida corporation cannot be held personally liable for monetary damages to the corporation or any other person for any statement, vote, decision or failure to act regarding corporate management or policy except in the case of certain qualifying breaches of the director’s duties.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herewith or are incorporated herein by reference to other filings of the Registrant: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3"/>
        <w:gridCol w:w="562"/>
        <w:gridCol w:w="8750"/>
      </w:tblGrid>
      <w:tr>
        <w:trPr/>
        <w:tc>
          <w:tcPr>
            <w:tcW w:w="893" w:type="dxa"/>
            <w:tcBorders/>
            <w:vAlign w:val="center"/>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8750" w:type="dxa"/>
            <w:tcBorders/>
            <w:vAlign w:val="center"/>
          </w:tcPr>
          <w:p>
            <w:pPr>
              <w:pStyle w:val="TableContents"/>
              <w:bidi w:val="0"/>
              <w:spacing w:before="0" w:after="283"/>
              <w:jc w:val="left"/>
              <w:rPr>
                <w:sz w:val="4"/>
                <w:szCs w:val="4"/>
              </w:rPr>
            </w:pPr>
            <w:r>
              <w:rPr>
                <w:sz w:val="4"/>
                <w:szCs w:val="4"/>
              </w:rPr>
            </w:r>
          </w:p>
        </w:tc>
      </w:tr>
      <w:tr>
        <w:trPr/>
        <w:tc>
          <w:tcPr>
            <w:tcW w:w="893"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62" w:type="dxa"/>
            <w:tcBorders/>
            <w:vAlign w:val="bottom"/>
          </w:tcPr>
          <w:p>
            <w:pPr>
              <w:pStyle w:val="TableContents"/>
              <w:bidi w:val="0"/>
              <w:spacing w:before="0" w:after="283"/>
              <w:jc w:val="left"/>
              <w:rPr/>
            </w:pPr>
            <w:r>
              <w:rPr/>
              <w:t>  </w:t>
            </w:r>
          </w:p>
        </w:tc>
        <w:tc>
          <w:tcPr>
            <w:tcW w:w="87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Document Description/Title</w:t>
            </w:r>
          </w:p>
        </w:tc>
      </w:tr>
      <w:tr>
        <w:trPr/>
        <w:tc>
          <w:tcPr>
            <w:tcW w:w="893" w:type="dxa"/>
            <w:tcBorders/>
          </w:tcPr>
          <w:p>
            <w:pPr>
              <w:pStyle w:val="TableContents"/>
              <w:bidi w:val="0"/>
              <w:spacing w:before="0" w:after="283"/>
              <w:jc w:val="left"/>
              <w:rPr/>
            </w:pPr>
            <w:r>
              <w:rPr/>
              <w:t> </w:t>
            </w:r>
            <w:r>
              <w:rPr/>
              <w:t>3.1</w:t>
            </w:r>
          </w:p>
        </w:tc>
        <w:tc>
          <w:tcPr>
            <w:tcW w:w="562"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2">
              <w:r>
                <w:rPr>
                  <w:rStyle w:val="InternetLink"/>
                </w:rPr>
                <w:t xml:space="preserve">Articles of Incorporation of the Company (incorporated by reference to Exhibit 3.1  to the Company’s Quarterly Report on Form 10-Q (File No. 001-41196) filed with the SEC on August 11, 2023).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3.2</w:t>
            </w:r>
          </w:p>
        </w:tc>
        <w:tc>
          <w:tcPr>
            <w:tcW w:w="562"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3">
              <w:r>
                <w:rPr>
                  <w:rStyle w:val="InternetLink"/>
                </w:rPr>
                <w:t>Amended and Restated Bylaws of the Company (incorporated by reference to Exhibit 3.1 to the Company’s Current Report on Form 8-K (File No. 001-41196) filed with the SEC on July 26, 2023).</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4.1</w:t>
            </w:r>
          </w:p>
        </w:tc>
        <w:tc>
          <w:tcPr>
            <w:tcW w:w="562"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4">
              <w:r>
                <w:rPr>
                  <w:rStyle w:val="InternetLink"/>
                </w:rPr>
                <w:t xml:space="preserve">Side Letter Agreement, dated December  30, 2021, between the Company, the Bank, Priam Capital Fund II, LP, Patriot Financial Partners II, L.P. and Patriot Financial Partners Parallel II, L.P. (incorporated by reference to Exhibit 4.1 to the Company’s Current Report on Form 8-K (File No. 001-41196) filed with the SEC on December 30, 2021).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4.2</w:t>
            </w:r>
          </w:p>
        </w:tc>
        <w:tc>
          <w:tcPr>
            <w:tcW w:w="562"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5">
              <w:r>
                <w:rPr>
                  <w:rStyle w:val="InternetLink"/>
                </w:rPr>
                <w:t>Registration Rights Agreement, dated March 17, 2015, between the Bank, Priam  Capital Fund II, LP, Patriot Financial Partners II, L.P., Patriot Financial Partners Parallel II, L.P., and certain other shareholders of the Bank (incorporated by reference to Exhibit 4.2 to the Company’s Current Report on Form 8-K (File No. 001-41196) filed with the SEC on December 30, 2021).</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4.3</w:t>
            </w:r>
          </w:p>
        </w:tc>
        <w:tc>
          <w:tcPr>
            <w:tcW w:w="562"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6">
              <w:r>
                <w:rPr>
                  <w:rStyle w:val="InternetLink"/>
                </w:rPr>
                <w:t xml:space="preserve">Assignment and Assumption of Agreement, dated December  30, 2021, between the Bank and the Company (incorporated by reference to Exhibit 4.3 to the Company’s Current Report on Form 8-K (File No. 001-41196)  filed with the SEC on December 30, 2021).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4.4</w:t>
            </w:r>
          </w:p>
        </w:tc>
        <w:tc>
          <w:tcPr>
            <w:tcW w:w="562"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7">
              <w:r>
                <w:rPr>
                  <w:rStyle w:val="InternetLink"/>
                </w:rPr>
                <w:t xml:space="preserve">Indenture, dated August  14, 2025, by and between the Company and Wilmington Trust, National Association, as trustee (incorporated herein by reference to Exhibit 4.1 of the Company’s Current Report on Form 8-K (File No. 001-41196) filed with the SEC on August 14, 2025).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75"/>
        <w:gridCol w:w="554"/>
        <w:gridCol w:w="8776"/>
      </w:tblGrid>
      <w:tr>
        <w:trPr/>
        <w:tc>
          <w:tcPr>
            <w:tcW w:w="875"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8776" w:type="dxa"/>
            <w:tcBorders/>
            <w:vAlign w:val="center"/>
          </w:tcPr>
          <w:p>
            <w:pPr>
              <w:pStyle w:val="TableContents"/>
              <w:bidi w:val="0"/>
              <w:spacing w:before="0" w:after="283"/>
              <w:jc w:val="left"/>
              <w:rPr>
                <w:sz w:val="4"/>
                <w:szCs w:val="4"/>
              </w:rPr>
            </w:pPr>
            <w:r>
              <w:rPr>
                <w:sz w:val="4"/>
                <w:szCs w:val="4"/>
              </w:rPr>
            </w:r>
          </w:p>
        </w:tc>
      </w:tr>
      <w:tr>
        <w:trPr/>
        <w:tc>
          <w:tcPr>
            <w:tcW w:w="875"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54" w:type="dxa"/>
            <w:tcBorders/>
            <w:vAlign w:val="bottom"/>
          </w:tcPr>
          <w:p>
            <w:pPr>
              <w:pStyle w:val="TableContents"/>
              <w:bidi w:val="0"/>
              <w:spacing w:before="0" w:after="283"/>
              <w:jc w:val="left"/>
              <w:rPr/>
            </w:pPr>
            <w:r>
              <w:rPr/>
              <w:t>  </w:t>
            </w:r>
          </w:p>
        </w:tc>
        <w:tc>
          <w:tcPr>
            <w:tcW w:w="8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Document Description/Title</w:t>
            </w:r>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 </w:t>
            </w:r>
            <w:r>
              <w:rPr/>
              <w:t>4.5</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r:id="rId18">
              <w:r>
                <w:rPr>
                  <w:rStyle w:val="InternetLink"/>
                </w:rPr>
                <w:t xml:space="preserve">Forms of 7.625% Fixed-to-Floating  Rate Subordinated Note due 2035 (included as Exhibit A-1 and Exhibit A-2  to the Indenture incorporated herein by reference to Exhibit 4.4). </w:t>
              </w:r>
            </w:hyperlink>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 </w:t>
            </w:r>
            <w:r>
              <w:rPr/>
              <w:t>4.6</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r:id="rId19">
              <w:r>
                <w:rPr>
                  <w:rStyle w:val="InternetLink"/>
                </w:rPr>
                <w:t xml:space="preserve">Form of Registration Rights Agreement, dated August  14, 2025, by and among the Company and the Purchasers of the Old Notes signatory thereto (incorporated herein by reference to Exhibit 10.2 of the Company’s Current Report on Form 8-K (File No. 001-41196) filed with the SEC on August 14, 2025). </w:t>
              </w:r>
            </w:hyperlink>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 </w:t>
            </w:r>
            <w:r>
              <w:rPr/>
              <w:t>5.1</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2912dex51.htm">
              <w:r>
                <w:rPr>
                  <w:rStyle w:val="InternetLink"/>
                </w:rPr>
                <w:t xml:space="preserve">Opinion of Squire Patton Boggs (US) LLP (filed herewith). </w:t>
              </w:r>
            </w:hyperlink>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10.1</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r:id="rId20">
              <w:r>
                <w:rPr>
                  <w:rStyle w:val="InternetLink"/>
                </w:rPr>
                <w:t xml:space="preserve">Form of Subordinated Note Purchase Agreement, dated August  14, 2025, by and among the Company and the Purchasers of the Old Notes signatory thereto (incorporated herein by reference to Exhibit 10.1 of the Company’s Current Report on Form 8-K (File No. 001-41196) filed with the SEC on August 14, 2025). </w:t>
              </w:r>
            </w:hyperlink>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21.1</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r:id="rId21">
              <w:r>
                <w:rPr>
                  <w:rStyle w:val="InternetLink"/>
                </w:rPr>
                <w:t xml:space="preserve">Subsidiaries of the Company, incorporated herein by reference to Exhibit 21.1 of the Company’s Annual Report on Form 10-K (File No. 001-41196) filed with the SEC on March 14, 2025. </w:t>
              </w:r>
            </w:hyperlink>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23.1</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2912dex231.htm">
              <w:r>
                <w:rPr>
                  <w:rStyle w:val="InternetLink"/>
                </w:rPr>
                <w:t xml:space="preserve">Consent of Crowe LLP (filed herewith). </w:t>
              </w:r>
            </w:hyperlink>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23.2</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2912dex51.htm">
              <w:r>
                <w:rPr>
                  <w:rStyle w:val="InternetLink"/>
                </w:rPr>
                <w:t>Consent of Squire Patton Boggs (US) LLP (included in the opinion filed as Exhibit 5.1).</w:t>
              </w:r>
            </w:hyperlink>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24.1</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sig">
              <w:r>
                <w:rPr>
                  <w:rStyle w:val="InternetLink"/>
                </w:rPr>
                <w:t xml:space="preserve">Power of Attorney (included in Part II as a part of the signature page of this Registration Statement). </w:t>
              </w:r>
            </w:hyperlink>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25.1</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2912dex251.htm">
              <w:r>
                <w:rPr>
                  <w:rStyle w:val="InternetLink"/>
                </w:rPr>
                <w:t xml:space="preserve">Form T-1 Statement of Eligibility under the Trust Indenture Act of 1939, as amended, of Wilmington Trust, National Association (filed herewith). </w:t>
              </w:r>
            </w:hyperlink>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99.1</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2912dex991.htm">
              <w:r>
                <w:rPr>
                  <w:rStyle w:val="InternetLink"/>
                </w:rPr>
                <w:t xml:space="preserve">Form of Letter of Transmittal (filed herewith). </w:t>
              </w:r>
            </w:hyperlink>
          </w:p>
        </w:tc>
      </w:tr>
      <w:tr>
        <w:trPr>
          <w:trHeight w:val="120" w:hRule="atLeast"/>
        </w:trPr>
        <w:tc>
          <w:tcPr>
            <w:tcW w:w="875" w:type="dxa"/>
            <w:tcBorders/>
            <w:vAlign w:val="center"/>
          </w:tcPr>
          <w:p>
            <w:pPr>
              <w:pStyle w:val="TableContents"/>
              <w:bidi w:val="0"/>
              <w:spacing w:before="0" w:after="283"/>
              <w:jc w:val="left"/>
              <w:rPr>
                <w:sz w:val="4"/>
                <w:szCs w:val="4"/>
              </w:rPr>
            </w:pPr>
            <w:r>
              <w:rPr>
                <w:sz w:val="4"/>
                <w:szCs w:val="4"/>
              </w:rPr>
            </w:r>
          </w:p>
        </w:tc>
        <w:tc>
          <w:tcPr>
            <w:tcW w:w="9330" w:type="dxa"/>
            <w:gridSpan w:val="2"/>
            <w:tcBorders/>
            <w:vAlign w:val="center"/>
          </w:tcPr>
          <w:p>
            <w:pPr>
              <w:pStyle w:val="TableContents"/>
              <w:bidi w:val="0"/>
              <w:spacing w:before="0" w:after="283"/>
              <w:jc w:val="left"/>
              <w:rPr>
                <w:sz w:val="4"/>
                <w:szCs w:val="4"/>
              </w:rPr>
            </w:pPr>
            <w:r>
              <w:rPr>
                <w:sz w:val="4"/>
                <w:szCs w:val="4"/>
              </w:rPr>
            </w:r>
          </w:p>
        </w:tc>
      </w:tr>
      <w:tr>
        <w:trPr/>
        <w:tc>
          <w:tcPr>
            <w:tcW w:w="875" w:type="dxa"/>
            <w:tcBorders/>
          </w:tcPr>
          <w:p>
            <w:pPr>
              <w:pStyle w:val="TableContents"/>
              <w:bidi w:val="0"/>
              <w:spacing w:before="0" w:after="283"/>
              <w:jc w:val="left"/>
              <w:rPr/>
            </w:pPr>
            <w:r>
              <w:rPr/>
              <w:t>107</w:t>
            </w:r>
          </w:p>
        </w:tc>
        <w:tc>
          <w:tcPr>
            <w:tcW w:w="554"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2912dexfilingfees.htm">
              <w:r>
                <w:rPr>
                  <w:rStyle w:val="InternetLink"/>
                </w:rPr>
                <w:t xml:space="preserve">Filing Fee Table (filed herewith).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22.</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240" w:after="0"/>
        <w:jc w:val="left"/>
        <w:rPr>
          <w:rFonts w:ascii="Times New Roman" w:hAnsi="Times New Roman"/>
          <w:sz w:val="20"/>
        </w:rPr>
      </w:pPr>
      <w:r>
        <w:rPr>
          <w:rFonts w:ascii="Times New Roman" w:hAnsi="Times New Roman"/>
          <w:sz w:val="20"/>
        </w:rPr>
        <w:t>The undersigned registrant hereby undertakes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240" w:after="0"/>
        <w:jc w:val="left"/>
        <w:rPr>
          <w:rFonts w:ascii="Times New Roman" w:hAnsi="Times New Roman"/>
          <w:sz w:val="20"/>
        </w:rPr>
      </w:pPr>
      <w:r>
        <w:rPr>
          <w:rFonts w:ascii="Times New Roman" w:hAnsi="Times New Roman"/>
          <w:sz w:val="20"/>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to respond to respond to requests for information that is incorporated by reference into the prospectus pursuant to Items 4, 10(b), 11, or 13 of this Form, within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to supply by means of a poste-effective amendment all information concerning a transaction, and the company being acquired involved therein, that was not the subject of and included in the registration statement when it became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oc32912_15"/>
      <w:bookmarkStart w:id="18" w:name="sig"/>
      <w:bookmarkEnd w:id="17"/>
      <w:bookmarkEnd w:id="1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Company has duly caused this Registration Statement to be signed on its behalf by the undersigned, thereunto duly authorized, in the City of Doral, State of Florida, on November 7, 2025. </w:t>
      </w:r>
    </w:p>
    <w:p>
      <w:pPr>
        <w:pStyle w:val="TextBody"/>
        <w:bidi w:val="0"/>
        <w:spacing w:before="240" w:after="0"/>
        <w:jc w:val="right"/>
        <w:rPr>
          <w:rFonts w:ascii="Times New Roman" w:hAnsi="Times New Roman"/>
          <w:sz w:val="20"/>
        </w:rPr>
      </w:pPr>
      <w:r>
        <w:rPr>
          <w:rFonts w:ascii="Times New Roman" w:hAnsi="Times New Roman"/>
          <w:b/>
          <w:sz w:val="20"/>
        </w:rPr>
        <w:t>USCB FINANCIAL HOLIDNGS. INC.</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center"/>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Luis de la Aguilera</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Luis de la Aguilera</w:t>
            </w:r>
          </w:p>
          <w:p>
            <w:pPr>
              <w:pStyle w:val="TableContents"/>
              <w:bidi w:val="0"/>
              <w:spacing w:before="0" w:after="20"/>
              <w:jc w:val="left"/>
              <w:rPr>
                <w:rFonts w:ascii="Times New Roman" w:hAnsi="Times New Roman"/>
                <w:sz w:val="20"/>
              </w:rPr>
            </w:pPr>
            <w:r>
              <w:rPr>
                <w:rFonts w:ascii="Times New Roman" w:hAnsi="Times New Roman"/>
                <w:sz w:val="20"/>
              </w:rPr>
              <w:t>President and Chief Executive Officer</w:t>
            </w:r>
          </w:p>
        </w:tc>
      </w:tr>
    </w:tbl>
    <w:p>
      <w:pPr>
        <w:pStyle w:val="TextBody"/>
        <w:bidi w:val="0"/>
        <w:spacing w:before="480" w:after="0"/>
        <w:jc w:val="center"/>
        <w:rPr>
          <w:rFonts w:ascii="Times New Roman" w:hAnsi="Times New Roman"/>
          <w:b/>
          <w:sz w:val="20"/>
        </w:rPr>
      </w:pPr>
      <w:bookmarkStart w:id="19" w:name="toc32912_16"/>
      <w:bookmarkEnd w:id="19"/>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by so signing, each of the undersigned, in his or her capacity as a director or officer, or both, as the case may be, of USCB Financial Holdings, Inc., does hereby appoint Luis de la Aguilera and Robert Anderson, and each of them severally, his or her true and lawful attorney-in-fact and agent, with full power of substitution and resubstitution, to execute in his or her name, place and stead, in his or her capacity as a director or officer, or both, as the case may be, of USCB Financial Holdings, Inc., this Registration Statement and any and all amendments to this Registration Statement, post-effective amendments and supplements thereto, and to sign any subsequent registration statement filed pursuant to Rule 462(b) under the Securities Act of 1933, as amended, and all instruments necessary or incidental in connection therewith, and to file the same with the Securities and Exchange Commission. Each of said attorneys-in-fact and agents shall have full power and authority to do and perform in the name and on behalf of each of the undersigned, in any and all capacities, every act whatsoever requisite or necessary to be done in the premises as fully, and for all intents and purposes, as each of the undersigned might or could do in person, the undersigned hereby ratifying and approving the acts of said attorneys-in-fact and each of them and their substitutes lawfully done or caused to be done by virtue of this 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on November 7, 2025 by the following persons in the capacities indicated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33"/>
        <w:gridCol w:w="120"/>
        <w:gridCol w:w="4460"/>
        <w:gridCol w:w="201"/>
        <w:gridCol w:w="2091"/>
      </w:tblGrid>
      <w:tr>
        <w:trPr/>
        <w:tc>
          <w:tcPr>
            <w:tcW w:w="33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3333" w:type="dxa"/>
            <w:tcBorders/>
            <w:vAlign w:val="bottom"/>
          </w:tcPr>
          <w:p>
            <w:pPr>
              <w:pStyle w:val="TableContents"/>
              <w:bidi w:val="0"/>
              <w:spacing w:before="0" w:after="283"/>
              <w:jc w:val="left"/>
              <w:rPr>
                <w:b/>
              </w:rPr>
            </w:pPr>
            <w:r>
              <w:rPr>
                <w:b/>
              </w:rPr>
              <w:t>Signature</w:t>
            </w:r>
          </w:p>
        </w:tc>
        <w:tc>
          <w:tcPr>
            <w:tcW w:w="120" w:type="dxa"/>
            <w:tcBorders/>
            <w:vAlign w:val="bottom"/>
          </w:tcPr>
          <w:p>
            <w:pPr>
              <w:pStyle w:val="TableContents"/>
              <w:bidi w:val="0"/>
              <w:spacing w:before="0" w:after="283"/>
              <w:jc w:val="left"/>
              <w:rPr/>
            </w:pPr>
            <w:r>
              <w:rPr/>
              <w:t>  </w:t>
            </w:r>
          </w:p>
        </w:tc>
        <w:tc>
          <w:tcPr>
            <w:tcW w:w="4460" w:type="dxa"/>
            <w:tcBorders/>
            <w:vAlign w:val="bottom"/>
          </w:tcPr>
          <w:p>
            <w:pPr>
              <w:pStyle w:val="TableContents"/>
              <w:bidi w:val="0"/>
              <w:spacing w:before="0" w:after="283"/>
              <w:jc w:val="center"/>
              <w:rPr>
                <w:b/>
              </w:rPr>
            </w:pPr>
            <w:r>
              <w:rPr>
                <w:b/>
              </w:rPr>
              <w:t>Title</w:t>
            </w:r>
          </w:p>
        </w:tc>
        <w:tc>
          <w:tcPr>
            <w:tcW w:w="201" w:type="dxa"/>
            <w:tcBorders/>
            <w:vAlign w:val="bottom"/>
          </w:tcPr>
          <w:p>
            <w:pPr>
              <w:pStyle w:val="TableContents"/>
              <w:bidi w:val="0"/>
              <w:spacing w:before="0" w:after="283"/>
              <w:jc w:val="left"/>
              <w:rPr/>
            </w:pPr>
            <w:r>
              <w:rPr/>
              <w:t> </w:t>
            </w:r>
          </w:p>
        </w:tc>
        <w:tc>
          <w:tcPr>
            <w:tcW w:w="2091" w:type="dxa"/>
            <w:tcBorders/>
            <w:vAlign w:val="bottom"/>
          </w:tcPr>
          <w:p>
            <w:pPr>
              <w:pStyle w:val="TableContents"/>
              <w:bidi w:val="0"/>
              <w:spacing w:before="0" w:after="283"/>
              <w:jc w:val="center"/>
              <w:rPr>
                <w:b/>
              </w:rPr>
            </w:pPr>
            <w:r>
              <w:rPr>
                <w:b/>
              </w:rPr>
              <w:t>Date</w:t>
            </w:r>
          </w:p>
        </w:tc>
      </w:tr>
      <w:tr>
        <w:trPr>
          <w:trHeight w:val="240" w:hRule="atLeast"/>
        </w:trPr>
        <w:tc>
          <w:tcPr>
            <w:tcW w:w="3333" w:type="dxa"/>
            <w:tcBorders/>
            <w:vAlign w:val="center"/>
          </w:tcPr>
          <w:p>
            <w:pPr>
              <w:pStyle w:val="TableContents"/>
              <w:bidi w:val="0"/>
              <w:spacing w:before="0" w:after="283"/>
              <w:jc w:val="left"/>
              <w:rPr>
                <w:sz w:val="4"/>
                <w:szCs w:val="4"/>
              </w:rPr>
            </w:pPr>
            <w:r>
              <w:rPr>
                <w:sz w:val="4"/>
                <w:szCs w:val="4"/>
              </w:rPr>
            </w:r>
          </w:p>
        </w:tc>
        <w:tc>
          <w:tcPr>
            <w:tcW w:w="4580" w:type="dxa"/>
            <w:gridSpan w:val="2"/>
            <w:tcBorders/>
            <w:vAlign w:val="center"/>
          </w:tcPr>
          <w:p>
            <w:pPr>
              <w:pStyle w:val="TableContents"/>
              <w:bidi w:val="0"/>
              <w:spacing w:before="0" w:after="283"/>
              <w:jc w:val="left"/>
              <w:rPr>
                <w:sz w:val="4"/>
                <w:szCs w:val="4"/>
              </w:rPr>
            </w:pPr>
            <w:r>
              <w:rPr>
                <w:sz w:val="4"/>
                <w:szCs w:val="4"/>
              </w:rPr>
            </w:r>
          </w:p>
        </w:tc>
        <w:tc>
          <w:tcPr>
            <w:tcW w:w="2292" w:type="dxa"/>
            <w:gridSpan w:val="2"/>
            <w:tcBorders/>
            <w:vAlign w:val="center"/>
          </w:tcPr>
          <w:p>
            <w:pPr>
              <w:pStyle w:val="TableContents"/>
              <w:bidi w:val="0"/>
              <w:spacing w:before="0" w:after="283"/>
              <w:jc w:val="left"/>
              <w:rPr>
                <w:sz w:val="4"/>
                <w:szCs w:val="4"/>
              </w:rPr>
            </w:pPr>
            <w:r>
              <w:rPr>
                <w:sz w:val="4"/>
                <w:szCs w:val="4"/>
              </w:rPr>
            </w:r>
          </w:p>
        </w:tc>
      </w:tr>
      <w:tr>
        <w:trPr/>
        <w:tc>
          <w:tcPr>
            <w:tcW w:w="333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Luis de la Aguilera</w:t>
            </w:r>
          </w:p>
          <w:p>
            <w:pPr>
              <w:pStyle w:val="TableContents"/>
              <w:bidi w:val="0"/>
              <w:spacing w:before="0" w:after="20"/>
              <w:jc w:val="left"/>
              <w:rPr>
                <w:rFonts w:ascii="Times New Roman" w:hAnsi="Times New Roman"/>
                <w:sz w:val="20"/>
              </w:rPr>
            </w:pPr>
            <w:r>
              <w:rPr>
                <w:rFonts w:ascii="Times New Roman" w:hAnsi="Times New Roman"/>
                <w:sz w:val="20"/>
              </w:rPr>
              <w:t>Luis de la Aguilera</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Chairman, President and Chief Executive Officer (Principal Executive Officer and Director)</w:t>
            </w:r>
          </w:p>
        </w:tc>
        <w:tc>
          <w:tcPr>
            <w:tcW w:w="201" w:type="dxa"/>
            <w:tcBorders/>
            <w:vAlign w:val="bottom"/>
          </w:tcPr>
          <w:p>
            <w:pPr>
              <w:pStyle w:val="TableContents"/>
              <w:bidi w:val="0"/>
              <w:spacing w:before="0" w:after="283"/>
              <w:jc w:val="left"/>
              <w:rPr/>
            </w:pPr>
            <w:r>
              <w:rPr/>
              <w:t> </w:t>
            </w:r>
          </w:p>
        </w:tc>
        <w:tc>
          <w:tcPr>
            <w:tcW w:w="2091" w:type="dxa"/>
            <w:tcBorders/>
          </w:tcPr>
          <w:p>
            <w:pPr>
              <w:pStyle w:val="TableContents"/>
              <w:bidi w:val="0"/>
              <w:spacing w:before="0" w:after="283"/>
              <w:jc w:val="center"/>
              <w:rPr/>
            </w:pPr>
            <w:r>
              <w:rPr/>
              <w:t>November 7, 2025</w:t>
            </w:r>
          </w:p>
        </w:tc>
      </w:tr>
      <w:tr>
        <w:trPr>
          <w:trHeight w:val="240" w:hRule="atLeast"/>
        </w:trPr>
        <w:tc>
          <w:tcPr>
            <w:tcW w:w="3333" w:type="dxa"/>
            <w:tcBorders/>
            <w:vAlign w:val="center"/>
          </w:tcPr>
          <w:p>
            <w:pPr>
              <w:pStyle w:val="TableContents"/>
              <w:bidi w:val="0"/>
              <w:spacing w:before="0" w:after="283"/>
              <w:jc w:val="left"/>
              <w:rPr>
                <w:sz w:val="4"/>
                <w:szCs w:val="4"/>
              </w:rPr>
            </w:pPr>
            <w:r>
              <w:rPr>
                <w:sz w:val="4"/>
                <w:szCs w:val="4"/>
              </w:rPr>
            </w:r>
          </w:p>
        </w:tc>
        <w:tc>
          <w:tcPr>
            <w:tcW w:w="4580" w:type="dxa"/>
            <w:gridSpan w:val="2"/>
            <w:tcBorders/>
            <w:vAlign w:val="center"/>
          </w:tcPr>
          <w:p>
            <w:pPr>
              <w:pStyle w:val="TableContents"/>
              <w:bidi w:val="0"/>
              <w:spacing w:before="0" w:after="283"/>
              <w:jc w:val="left"/>
              <w:rPr>
                <w:sz w:val="4"/>
                <w:szCs w:val="4"/>
              </w:rPr>
            </w:pPr>
            <w:r>
              <w:rPr>
                <w:sz w:val="4"/>
                <w:szCs w:val="4"/>
              </w:rPr>
            </w:r>
          </w:p>
        </w:tc>
        <w:tc>
          <w:tcPr>
            <w:tcW w:w="2292" w:type="dxa"/>
            <w:gridSpan w:val="2"/>
            <w:tcBorders/>
            <w:vAlign w:val="center"/>
          </w:tcPr>
          <w:p>
            <w:pPr>
              <w:pStyle w:val="TableContents"/>
              <w:bidi w:val="0"/>
              <w:spacing w:before="0" w:after="283"/>
              <w:jc w:val="left"/>
              <w:rPr>
                <w:sz w:val="4"/>
                <w:szCs w:val="4"/>
              </w:rPr>
            </w:pPr>
            <w:r>
              <w:rPr>
                <w:sz w:val="4"/>
                <w:szCs w:val="4"/>
              </w:rPr>
            </w:r>
          </w:p>
        </w:tc>
      </w:tr>
      <w:tr>
        <w:trPr/>
        <w:tc>
          <w:tcPr>
            <w:tcW w:w="333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Anderson</w:t>
            </w:r>
          </w:p>
          <w:p>
            <w:pPr>
              <w:pStyle w:val="TableContents"/>
              <w:bidi w:val="0"/>
              <w:spacing w:before="0" w:after="20"/>
              <w:jc w:val="left"/>
              <w:rPr>
                <w:rFonts w:ascii="Times New Roman" w:hAnsi="Times New Roman"/>
                <w:sz w:val="20"/>
              </w:rPr>
            </w:pPr>
            <w:r>
              <w:rPr>
                <w:rFonts w:ascii="Times New Roman" w:hAnsi="Times New Roman"/>
                <w:sz w:val="20"/>
              </w:rPr>
              <w:t>Robert Anderson</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 (Principal Financial and Principal Accounting Officer)</w:t>
            </w:r>
          </w:p>
        </w:tc>
        <w:tc>
          <w:tcPr>
            <w:tcW w:w="201" w:type="dxa"/>
            <w:tcBorders/>
            <w:vAlign w:val="bottom"/>
          </w:tcPr>
          <w:p>
            <w:pPr>
              <w:pStyle w:val="TableContents"/>
              <w:bidi w:val="0"/>
              <w:spacing w:before="0" w:after="283"/>
              <w:jc w:val="left"/>
              <w:rPr/>
            </w:pPr>
            <w:r>
              <w:rPr/>
              <w:t> </w:t>
            </w:r>
          </w:p>
        </w:tc>
        <w:tc>
          <w:tcPr>
            <w:tcW w:w="2091" w:type="dxa"/>
            <w:tcBorders/>
          </w:tcPr>
          <w:p>
            <w:pPr>
              <w:pStyle w:val="TableContents"/>
              <w:bidi w:val="0"/>
              <w:spacing w:before="0" w:after="283"/>
              <w:jc w:val="center"/>
              <w:rPr/>
            </w:pPr>
            <w:r>
              <w:rPr/>
              <w:t>November 7, 2025</w:t>
            </w:r>
          </w:p>
        </w:tc>
      </w:tr>
      <w:tr>
        <w:trPr>
          <w:trHeight w:val="240" w:hRule="atLeast"/>
        </w:trPr>
        <w:tc>
          <w:tcPr>
            <w:tcW w:w="3333" w:type="dxa"/>
            <w:tcBorders/>
            <w:vAlign w:val="center"/>
          </w:tcPr>
          <w:p>
            <w:pPr>
              <w:pStyle w:val="TableContents"/>
              <w:bidi w:val="0"/>
              <w:spacing w:before="0" w:after="283"/>
              <w:jc w:val="left"/>
              <w:rPr>
                <w:sz w:val="4"/>
                <w:szCs w:val="4"/>
              </w:rPr>
            </w:pPr>
            <w:r>
              <w:rPr>
                <w:sz w:val="4"/>
                <w:szCs w:val="4"/>
              </w:rPr>
            </w:r>
          </w:p>
        </w:tc>
        <w:tc>
          <w:tcPr>
            <w:tcW w:w="4580" w:type="dxa"/>
            <w:gridSpan w:val="2"/>
            <w:tcBorders/>
            <w:vAlign w:val="center"/>
          </w:tcPr>
          <w:p>
            <w:pPr>
              <w:pStyle w:val="TableContents"/>
              <w:bidi w:val="0"/>
              <w:spacing w:before="0" w:after="283"/>
              <w:jc w:val="left"/>
              <w:rPr>
                <w:sz w:val="4"/>
                <w:szCs w:val="4"/>
              </w:rPr>
            </w:pPr>
            <w:r>
              <w:rPr>
                <w:sz w:val="4"/>
                <w:szCs w:val="4"/>
              </w:rPr>
            </w:r>
          </w:p>
        </w:tc>
        <w:tc>
          <w:tcPr>
            <w:tcW w:w="2292" w:type="dxa"/>
            <w:gridSpan w:val="2"/>
            <w:tcBorders/>
            <w:vAlign w:val="center"/>
          </w:tcPr>
          <w:p>
            <w:pPr>
              <w:pStyle w:val="TableContents"/>
              <w:bidi w:val="0"/>
              <w:spacing w:before="0" w:after="283"/>
              <w:jc w:val="left"/>
              <w:rPr>
                <w:sz w:val="4"/>
                <w:szCs w:val="4"/>
              </w:rPr>
            </w:pPr>
            <w:r>
              <w:rPr>
                <w:sz w:val="4"/>
                <w:szCs w:val="4"/>
              </w:rPr>
            </w:r>
          </w:p>
        </w:tc>
      </w:tr>
      <w:tr>
        <w:trPr/>
        <w:tc>
          <w:tcPr>
            <w:tcW w:w="333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Aida Levitan</w:t>
            </w:r>
          </w:p>
          <w:p>
            <w:pPr>
              <w:pStyle w:val="TableContents"/>
              <w:bidi w:val="0"/>
              <w:spacing w:before="0" w:after="20"/>
              <w:jc w:val="left"/>
              <w:rPr>
                <w:rFonts w:ascii="Times New Roman" w:hAnsi="Times New Roman"/>
                <w:sz w:val="20"/>
              </w:rPr>
            </w:pPr>
            <w:r>
              <w:rPr>
                <w:rFonts w:ascii="Times New Roman" w:hAnsi="Times New Roman"/>
                <w:sz w:val="20"/>
              </w:rPr>
              <w:t>Aida Levitan</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2091" w:type="dxa"/>
            <w:tcBorders/>
          </w:tcPr>
          <w:p>
            <w:pPr>
              <w:pStyle w:val="TableContents"/>
              <w:bidi w:val="0"/>
              <w:spacing w:before="0" w:after="283"/>
              <w:jc w:val="center"/>
              <w:rPr/>
            </w:pPr>
            <w:r>
              <w:rPr/>
              <w:t>November 7, 2025</w:t>
            </w:r>
          </w:p>
        </w:tc>
      </w:tr>
      <w:tr>
        <w:trPr>
          <w:trHeight w:val="240" w:hRule="atLeast"/>
        </w:trPr>
        <w:tc>
          <w:tcPr>
            <w:tcW w:w="3333" w:type="dxa"/>
            <w:tcBorders/>
            <w:vAlign w:val="center"/>
          </w:tcPr>
          <w:p>
            <w:pPr>
              <w:pStyle w:val="TableContents"/>
              <w:bidi w:val="0"/>
              <w:spacing w:before="0" w:after="283"/>
              <w:jc w:val="left"/>
              <w:rPr>
                <w:sz w:val="4"/>
                <w:szCs w:val="4"/>
              </w:rPr>
            </w:pPr>
            <w:r>
              <w:rPr>
                <w:sz w:val="4"/>
                <w:szCs w:val="4"/>
              </w:rPr>
            </w:r>
          </w:p>
        </w:tc>
        <w:tc>
          <w:tcPr>
            <w:tcW w:w="4580" w:type="dxa"/>
            <w:gridSpan w:val="2"/>
            <w:tcBorders/>
            <w:vAlign w:val="center"/>
          </w:tcPr>
          <w:p>
            <w:pPr>
              <w:pStyle w:val="TableContents"/>
              <w:bidi w:val="0"/>
              <w:spacing w:before="0" w:after="283"/>
              <w:jc w:val="left"/>
              <w:rPr>
                <w:sz w:val="4"/>
                <w:szCs w:val="4"/>
              </w:rPr>
            </w:pPr>
            <w:r>
              <w:rPr>
                <w:sz w:val="4"/>
                <w:szCs w:val="4"/>
              </w:rPr>
            </w:r>
          </w:p>
        </w:tc>
        <w:tc>
          <w:tcPr>
            <w:tcW w:w="2292" w:type="dxa"/>
            <w:gridSpan w:val="2"/>
            <w:tcBorders/>
            <w:vAlign w:val="center"/>
          </w:tcPr>
          <w:p>
            <w:pPr>
              <w:pStyle w:val="TableContents"/>
              <w:bidi w:val="0"/>
              <w:spacing w:before="0" w:after="283"/>
              <w:jc w:val="left"/>
              <w:rPr>
                <w:sz w:val="4"/>
                <w:szCs w:val="4"/>
              </w:rPr>
            </w:pPr>
            <w:r>
              <w:rPr>
                <w:sz w:val="4"/>
                <w:szCs w:val="4"/>
              </w:rPr>
            </w:r>
          </w:p>
        </w:tc>
      </w:tr>
      <w:tr>
        <w:trPr/>
        <w:tc>
          <w:tcPr>
            <w:tcW w:w="333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Howard Feinglass</w:t>
            </w:r>
          </w:p>
          <w:p>
            <w:pPr>
              <w:pStyle w:val="TableContents"/>
              <w:bidi w:val="0"/>
              <w:spacing w:before="0" w:after="20"/>
              <w:jc w:val="left"/>
              <w:rPr>
                <w:rFonts w:ascii="Times New Roman" w:hAnsi="Times New Roman"/>
                <w:sz w:val="20"/>
              </w:rPr>
            </w:pPr>
            <w:r>
              <w:rPr>
                <w:rFonts w:ascii="Times New Roman" w:hAnsi="Times New Roman"/>
                <w:sz w:val="20"/>
              </w:rPr>
              <w:t>Howard Feinglass</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2091" w:type="dxa"/>
            <w:tcBorders/>
          </w:tcPr>
          <w:p>
            <w:pPr>
              <w:pStyle w:val="TableContents"/>
              <w:bidi w:val="0"/>
              <w:spacing w:before="0" w:after="283"/>
              <w:jc w:val="center"/>
              <w:rPr/>
            </w:pPr>
            <w:r>
              <w:rPr/>
              <w:t>November 7,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351"/>
        <w:gridCol w:w="121"/>
        <w:gridCol w:w="4413"/>
        <w:gridCol w:w="202"/>
        <w:gridCol w:w="2118"/>
      </w:tblGrid>
      <w:tr>
        <w:trPr/>
        <w:tc>
          <w:tcPr>
            <w:tcW w:w="335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1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r>
      <w:tr>
        <w:trPr/>
        <w:tc>
          <w:tcPr>
            <w:tcW w:w="3351" w:type="dxa"/>
            <w:tcBorders/>
            <w:vAlign w:val="bottom"/>
          </w:tcPr>
          <w:p>
            <w:pPr>
              <w:pStyle w:val="TableContents"/>
              <w:bidi w:val="0"/>
              <w:spacing w:before="0" w:after="283"/>
              <w:jc w:val="left"/>
              <w:rPr>
                <w:b/>
              </w:rPr>
            </w:pPr>
            <w:r>
              <w:rPr>
                <w:b/>
              </w:rPr>
              <w:t>Signature</w:t>
            </w:r>
          </w:p>
        </w:tc>
        <w:tc>
          <w:tcPr>
            <w:tcW w:w="121" w:type="dxa"/>
            <w:tcBorders/>
            <w:vAlign w:val="bottom"/>
          </w:tcPr>
          <w:p>
            <w:pPr>
              <w:pStyle w:val="TableContents"/>
              <w:bidi w:val="0"/>
              <w:spacing w:before="0" w:after="283"/>
              <w:jc w:val="left"/>
              <w:rPr/>
            </w:pPr>
            <w:r>
              <w:rPr/>
              <w:t>  </w:t>
            </w:r>
          </w:p>
        </w:tc>
        <w:tc>
          <w:tcPr>
            <w:tcW w:w="4413" w:type="dxa"/>
            <w:tcBorders/>
            <w:vAlign w:val="bottom"/>
          </w:tcPr>
          <w:p>
            <w:pPr>
              <w:pStyle w:val="TableContents"/>
              <w:bidi w:val="0"/>
              <w:spacing w:before="0" w:after="283"/>
              <w:jc w:val="center"/>
              <w:rPr>
                <w:b/>
              </w:rPr>
            </w:pPr>
            <w:r>
              <w:rPr>
                <w:b/>
              </w:rPr>
              <w:t>Title</w:t>
            </w:r>
          </w:p>
        </w:tc>
        <w:tc>
          <w:tcPr>
            <w:tcW w:w="202" w:type="dxa"/>
            <w:tcBorders/>
            <w:vAlign w:val="bottom"/>
          </w:tcPr>
          <w:p>
            <w:pPr>
              <w:pStyle w:val="TableContents"/>
              <w:bidi w:val="0"/>
              <w:spacing w:before="0" w:after="283"/>
              <w:jc w:val="left"/>
              <w:rPr/>
            </w:pPr>
            <w:r>
              <w:rPr/>
              <w:t> </w:t>
            </w:r>
          </w:p>
        </w:tc>
        <w:tc>
          <w:tcPr>
            <w:tcW w:w="2118" w:type="dxa"/>
            <w:tcBorders/>
            <w:vAlign w:val="bottom"/>
          </w:tcPr>
          <w:p>
            <w:pPr>
              <w:pStyle w:val="TableContents"/>
              <w:bidi w:val="0"/>
              <w:spacing w:before="0" w:after="283"/>
              <w:jc w:val="center"/>
              <w:rPr>
                <w:b/>
              </w:rPr>
            </w:pPr>
            <w:r>
              <w:rPr>
                <w:b/>
              </w:rPr>
              <w:t>Date</w:t>
            </w:r>
          </w:p>
        </w:tc>
      </w:tr>
      <w:tr>
        <w:trPr>
          <w:trHeight w:val="240" w:hRule="atLeast"/>
        </w:trPr>
        <w:tc>
          <w:tcPr>
            <w:tcW w:w="3351" w:type="dxa"/>
            <w:tcBorders/>
            <w:vAlign w:val="center"/>
          </w:tcPr>
          <w:p>
            <w:pPr>
              <w:pStyle w:val="TableContents"/>
              <w:bidi w:val="0"/>
              <w:spacing w:before="0" w:after="283"/>
              <w:jc w:val="left"/>
              <w:rPr>
                <w:sz w:val="4"/>
                <w:szCs w:val="4"/>
              </w:rPr>
            </w:pPr>
            <w:r>
              <w:rPr>
                <w:sz w:val="4"/>
                <w:szCs w:val="4"/>
              </w:rPr>
            </w:r>
          </w:p>
        </w:tc>
        <w:tc>
          <w:tcPr>
            <w:tcW w:w="4534"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33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 Kirk Wycoff</w:t>
            </w:r>
          </w:p>
          <w:p>
            <w:pPr>
              <w:pStyle w:val="TableContents"/>
              <w:bidi w:val="0"/>
              <w:spacing w:before="0" w:after="20"/>
              <w:jc w:val="left"/>
              <w:rPr>
                <w:rFonts w:ascii="Times New Roman" w:hAnsi="Times New Roman"/>
                <w:sz w:val="20"/>
              </w:rPr>
            </w:pPr>
            <w:r>
              <w:rPr>
                <w:rFonts w:ascii="Times New Roman" w:hAnsi="Times New Roman"/>
                <w:sz w:val="20"/>
              </w:rPr>
              <w:t>W. Kirk Wycoff</w:t>
            </w:r>
          </w:p>
        </w:tc>
        <w:tc>
          <w:tcPr>
            <w:tcW w:w="121"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2118" w:type="dxa"/>
            <w:tcBorders/>
          </w:tcPr>
          <w:p>
            <w:pPr>
              <w:pStyle w:val="TableContents"/>
              <w:bidi w:val="0"/>
              <w:spacing w:before="0" w:after="283"/>
              <w:jc w:val="center"/>
              <w:rPr/>
            </w:pPr>
            <w:r>
              <w:rPr/>
              <w:t>November 7, 2025</w:t>
            </w:r>
          </w:p>
        </w:tc>
      </w:tr>
      <w:tr>
        <w:trPr>
          <w:trHeight w:val="240" w:hRule="atLeast"/>
        </w:trPr>
        <w:tc>
          <w:tcPr>
            <w:tcW w:w="3351" w:type="dxa"/>
            <w:tcBorders/>
            <w:vAlign w:val="center"/>
          </w:tcPr>
          <w:p>
            <w:pPr>
              <w:pStyle w:val="TableContents"/>
              <w:bidi w:val="0"/>
              <w:spacing w:before="0" w:after="283"/>
              <w:jc w:val="left"/>
              <w:rPr>
                <w:sz w:val="4"/>
                <w:szCs w:val="4"/>
              </w:rPr>
            </w:pPr>
            <w:r>
              <w:rPr>
                <w:sz w:val="4"/>
                <w:szCs w:val="4"/>
              </w:rPr>
            </w:r>
          </w:p>
        </w:tc>
        <w:tc>
          <w:tcPr>
            <w:tcW w:w="4534"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33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Ramon A. Abadin</w:t>
            </w:r>
          </w:p>
          <w:p>
            <w:pPr>
              <w:pStyle w:val="TableContents"/>
              <w:bidi w:val="0"/>
              <w:spacing w:before="0" w:after="20"/>
              <w:jc w:val="left"/>
              <w:rPr>
                <w:rFonts w:ascii="Times New Roman" w:hAnsi="Times New Roman"/>
                <w:sz w:val="20"/>
              </w:rPr>
            </w:pPr>
            <w:r>
              <w:rPr>
                <w:rFonts w:ascii="Times New Roman" w:hAnsi="Times New Roman"/>
                <w:sz w:val="20"/>
              </w:rPr>
              <w:t>Ramon A. Abadin</w:t>
            </w:r>
          </w:p>
        </w:tc>
        <w:tc>
          <w:tcPr>
            <w:tcW w:w="121"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2118" w:type="dxa"/>
            <w:tcBorders/>
          </w:tcPr>
          <w:p>
            <w:pPr>
              <w:pStyle w:val="TableContents"/>
              <w:bidi w:val="0"/>
              <w:spacing w:before="0" w:after="283"/>
              <w:jc w:val="center"/>
              <w:rPr/>
            </w:pPr>
            <w:r>
              <w:rPr/>
              <w:t>November 7, 2025</w:t>
            </w:r>
          </w:p>
        </w:tc>
      </w:tr>
      <w:tr>
        <w:trPr>
          <w:trHeight w:val="240" w:hRule="atLeast"/>
        </w:trPr>
        <w:tc>
          <w:tcPr>
            <w:tcW w:w="3351" w:type="dxa"/>
            <w:tcBorders/>
            <w:vAlign w:val="center"/>
          </w:tcPr>
          <w:p>
            <w:pPr>
              <w:pStyle w:val="TableContents"/>
              <w:bidi w:val="0"/>
              <w:spacing w:before="0" w:after="283"/>
              <w:jc w:val="left"/>
              <w:rPr>
                <w:sz w:val="4"/>
                <w:szCs w:val="4"/>
              </w:rPr>
            </w:pPr>
            <w:r>
              <w:rPr>
                <w:sz w:val="4"/>
                <w:szCs w:val="4"/>
              </w:rPr>
            </w:r>
          </w:p>
        </w:tc>
        <w:tc>
          <w:tcPr>
            <w:tcW w:w="4534"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33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Bernardo B. Fernandez</w:t>
            </w:r>
          </w:p>
          <w:p>
            <w:pPr>
              <w:pStyle w:val="TableContents"/>
              <w:bidi w:val="0"/>
              <w:spacing w:before="0" w:after="20"/>
              <w:jc w:val="left"/>
              <w:rPr>
                <w:rFonts w:ascii="Times New Roman" w:hAnsi="Times New Roman"/>
                <w:sz w:val="20"/>
              </w:rPr>
            </w:pPr>
            <w:r>
              <w:rPr>
                <w:rFonts w:ascii="Times New Roman" w:hAnsi="Times New Roman"/>
                <w:sz w:val="20"/>
              </w:rPr>
              <w:t>Bernardo B. Fernandez</w:t>
            </w:r>
          </w:p>
        </w:tc>
        <w:tc>
          <w:tcPr>
            <w:tcW w:w="121"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2118" w:type="dxa"/>
            <w:tcBorders/>
          </w:tcPr>
          <w:p>
            <w:pPr>
              <w:pStyle w:val="TableContents"/>
              <w:bidi w:val="0"/>
              <w:spacing w:before="0" w:after="283"/>
              <w:jc w:val="center"/>
              <w:rPr/>
            </w:pPr>
            <w:r>
              <w:rPr/>
              <w:t>November 7, 2025</w:t>
            </w:r>
          </w:p>
        </w:tc>
      </w:tr>
      <w:tr>
        <w:trPr>
          <w:trHeight w:val="240" w:hRule="atLeast"/>
        </w:trPr>
        <w:tc>
          <w:tcPr>
            <w:tcW w:w="3351" w:type="dxa"/>
            <w:tcBorders/>
            <w:vAlign w:val="center"/>
          </w:tcPr>
          <w:p>
            <w:pPr>
              <w:pStyle w:val="TableContents"/>
              <w:bidi w:val="0"/>
              <w:spacing w:before="0" w:after="283"/>
              <w:jc w:val="left"/>
              <w:rPr>
                <w:sz w:val="4"/>
                <w:szCs w:val="4"/>
              </w:rPr>
            </w:pPr>
            <w:r>
              <w:rPr>
                <w:sz w:val="4"/>
                <w:szCs w:val="4"/>
              </w:rPr>
            </w:r>
          </w:p>
        </w:tc>
        <w:tc>
          <w:tcPr>
            <w:tcW w:w="4534"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33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Ramón A. Rodriguez</w:t>
            </w:r>
          </w:p>
          <w:p>
            <w:pPr>
              <w:pStyle w:val="TableContents"/>
              <w:bidi w:val="0"/>
              <w:spacing w:before="0" w:after="20"/>
              <w:jc w:val="left"/>
              <w:rPr>
                <w:rFonts w:ascii="Times New Roman" w:hAnsi="Times New Roman"/>
                <w:sz w:val="20"/>
              </w:rPr>
            </w:pPr>
            <w:r>
              <w:rPr>
                <w:rFonts w:ascii="Times New Roman" w:hAnsi="Times New Roman"/>
                <w:sz w:val="20"/>
              </w:rPr>
              <w:t>Ramón A. Rodriguez</w:t>
            </w:r>
          </w:p>
        </w:tc>
        <w:tc>
          <w:tcPr>
            <w:tcW w:w="121"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2118" w:type="dxa"/>
            <w:tcBorders/>
          </w:tcPr>
          <w:p>
            <w:pPr>
              <w:pStyle w:val="TableContents"/>
              <w:bidi w:val="0"/>
              <w:spacing w:before="0" w:after="283"/>
              <w:jc w:val="center"/>
              <w:rPr/>
            </w:pPr>
            <w:r>
              <w:rPr/>
              <w:t>November 7, 2025</w:t>
            </w:r>
          </w:p>
        </w:tc>
      </w:tr>
      <w:tr>
        <w:trPr>
          <w:trHeight w:val="240" w:hRule="atLeast"/>
        </w:trPr>
        <w:tc>
          <w:tcPr>
            <w:tcW w:w="3351" w:type="dxa"/>
            <w:tcBorders/>
            <w:vAlign w:val="center"/>
          </w:tcPr>
          <w:p>
            <w:pPr>
              <w:pStyle w:val="TableContents"/>
              <w:bidi w:val="0"/>
              <w:spacing w:before="0" w:after="283"/>
              <w:jc w:val="left"/>
              <w:rPr>
                <w:sz w:val="4"/>
                <w:szCs w:val="4"/>
              </w:rPr>
            </w:pPr>
            <w:r>
              <w:rPr>
                <w:sz w:val="4"/>
                <w:szCs w:val="4"/>
              </w:rPr>
            </w:r>
          </w:p>
        </w:tc>
        <w:tc>
          <w:tcPr>
            <w:tcW w:w="4534"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33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Maria C. Alonso</w:t>
            </w:r>
          </w:p>
          <w:p>
            <w:pPr>
              <w:pStyle w:val="TableContents"/>
              <w:bidi w:val="0"/>
              <w:spacing w:before="0" w:after="20"/>
              <w:jc w:val="left"/>
              <w:rPr>
                <w:rFonts w:ascii="Times New Roman" w:hAnsi="Times New Roman"/>
                <w:sz w:val="20"/>
              </w:rPr>
            </w:pPr>
            <w:r>
              <w:rPr>
                <w:rFonts w:ascii="Times New Roman" w:hAnsi="Times New Roman"/>
                <w:sz w:val="20"/>
              </w:rPr>
              <w:t>Maria C. Alonso</w:t>
            </w:r>
          </w:p>
        </w:tc>
        <w:tc>
          <w:tcPr>
            <w:tcW w:w="121"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2118" w:type="dxa"/>
            <w:tcBorders/>
          </w:tcPr>
          <w:p>
            <w:pPr>
              <w:pStyle w:val="TableContents"/>
              <w:bidi w:val="0"/>
              <w:spacing w:before="0" w:after="283"/>
              <w:jc w:val="center"/>
              <w:rPr/>
            </w:pPr>
            <w:r>
              <w:rPr/>
              <w:t>November 7, 2025</w:t>
            </w:r>
          </w:p>
        </w:tc>
      </w:tr>
      <w:tr>
        <w:trPr>
          <w:trHeight w:val="240" w:hRule="atLeast"/>
        </w:trPr>
        <w:tc>
          <w:tcPr>
            <w:tcW w:w="3351" w:type="dxa"/>
            <w:tcBorders/>
            <w:vAlign w:val="center"/>
          </w:tcPr>
          <w:p>
            <w:pPr>
              <w:pStyle w:val="TableContents"/>
              <w:bidi w:val="0"/>
              <w:spacing w:before="0" w:after="283"/>
              <w:jc w:val="left"/>
              <w:rPr>
                <w:sz w:val="4"/>
                <w:szCs w:val="4"/>
              </w:rPr>
            </w:pPr>
            <w:r>
              <w:rPr>
                <w:sz w:val="4"/>
                <w:szCs w:val="4"/>
              </w:rPr>
            </w:r>
          </w:p>
        </w:tc>
        <w:tc>
          <w:tcPr>
            <w:tcW w:w="4534"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33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E. Kafafian</w:t>
            </w:r>
          </w:p>
          <w:p>
            <w:pPr>
              <w:pStyle w:val="TableContents"/>
              <w:bidi w:val="0"/>
              <w:spacing w:before="0" w:after="20"/>
              <w:jc w:val="left"/>
              <w:rPr>
                <w:rFonts w:ascii="Times New Roman" w:hAnsi="Times New Roman"/>
                <w:sz w:val="20"/>
              </w:rPr>
            </w:pPr>
            <w:r>
              <w:rPr>
                <w:rFonts w:ascii="Times New Roman" w:hAnsi="Times New Roman"/>
                <w:sz w:val="20"/>
              </w:rPr>
              <w:t>Robert E. Kafafian</w:t>
            </w:r>
          </w:p>
        </w:tc>
        <w:tc>
          <w:tcPr>
            <w:tcW w:w="121"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2118" w:type="dxa"/>
            <w:tcBorders/>
          </w:tcPr>
          <w:p>
            <w:pPr>
              <w:pStyle w:val="TableContents"/>
              <w:bidi w:val="0"/>
              <w:spacing w:before="0" w:after="283"/>
              <w:jc w:val="center"/>
              <w:rPr/>
            </w:pPr>
            <w:r>
              <w:rPr/>
              <w:t>November 7,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20" w:name="d32912dex51.htm"/>
      <w:bookmarkStart w:id="21" w:name="ksd32912dex51"/>
      <w:bookmarkEnd w:id="20"/>
      <w:bookmarkEnd w:id="21"/>
      <w:r>
        <w:rPr>
          <w:rFonts w:ascii="Times New Roman" w:hAnsi="Times New Roman"/>
          <w:b/>
          <w:sz w:val="20"/>
        </w:rPr>
        <w:t xml:space="preserve">Exhibit 5.1 </w:t>
      </w:r>
      <w:r>
        <w:br w:type="page"/>
      </w:r>
    </w:p>
    <w:p>
      <w:pPr>
        <w:pStyle w:val="TextBody"/>
        <w:bidi w:val="0"/>
        <w:spacing w:before="0" w:after="0"/>
        <w:jc w:val="left"/>
        <w:rPr/>
      </w:pPr>
      <w:r>
        <w:rPr/>
        <w:drawing>
          <wp:inline distT="0" distB="0" distL="0" distR="0">
            <wp:extent cx="1514475"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1514475" cy="6096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November 7, 2025 </w:t>
      </w:r>
    </w:p>
    <w:p>
      <w:pPr>
        <w:pStyle w:val="TextBody"/>
        <w:bidi w:val="0"/>
        <w:spacing w:before="240" w:after="0"/>
        <w:jc w:val="left"/>
        <w:rPr>
          <w:rFonts w:ascii="Times New Roman" w:hAnsi="Times New Roman"/>
          <w:sz w:val="20"/>
        </w:rPr>
      </w:pPr>
      <w:r>
        <w:rPr>
          <w:rFonts w:ascii="Times New Roman" w:hAnsi="Times New Roman"/>
          <w:sz w:val="20"/>
        </w:rPr>
        <w:t xml:space="preserve">USCB Financial Holdings, Inc. </w:t>
      </w:r>
    </w:p>
    <w:p>
      <w:pPr>
        <w:pStyle w:val="TextBody"/>
        <w:bidi w:val="0"/>
        <w:spacing w:before="0" w:after="0"/>
        <w:jc w:val="left"/>
        <w:rPr>
          <w:rFonts w:ascii="Times New Roman" w:hAnsi="Times New Roman"/>
          <w:sz w:val="20"/>
        </w:rPr>
      </w:pPr>
      <w:r>
        <w:rPr>
          <w:rFonts w:ascii="Times New Roman" w:hAnsi="Times New Roman"/>
          <w:sz w:val="20"/>
        </w:rPr>
        <w:t xml:space="preserve">2301 N.W. 87th Avenue </w:t>
      </w:r>
    </w:p>
    <w:p>
      <w:pPr>
        <w:pStyle w:val="TextBody"/>
        <w:bidi w:val="0"/>
        <w:spacing w:before="0" w:after="0"/>
        <w:jc w:val="left"/>
        <w:rPr>
          <w:rFonts w:ascii="Times New Roman" w:hAnsi="Times New Roman"/>
          <w:sz w:val="20"/>
        </w:rPr>
      </w:pPr>
      <w:r>
        <w:rPr>
          <w:rFonts w:ascii="Times New Roman" w:hAnsi="Times New Roman"/>
          <w:sz w:val="20"/>
        </w:rPr>
        <w:t xml:space="preserve">Doral, FL 33172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Re: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Registration Statement on Form S-4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USCB Financial Holdings, Inc., a Florida corporation (the “Company”) in connection with the registration statement on Form S-4, as the same may be amended from time to time (as amended, the “Registration Statement”), filed by the Company with the U.S. Securities and Exchange Commission (the “Commission”) under the Securities Act of 1933, as amended (the “Securities Act”), relating to the issuance by the Company of up to Forty Million Dollars ($40,000,000) aggregate principal amount of the Company’s 7.625% Fixed-to-Floating Rate Subordinated Notes due 2035 (the “New Notes”) which are to be offered (the “Exchange Offer”) by the Company in exchange for an equal principal amount of the Company’s outstanding unregistered 7.625% Fixed-to-Floating Rate Subordinated Notes due 2035 (the “Old Notes”). The New Notes are to be issued in accordance with the provisions of the Indenture, dated as of August 14, 2025 (the “Indenture”) by and between the Company and Wilmington Trust, National Association, as trustee (the “Trustee”), as contemplated by the Registration Rights Agreement (the “Registration Rights Agreement”), dated as of August 14, 2025, by and among the Company and the several purchasers of the Old Notes.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herewith, we have examined originals, or copies certified or otherwise identified to our satisfaction, of such documents, corporate records and other instruments as we have deemed necessary for the purposes of this opinion, including: (i) the Registration Statement and the related form of prospectus included therein (including all exhibits thereto) in the form in which it was transmitted to the Commission under the Securities Act; (ii) the Indenture; (iii) the Registration Rights Agreement; (iv) the Old Notes; (v) the forms of the New Notes; (vi) the organizational documents of the Company; (vii) minutes and records of the corporate proceedings of the Company, including any and all resolutions of the Board of Directors (or any duly authorized committee thereof) of the Company related to the Registration Statement and the Exchange Offer, and the issuance of the New Notes (the “Resolutions”). In addition to the foregoing, we have made such investigations of law and fact as we have deemed necessary or appropriate as a basis for the opinion set forth herein.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30"/>
        <w:gridCol w:w="125"/>
        <w:gridCol w:w="4850"/>
      </w:tblGrid>
      <w:tr>
        <w:trPr/>
        <w:tc>
          <w:tcPr>
            <w:tcW w:w="523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0" w:type="dxa"/>
            <w:tcBorders/>
          </w:tcPr>
          <w:p>
            <w:pPr>
              <w:pStyle w:val="TableContents"/>
              <w:bidi w:val="0"/>
              <w:spacing w:before="0" w:after="283"/>
              <w:jc w:val="left"/>
              <w:rPr/>
            </w:pPr>
            <w:r>
              <w:rPr/>
              <w:t>USCB Financial Holdings, Inc.</w:t>
            </w:r>
          </w:p>
        </w:tc>
        <w:tc>
          <w:tcPr>
            <w:tcW w:w="125"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283"/>
              <w:jc w:val="right"/>
              <w:rPr/>
            </w:pPr>
            <w:r>
              <w:rPr/>
              <w:t>Squire Patton Boggs (US) LLP</w:t>
            </w:r>
          </w:p>
        </w:tc>
      </w:tr>
      <w:tr>
        <w:trPr/>
        <w:tc>
          <w:tcPr>
            <w:tcW w:w="5230" w:type="dxa"/>
            <w:tcBorders/>
          </w:tcPr>
          <w:p>
            <w:pPr>
              <w:pStyle w:val="TableContents"/>
              <w:bidi w:val="0"/>
              <w:spacing w:before="0" w:after="283"/>
              <w:jc w:val="left"/>
              <w:rPr/>
            </w:pPr>
            <w:r>
              <w:rPr/>
              <w:t>November 7, 2025</w:t>
            </w:r>
          </w:p>
        </w:tc>
        <w:tc>
          <w:tcPr>
            <w:tcW w:w="125"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283"/>
              <w:jc w:val="left"/>
              <w:rPr>
                <w:sz w:val="4"/>
                <w:szCs w:val="4"/>
              </w:rPr>
            </w:pPr>
            <w:r>
              <w:rPr>
                <w:sz w:val="4"/>
                <w:szCs w:val="4"/>
              </w:rPr>
            </w:r>
          </w:p>
        </w:tc>
      </w:tr>
      <w:tr>
        <w:trPr/>
        <w:tc>
          <w:tcPr>
            <w:tcW w:w="5230" w:type="dxa"/>
            <w:tcBorders/>
          </w:tcPr>
          <w:p>
            <w:pPr>
              <w:pStyle w:val="TableContents"/>
              <w:bidi w:val="0"/>
              <w:spacing w:before="0" w:after="283"/>
              <w:jc w:val="left"/>
              <w:rPr/>
            </w:pPr>
            <w:r>
              <w:rPr/>
              <w:t xml:space="preserve">Page 2 </w:t>
            </w:r>
          </w:p>
        </w:tc>
        <w:tc>
          <w:tcPr>
            <w:tcW w:w="125"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such examination and in rendering the opinion expressed below, we have assumed, without independent investigation or verification: (i) the genuineness of all signatures on all agreements, instruments, corporate records, certificates and other documents submitted to us; (ii) the legal capacity and authority of all persons or entities (other than the Company) executing all agreements, instruments, corporate records, certificates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 (v) the due authorization, execution and delivery of all agreements, instruments, certificates and other documents by all parties thereto (other than the Company); (vi) that the statements contained in the certificates and comparable documents of public officials, officers and representatives of the Company and other persons or entities on which we have relied for the purposes of this opinion set forth below are true and correct; and (vii) that the officers and directors of the Company have properly exercised their fiduciary duties. As to all questions of fact material to the opinion and as to the materiality of any fact or other matter referred to herein, we have relied (without independent investigation) upon representations and certificates or comparable documents of officers and representatives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it is our opinion as of the date hereof that when the New Notes are duly executed by a duly authorized officer of the Company and duly authenticated by the Trustee, all in accordance with the provisions of the Indenture and issued and delivered in exchange for the Old Notes in the manner described in the Registration Statement, the New Notes will constitute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above are subject to the following qualifications and exceptions: </w:t>
      </w:r>
    </w:p>
    <w:p>
      <w:pPr>
        <w:pStyle w:val="TextBody"/>
        <w:bidi w:val="0"/>
        <w:spacing w:before="240" w:after="0"/>
        <w:jc w:val="left"/>
        <w:rPr>
          <w:rFonts w:ascii="Times New Roman" w:hAnsi="Times New Roman"/>
          <w:sz w:val="20"/>
        </w:rPr>
      </w:pPr>
      <w:r>
        <w:rPr>
          <w:rFonts w:ascii="Times New Roman" w:hAnsi="Times New Roman"/>
          <w:sz w:val="20"/>
        </w:rPr>
        <w:t xml:space="preserve">(a) Our opinion set forth above are subject to (i) the effect of any applicable bankruptcy, insolvency, reorganization, moratorium or other similar law of general application affecting creditors’ rights; (ii) the effect of general principles of equity, including (without limitation) concepts of materiality, reasonableness, good faith and fair dealing, and other similar doctrines affecting the enforceability of agreements generally (regardless of whether considered in a proceeding in equity or at law); and (iii) insofar as they relate to indemnification provisions, the effect of federal and state securities laws and public policy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In rendering the opinion set forth above, we have assumed that, at the time of the authentication, exchange and delivery of the New Notes, the Resolutions referred to above will not have been modified or rescinded, there will not have occurred any change in the law affecting the authorization, execution, exchange, delivery, validity or enforceability of the New Notes, the Registration Statement will have been declared effective by the Commission and will continue to be effective, none of the particular terms of the New Notes will violate any applicable law and neither the issuance and sale thereof nor the compliance by the Company with the terms thereof will result in a violation of any agreement or instrument then binding upon the Company or any order or decree of any court or governmental body having jurisdiction over the Company.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30"/>
        <w:gridCol w:w="125"/>
        <w:gridCol w:w="4850"/>
      </w:tblGrid>
      <w:tr>
        <w:trPr/>
        <w:tc>
          <w:tcPr>
            <w:tcW w:w="523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0" w:type="dxa"/>
            <w:tcBorders/>
          </w:tcPr>
          <w:p>
            <w:pPr>
              <w:pStyle w:val="TableContents"/>
              <w:bidi w:val="0"/>
              <w:spacing w:before="0" w:after="283"/>
              <w:jc w:val="left"/>
              <w:rPr/>
            </w:pPr>
            <w:r>
              <w:rPr/>
              <w:t>USCB Financial Holdings, Inc.</w:t>
            </w:r>
          </w:p>
        </w:tc>
        <w:tc>
          <w:tcPr>
            <w:tcW w:w="125"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283"/>
              <w:jc w:val="right"/>
              <w:rPr/>
            </w:pPr>
            <w:r>
              <w:rPr/>
              <w:t>Squire Patton Boggs (US) LLP</w:t>
            </w:r>
          </w:p>
        </w:tc>
      </w:tr>
      <w:tr>
        <w:trPr/>
        <w:tc>
          <w:tcPr>
            <w:tcW w:w="5230" w:type="dxa"/>
            <w:tcBorders/>
          </w:tcPr>
          <w:p>
            <w:pPr>
              <w:pStyle w:val="TableContents"/>
              <w:bidi w:val="0"/>
              <w:spacing w:before="0" w:after="283"/>
              <w:jc w:val="left"/>
              <w:rPr/>
            </w:pPr>
            <w:r>
              <w:rPr/>
              <w:t>November 7, 2025</w:t>
            </w:r>
          </w:p>
        </w:tc>
        <w:tc>
          <w:tcPr>
            <w:tcW w:w="125"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283"/>
              <w:jc w:val="left"/>
              <w:rPr>
                <w:sz w:val="4"/>
                <w:szCs w:val="4"/>
              </w:rPr>
            </w:pPr>
            <w:r>
              <w:rPr>
                <w:sz w:val="4"/>
                <w:szCs w:val="4"/>
              </w:rPr>
            </w:r>
          </w:p>
        </w:tc>
      </w:tr>
      <w:tr>
        <w:trPr/>
        <w:tc>
          <w:tcPr>
            <w:tcW w:w="5230" w:type="dxa"/>
            <w:tcBorders/>
          </w:tcPr>
          <w:p>
            <w:pPr>
              <w:pStyle w:val="TableContents"/>
              <w:bidi w:val="0"/>
              <w:spacing w:before="0" w:after="283"/>
              <w:jc w:val="left"/>
              <w:rPr/>
            </w:pPr>
            <w:r>
              <w:rPr/>
              <w:t xml:space="preserve">Page 3 </w:t>
            </w:r>
          </w:p>
        </w:tc>
        <w:tc>
          <w:tcPr>
            <w:tcW w:w="125"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We express no opinion with respect to the enforceability of: (i) consents to, or restrictions upon, judicial relief or jurisdiction or venue; (ii) waivers of rights or defenses with respect to stay, extension or usury laws; (iii) advance waivers of claims, defenses, rights granted by law, or notice, opportunity for hearing, evidentiary requirements, statutes of limitation, trial by jury or at law, or other procedural rights; (iv) waivers of broadly or vaguely stated rights; (v) provisions for exclusivity, election or cumulation of rights or remedies; (vi) provisions authorizing or validating conclusive or discretionary determinations; (vii) grants of setoff rights; (viii) provisions for the payment of attorneys’ fees where such payment is contrary to law or public policy; (ix) proxies, powers and trusts; (x) restrictions upon non-written modifications and waivers; (xi) provisions prohibiting, restricting, or requiring consent to assignment or transfer of any right or property; (xii) any provision to the extent it requires any party to indemnify any other person against loss in obtaining the currency due following a court judgment in another currency; and (xiii) provisions for liquidated damages, default interest, late charges, monetary penalties, make-whole premiums or other economic remedies to the extent such provisions are deemed to constitute a penalty.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any of the other limitations, exceptions and qualifications stated elsewhere herein, we express no opinion with regard to the applicability or effect of the law of any jurisdiction other than, as in effect as of the date of this letter, the internal law of the States of New York and Florida and the federal laws of the United States of America. We express no opinion as to matters relating to securities or “blue sky laws” of any jurisdiction or any rules or regulations thereunder (other than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deals only with the specified legal issues expressly addressed herein, and you should not infer any opinion that is not explicitly stated herein from any matter addressed in this opinion letter. This opinion is given as of the effective date of the Registration Statement, and we assume no obligation to update or supplement the opinion contained herein to reflect any facts or circumstances which may hereafter come to our attention or any changes in laws which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in the Registration Statement under the caption “Legal Matters” and to the filing and inclusion of this opinion letter as Exhibit 5.1 to the Registration Statement. In giving this consent, we do not admit that we are within the category of persons whose consent is required under Section 7 of the Securities Act or the rules and regulations of the Commission promulgated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 Squire Patton Boggs (US) LLP</w:t>
            </w:r>
          </w:p>
        </w:tc>
      </w:tr>
    </w:tbl>
    <w:p>
      <w:pPr>
        <w:pStyle w:val="TextBody"/>
        <w:bidi w:val="0"/>
        <w:spacing w:before="0" w:after="0"/>
        <w:jc w:val="right"/>
        <w:rPr>
          <w:rFonts w:ascii="Times New Roman" w:hAnsi="Times New Roman"/>
          <w:b/>
          <w:sz w:val="20"/>
        </w:rPr>
      </w:pPr>
      <w:bookmarkStart w:id="22" w:name="d32912dex231.htm"/>
      <w:bookmarkStart w:id="23" w:name="ksd32912dex231"/>
      <w:bookmarkEnd w:id="22"/>
      <w:bookmarkEnd w:id="2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S-4 of USCB Financial Holdings, Inc. of our report dated March 14, 2025, relating to the consolidated financial statements appearing in the Annual Report on Form 10-K of USCB Financial Holdings, Inc. for the year ended December 31, 2024, and to the reference to our firm under the heading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Crowe LLP </w:t>
      </w:r>
    </w:p>
    <w:p>
      <w:pPr>
        <w:pStyle w:val="TextBody"/>
        <w:bidi w:val="0"/>
        <w:spacing w:before="240" w:after="0"/>
        <w:jc w:val="left"/>
        <w:rPr>
          <w:rFonts w:ascii="Times New Roman" w:hAnsi="Times New Roman"/>
          <w:sz w:val="20"/>
        </w:rPr>
      </w:pPr>
      <w:r>
        <w:rPr>
          <w:rFonts w:ascii="Times New Roman" w:hAnsi="Times New Roman"/>
          <w:sz w:val="20"/>
        </w:rPr>
        <w:t xml:space="preserve">Fort Lauderdale, Florida </w:t>
      </w:r>
    </w:p>
    <w:p>
      <w:pPr>
        <w:pStyle w:val="TextBody"/>
        <w:bidi w:val="0"/>
        <w:spacing w:before="0" w:after="0"/>
        <w:jc w:val="left"/>
        <w:rPr>
          <w:rFonts w:ascii="Times New Roman" w:hAnsi="Times New Roman"/>
          <w:sz w:val="20"/>
        </w:rPr>
      </w:pPr>
      <w:r>
        <w:rPr>
          <w:rFonts w:ascii="Times New Roman" w:hAnsi="Times New Roman"/>
          <w:sz w:val="20"/>
        </w:rPr>
        <w:t xml:space="preserve">November 7, 2025 </w:t>
      </w:r>
    </w:p>
    <w:p>
      <w:pPr>
        <w:pStyle w:val="TextBody"/>
        <w:bidi w:val="0"/>
        <w:spacing w:before="0" w:after="0"/>
        <w:jc w:val="right"/>
        <w:rPr>
          <w:rFonts w:ascii="Times New Roman" w:hAnsi="Times New Roman"/>
          <w:b/>
          <w:sz w:val="20"/>
        </w:rPr>
      </w:pPr>
      <w:bookmarkStart w:id="24" w:name="d32912dex251.htm"/>
      <w:bookmarkStart w:id="25" w:name="ksd32912dex251"/>
      <w:bookmarkEnd w:id="24"/>
      <w:bookmarkEnd w:id="25"/>
      <w:r>
        <w:rPr>
          <w:rFonts w:ascii="Times New Roman" w:hAnsi="Times New Roman"/>
          <w:b/>
          <w:sz w:val="20"/>
        </w:rPr>
        <w:t xml:space="preserve">Exhibit 25.1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WILMINGTON TRUST,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16-1486454 </w:t>
      </w:r>
    </w:p>
    <w:p>
      <w:pPr>
        <w:pStyle w:val="TextBody"/>
        <w:bidi w:val="0"/>
        <w:spacing w:before="0" w:after="0"/>
        <w:jc w:val="center"/>
        <w:rPr>
          <w:rFonts w:ascii="Times New Roman" w:hAnsi="Times New Roman"/>
          <w:b/>
          <w:sz w:val="16"/>
        </w:rPr>
      </w:pPr>
      <w:r>
        <w:rPr>
          <w:rFonts w:ascii="Times New Roman" w:hAnsi="Times New Roman"/>
          <w:b/>
          <w:sz w:val="16"/>
        </w:rPr>
        <w:t xml:space="preserve">(I.R.S. employer identification no.) </w:t>
      </w:r>
    </w:p>
    <w:p>
      <w:pPr>
        <w:pStyle w:val="TextBody"/>
        <w:bidi w:val="0"/>
        <w:spacing w:before="240" w:after="0"/>
        <w:jc w:val="center"/>
        <w:rPr>
          <w:rFonts w:ascii="Times New Roman" w:hAnsi="Times New Roman"/>
          <w:b/>
          <w:sz w:val="20"/>
        </w:rPr>
      </w:pPr>
      <w:r>
        <w:rPr>
          <w:rFonts w:ascii="Times New Roman" w:hAnsi="Times New Roman"/>
          <w:b/>
          <w:sz w:val="20"/>
        </w:rPr>
        <w:t xml:space="preserve">1100 North Market Street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DE 19890-0001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Kyle Barry </w:t>
      </w:r>
    </w:p>
    <w:p>
      <w:pPr>
        <w:pStyle w:val="TextBody"/>
        <w:bidi w:val="0"/>
        <w:spacing w:before="0" w:after="0"/>
        <w:jc w:val="center"/>
        <w:rPr>
          <w:rFonts w:ascii="Times New Roman" w:hAnsi="Times New Roman"/>
          <w:b/>
          <w:sz w:val="20"/>
        </w:rPr>
      </w:pPr>
      <w:r>
        <w:rPr>
          <w:rFonts w:ascii="Times New Roman" w:hAnsi="Times New Roman"/>
          <w:b/>
          <w:sz w:val="20"/>
        </w:rPr>
        <w:t xml:space="preserve">Senior Vice President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Trust Company </w:t>
      </w:r>
    </w:p>
    <w:p>
      <w:pPr>
        <w:pStyle w:val="TextBody"/>
        <w:bidi w:val="0"/>
        <w:spacing w:before="0" w:after="0"/>
        <w:jc w:val="center"/>
        <w:rPr>
          <w:rFonts w:ascii="Times New Roman" w:hAnsi="Times New Roman"/>
          <w:b/>
          <w:sz w:val="20"/>
        </w:rPr>
      </w:pPr>
      <w:r>
        <w:rPr>
          <w:rFonts w:ascii="Times New Roman" w:hAnsi="Times New Roman"/>
          <w:b/>
          <w:sz w:val="20"/>
        </w:rPr>
        <w:t xml:space="preserve">285 Delaware Ave. </w:t>
      </w:r>
    </w:p>
    <w:p>
      <w:pPr>
        <w:pStyle w:val="TextBody"/>
        <w:bidi w:val="0"/>
        <w:spacing w:before="0" w:after="0"/>
        <w:jc w:val="center"/>
        <w:rPr>
          <w:rFonts w:ascii="Times New Roman" w:hAnsi="Times New Roman"/>
          <w:b/>
          <w:sz w:val="20"/>
        </w:rPr>
      </w:pPr>
      <w:r>
        <w:rPr>
          <w:rFonts w:ascii="Times New Roman" w:hAnsi="Times New Roman"/>
          <w:b/>
          <w:sz w:val="20"/>
        </w:rPr>
        <w:t xml:space="preserve">Buffalo, NY 14202 </w:t>
      </w:r>
    </w:p>
    <w:p>
      <w:pPr>
        <w:pStyle w:val="TextBody"/>
        <w:bidi w:val="0"/>
        <w:spacing w:before="0" w:after="0"/>
        <w:jc w:val="center"/>
        <w:rPr>
          <w:rFonts w:ascii="Times New Roman" w:hAnsi="Times New Roman"/>
          <w:b/>
          <w:sz w:val="20"/>
        </w:rPr>
      </w:pPr>
      <w:r>
        <w:rPr>
          <w:rFonts w:ascii="Times New Roman" w:hAnsi="Times New Roman"/>
          <w:b/>
          <w:sz w:val="20"/>
        </w:rPr>
        <w:t xml:space="preserve">(716) 839-6909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USCB Financial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obligor as specified in its charter)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Florida</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87-4070846</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2301 N.W. 87th Avenue </w:t>
      </w:r>
    </w:p>
    <w:p>
      <w:pPr>
        <w:pStyle w:val="TextBody"/>
        <w:bidi w:val="0"/>
        <w:spacing w:before="0" w:after="0"/>
        <w:jc w:val="center"/>
        <w:rPr>
          <w:rFonts w:ascii="Times New Roman" w:hAnsi="Times New Roman"/>
          <w:b/>
          <w:sz w:val="20"/>
        </w:rPr>
      </w:pPr>
      <w:r>
        <w:rPr>
          <w:rFonts w:ascii="Times New Roman" w:hAnsi="Times New Roman"/>
          <w:b/>
          <w:sz w:val="20"/>
        </w:rPr>
        <w:t xml:space="preserve">Doral, FL 33172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Subordinated 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Furnish the following information as to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and address of each examining or supervising authority to which it is subject.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Comptroller of Currency, Washington, D.C. </w:t>
      </w:r>
    </w:p>
    <w:p>
      <w:pPr>
        <w:pStyle w:val="TextBody"/>
        <w:bidi w:val="0"/>
        <w:spacing w:before="0" w:after="0"/>
        <w:jc w:val="left"/>
        <w:rPr>
          <w:rFonts w:ascii="Times New Roman" w:hAnsi="Times New Roman"/>
          <w:sz w:val="20"/>
        </w:rPr>
      </w:pPr>
      <w:r>
        <w:rPr>
          <w:rFonts w:ascii="Times New Roman" w:hAnsi="Times New Roman"/>
          <w:sz w:val="20"/>
        </w:rPr>
        <w:t xml:space="preserve">Federal Deposit Insurance Corporation, Washington, D.C.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is authorized to exercise corporate trust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trustee is authorized to exercise corporate trust powers.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AFFILIATIONS WITH THE OBLIGOR.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obligor is an affiliate of the trustee, describe each affiliation: </w:t>
      </w:r>
    </w:p>
    <w:p>
      <w:pPr>
        <w:pStyle w:val="TextBody"/>
        <w:bidi w:val="0"/>
        <w:spacing w:before="120" w:after="0"/>
        <w:jc w:val="left"/>
        <w:rPr>
          <w:rFonts w:ascii="Times New Roman" w:hAnsi="Times New Roman"/>
          <w:sz w:val="20"/>
        </w:rPr>
      </w:pPr>
      <w:r>
        <w:rPr>
          <w:rFonts w:ascii="Times New Roman" w:hAnsi="Times New Roman"/>
          <w:sz w:val="20"/>
        </w:rPr>
        <w:t xml:space="preserve">Based upon an examination of the books and records of the trustee and information available to the trustee, the obligor is not an affiliate of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ITEM 3 – 15.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LIST OF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Listed below are all exhibits filed as part of this Statement of Eligibility and Qualification.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Charter for Wilmington Trust, National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authority of Wilmington Trust, National Association to commence business was granted under the Charter for Wilmington Trust, National Association, incorporated herein by reference to Exhibit 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authorization to exercise corporate trust powers was granted under the Charter for Wilmington Trust, National Association, incorporated herein by reference to Exhibit 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Trustee, as now in effect, incorporated herein by reference to Exhibit 4 of this Form T-1.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Wilmington Trust, National Association as required by Section 321(b) of the Trust Indenture Act of 1939, attached hereto as Exhibit 6 of this Form T-1.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Report of the Condition of Wilmington Trust, National Association, published pursuant to law or the requirements of its supervising or examining authority, attached hereto as Exhibit 7 of this Form T-1.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Trust Indenture Act of 1939, as amended, the trustee, Wilmington Trust, National Association, a national banking association organized and existing under the laws of the United States of America, has duly caused this Statement of Eligibility to be signed on its behalf by the undersigned, thereunto duly authorized, all in the City of Iselin and State of New Jersey on the 7th day of November,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WILMINGTON TRUST, NATIONAL ASSOCIATION</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Latoya S. Elvin</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vAlign w:val="bottom"/>
          </w:tcPr>
          <w:p>
            <w:pPr>
              <w:pStyle w:val="TableContents"/>
              <w:bidi w:val="0"/>
              <w:spacing w:before="0" w:after="283"/>
              <w:jc w:val="left"/>
              <w:rPr/>
            </w:pPr>
            <w:r>
              <w:rPr/>
              <w:t>Latoya S. Elvin</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vAlign w:val="bottom"/>
          </w:tcPr>
          <w:p>
            <w:pPr>
              <w:pStyle w:val="TableContents"/>
              <w:bidi w:val="0"/>
              <w:spacing w:before="0" w:after="283"/>
              <w:jc w:val="left"/>
              <w:rPr/>
            </w:pPr>
            <w:r>
              <w:rPr/>
              <w:t>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1 </w:t>
      </w:r>
    </w:p>
    <w:p>
      <w:pPr>
        <w:pStyle w:val="TextBody"/>
        <w:bidi w:val="0"/>
        <w:spacing w:before="240" w:after="0"/>
        <w:jc w:val="center"/>
        <w:rPr>
          <w:rFonts w:ascii="Times New Roman" w:hAnsi="Times New Roman"/>
          <w:b/>
          <w:sz w:val="20"/>
        </w:rPr>
      </w:pPr>
      <w:r>
        <w:rPr>
          <w:rFonts w:ascii="Times New Roman" w:hAnsi="Times New Roman"/>
          <w:b/>
          <w:sz w:val="20"/>
        </w:rPr>
        <w:t xml:space="preserve">CHARTER OF WILMINGTON TRUST, NATIONAL ASSOCIATION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TRUST,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organizing an association to perform any lawful activities of national banks, the undersigned do enter into the following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FIRST. The title of this association shall be Wilmington Trust,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SECOND. The main office of the association shall be in the City of Wilmington, County of New Castle, State of Delaware. The general business of the association shall be conducted at its main office and its branches. </w:t>
      </w:r>
    </w:p>
    <w:p>
      <w:pPr>
        <w:pStyle w:val="TextBody"/>
        <w:bidi w:val="0"/>
        <w:spacing w:before="240" w:after="0"/>
        <w:jc w:val="left"/>
        <w:rPr>
          <w:rFonts w:ascii="Times New Roman" w:hAnsi="Times New Roman"/>
          <w:sz w:val="20"/>
        </w:rPr>
      </w:pPr>
      <w:r>
        <w:rPr>
          <w:rFonts w:ascii="Times New Roman" w:hAnsi="Times New Roman"/>
          <w:sz w:val="20"/>
        </w:rPr>
        <w:t xml:space="preserve">THIRD. The board of directors of this association shall consist of not less than five nor more than twenty-five persons, unless the OCC has exempted the bank from the 25-member limit. The exact number is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$1,000. Determination of these values may be based as of either (i) the date of purchase or (ii) the date the person became a director, whichever value is greater. Any combination of common or preferred stock of the association or holding company may be used. </w:t>
      </w:r>
    </w:p>
    <w:p>
      <w:pPr>
        <w:pStyle w:val="TextBody"/>
        <w:bidi w:val="0"/>
        <w:spacing w:before="240" w:after="0"/>
        <w:jc w:val="left"/>
        <w:rPr>
          <w:rFonts w:ascii="Times New Roman" w:hAnsi="Times New Roman"/>
          <w:sz w:val="20"/>
        </w:rPr>
      </w:pPr>
      <w:r>
        <w:rPr>
          <w:rFonts w:ascii="Times New Roman" w:hAnsi="Times New Roman"/>
          <w:sz w:val="20"/>
        </w:rPr>
        <w:t xml:space="preserve">Any vacancy in the board of directors may be filled by action of a majority of the remaining directors between meetings of shareholders. The board of directors may not increase the number of directors between meetings of shareholders to a number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exceeds by more than two the number of directors last elected by shareholders where the number was 15 or less;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exceeds by more than four the number of directors last elected by shareholders where the number was 16 or more, but in no event shall the number of directors exceed 25, unless the OCC has exempted the bank from the 25-member limit.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Directors shall be elected for terms of one year and until their successors are elected and qualified.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qualifies or until there is a decrease in the number of directors and his or her position is eliminated. </w:t>
      </w:r>
    </w:p>
    <w:p>
      <w:pPr>
        <w:pStyle w:val="TextBody"/>
        <w:bidi w:val="0"/>
        <w:spacing w:before="240" w:after="0"/>
        <w:jc w:val="left"/>
        <w:rPr>
          <w:rFonts w:ascii="Times New Roman" w:hAnsi="Times New Roman"/>
          <w:sz w:val="20"/>
        </w:rPr>
      </w:pPr>
      <w:r>
        <w:rPr>
          <w:rFonts w:ascii="Times New Roman" w:hAnsi="Times New Roman"/>
          <w:sz w:val="20"/>
        </w:rPr>
        <w:t xml:space="preserve">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 the number of directors of the association or the presence of a quorum in connection with any board action, and shall not be required to own qualifying shares. </w:t>
      </w:r>
    </w:p>
    <w:p>
      <w:pPr>
        <w:pStyle w:val="TextBody"/>
        <w:bidi w:val="0"/>
        <w:spacing w:before="240" w:after="0"/>
        <w:jc w:val="left"/>
        <w:rPr>
          <w:rFonts w:ascii="Times New Roman" w:hAnsi="Times New Roman"/>
          <w:sz w:val="20"/>
        </w:rPr>
      </w:pPr>
      <w:r>
        <w:rPr>
          <w:rFonts w:ascii="Times New Roman" w:hAnsi="Times New Roman"/>
          <w:sz w:val="20"/>
        </w:rPr>
        <w:t xml:space="preserve">FOURTH. 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time, place and purpose of a shareholders’ meeting shall be given to the shareholders by first class mail, unless the OCC determines that an emergency circumstance exists. The sole shareholder of the bank is permitted to waive notice of the shareholders’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all elections of directors, the number of votes each common shareholder may cast will be determined by multiplying the number of shares such shareholder owns by the number of directors to be elected. Those votes may be cumulated and cast for a single candidate or may be distributed among two or more candidates in the manner selected by the shareholder. If, after the first ballot, subsequent ballots are necessary to elect directors, a shareholder may not vote shares that he or she has already fully cumulated and voted in favor of a successful candidate. On all other questions, each common shareholder shall be entitled to one vote for each share of stock held by him or her. </w:t>
      </w:r>
    </w:p>
    <w:p>
      <w:pPr>
        <w:pStyle w:val="TextBody"/>
        <w:bidi w:val="0"/>
        <w:spacing w:before="240" w:after="0"/>
        <w:jc w:val="left"/>
        <w:rPr>
          <w:rFonts w:ascii="Times New Roman" w:hAnsi="Times New Roman"/>
          <w:sz w:val="20"/>
        </w:rPr>
      </w:pPr>
      <w:r>
        <w:rPr>
          <w:rFonts w:ascii="Times New Roman" w:hAnsi="Times New Roman"/>
          <w:sz w:val="20"/>
        </w:rPr>
        <w:t xml:space="preserve">Nominations for election to the board of directors may be made by the board of directors or by any stockholder of any outstanding class of capital stock of the association entitled to vote for election of directors. Nominations other than those made by or on behalf of the existing management shall be made in writing and be delivered or mailed to the president of the association not less than 14 days nor more than 50 days prior to any meeting of shareholders called for the election of directors; provided, however, that if less than 21 days notice of the meeting is given to shareholders, such nominations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each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occupation of each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shares of capital stock of the association that will be voted for each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residence address of the notifying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capital stock of the association owned by the notifying shareholder.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Nominations not made in accordance herewith may, in his/her discretion, be disregarded by the chairperson of the meeting, and the vote tellers may disregard all votes cast for each such nominee. No bylaw may unreasonably restrict the nomination of directors by shareholders. </w:t>
      </w:r>
    </w:p>
    <w:p>
      <w:pPr>
        <w:pStyle w:val="TextBody"/>
        <w:bidi w:val="0"/>
        <w:spacing w:before="120" w:after="0"/>
        <w:jc w:val="left"/>
        <w:rPr>
          <w:rFonts w:ascii="Times New Roman" w:hAnsi="Times New Roman"/>
          <w:sz w:val="20"/>
        </w:rPr>
      </w:pPr>
      <w:r>
        <w:rPr>
          <w:rFonts w:ascii="Times New Roman" w:hAnsi="Times New Roman"/>
          <w:sz w:val="20"/>
        </w:rPr>
        <w:t xml:space="preserve">A director may resign at any time by delivering written notice to the board of directors, its chairperson, or to the association, which resignation shall be effective when the notice is delivered unless the notice specifies a later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A director may be removed by shareholders at a meeting called to remove the director, when notice of the meeting stating that the purpose or one of the purposes is to remove the director is provided, if there is a failure to fulfill one of the affirmative requirements for qualification, or for cause; provided, however, that a director may not be removed if the number of votes sufficient to elect the director under cumulative voting is voted against the director’s removal.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FIFTH. The authorized amount of capital stock of this association shall be ten thousand shares of common stock of the par value of one hundred dollars ($100) each; but said capital stock may be increased or decreased from time to time, according to the provisions of the laws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Preemptive rights also must be approved by a vote of holders of two-thirds of the bank’s outstanding voting shares. Unless otherwise specified in these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these articles of association or required by law, all shares of voting stock shall be voted together as a class, on any matters requiring shareholder approval. If a proposed amendment would affect two or more classes or series in the same or a substantially similar way, all the classes or series so affected must vote together as a single voting group on the proposed amendment. </w:t>
      </w:r>
    </w:p>
    <w:p>
      <w:pPr>
        <w:pStyle w:val="TextBody"/>
        <w:bidi w:val="0"/>
        <w:spacing w:before="240" w:after="0"/>
        <w:jc w:val="left"/>
        <w:rPr>
          <w:rFonts w:ascii="Times New Roman" w:hAnsi="Times New Roman"/>
          <w:sz w:val="20"/>
        </w:rPr>
      </w:pPr>
      <w:r>
        <w:rPr>
          <w:rFonts w:ascii="Times New Roman" w:hAnsi="Times New Roman"/>
          <w:sz w:val="20"/>
        </w:rPr>
        <w:t xml:space="preserve">Shares of one class or series may be issued as a dividend for shares of the same class or series on a pro rata basis and without consideration. Shares of one class or series may be issued as share dividends for a different class or series of stock if approved by a majority of the votes entitled to be cast by the class or series to be issued, unless there are no outstanding shares of the class or series to be issued. Unless otherwise provided by the board of directors, the record date for determining shareholders entitled to a share dividend shall be the date authorized by the board of directors for the share dividend.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is entitled to fractional shares pursuant to a stock dividend, consolidation or merger, reverse stock split or otherwise, the association may: (a) issue fractional shares; (b) in lieu of the issuance of fractional shares, issue script or warrants entitling the holder to receive a full share upon surrendering enough script or warrants to equal a full share; (c) if there is an established and active market in the association’s stock, make reasonable arrangements to provide the shareholder with an opportunity to realize a fair price through sale of the fraction, or purchase of the additional fraction required for a full share; (d) remit the cash equivalent of the fraction to the shareholder; or (e) sell full shares representing all the fractions at public auction or to the highest bidder after having solicited and received sealed bids from at least three licensed stock brokers; and distribute the proceeds pro rata to shareholders who otherwise would be entitled to the fractional shares. The holder of a fractional share is entitled to exercise the rights for shareholder, including the right to vote, to receive dividends, and to participate in the assets of the association upon liquidation, in proportion to the fractional interest. The holder of script or warrants is not entitled to any of these rights unless the script or warrants explicitly provide for such rights. The script or warrants may be subject to such additional conditions as: (1) that the script or warrants will become void if not exchanged for full shares before a specified date; and (2) that the shares for which the script or warrants are exchangeable may be sold at the option of the association and the proceeds paid to scriptholders. </w:t>
      </w:r>
    </w:p>
    <w:p>
      <w:pPr>
        <w:pStyle w:val="TextBody"/>
        <w:bidi w:val="0"/>
        <w:spacing w:before="240" w:after="0"/>
        <w:jc w:val="left"/>
        <w:rPr>
          <w:rFonts w:ascii="Times New Roman" w:hAnsi="Times New Roman"/>
          <w:sz w:val="20"/>
        </w:rPr>
      </w:pPr>
      <w:r>
        <w:rPr>
          <w:rFonts w:ascii="Times New Roman" w:hAnsi="Times New Roman"/>
          <w:sz w:val="20"/>
        </w:rPr>
        <w:t xml:space="preserve">The association, at any time and from time to time, may authorize and issue debt obligations, whether or not subordinated, without the approval of the shareholders. Obligations classified as debt, whether or not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SIXTH. 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w:t>
      </w:r>
    </w:p>
    <w:p>
      <w:pPr>
        <w:pStyle w:val="TextBody"/>
        <w:bidi w:val="0"/>
        <w:spacing w:before="240" w:after="0"/>
        <w:jc w:val="left"/>
        <w:rPr>
          <w:rFonts w:ascii="Times New Roman" w:hAnsi="Times New Roman"/>
          <w:sz w:val="20"/>
        </w:rPr>
      </w:pPr>
      <w:r>
        <w:rPr>
          <w:rFonts w:ascii="Times New Roman" w:hAnsi="Times New Roman"/>
          <w:sz w:val="20"/>
        </w:rPr>
        <w:t xml:space="preserve">A duly appointed officer may appoint one or more officers or assistant officers if authorized by the board of directors in accordance with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have the power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Define the duties of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Delegate the performance of its duties, but not the responsibility for its duties, to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 the compensation and enter into employment contracts with its officers and employees upon reasonable terms and conditions consistent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Dismiss officers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bonds from officers and employees and to fix the penalty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Ratify written policies authorized by the association’s management or committees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 the manner in which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administer the business and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initial bylaws, not inconsistent with law or the articles of association, for managing the business and regulating the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repeal bylaws, except to the extent that the articles of association reserve this power in whole or in part to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perform all acts that are legal for a board of directors to perform.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SEVENTH. The board of directors shall have the power to change the location of the main office to any other place within the limits of Wilmington, Delaware, without the approval of the shareholders, or with a vote of shareholders owning two-thirds of the stock of such association for a relocation outside such limits and upon receipt of a certificate of approval from the Comptroller of the Currency, to any other location within or outside the limits of Wilmington Delaware, but not more than 30 miles beyond such limits. The board of directors shall have the power to establish or change the location of any branch or branches of the association to any other location permitted under applicable law, without approval of shareholders, subject to approval by the Comptroller of the Currency.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EIGHTH. The corporate existence of this association shall continue until termination according to the laws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NINTH. The board of directors of this association, or any one or more shareholders owning, in the aggregate, not less than 50 percent of the stock of this association, may call a special meeting of shareholders at any time. Unless otherwise provided by the bylaws or the laws of the United States, a notice of the time, place, and purpose of every annual and special meeting of the shareholders shall be given at least 10 days prior to the meeting by first-class mail, unless the OCC determines that an emergency circumstance exists. If the association is a wholly-owned subsidiary, the sole shareholder may waive notice of the shareholders’ meeting. Unless otherwise provided by the bylaws or these articles, any action requiring approval of shareholders must be effected at a duly called annual or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TENTH. For purposes of this Article Tenth, the term “institution-affiliated party” shall mean any institution-affiliated party of the association as such term is defined in 12 U.S.C. 1813(u). </w:t>
      </w:r>
    </w:p>
    <w:p>
      <w:pPr>
        <w:pStyle w:val="TextBody"/>
        <w:bidi w:val="0"/>
        <w:spacing w:before="240" w:after="0"/>
        <w:jc w:val="left"/>
        <w:rPr>
          <w:rFonts w:ascii="Times New Roman" w:hAnsi="Times New Roman"/>
          <w:sz w:val="20"/>
        </w:rPr>
      </w:pPr>
      <w:r>
        <w:rPr>
          <w:rFonts w:ascii="Times New Roman" w:hAnsi="Times New Roman"/>
          <w:sz w:val="20"/>
        </w:rPr>
        <w:t xml:space="preserve">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bank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these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institution-affiliated party (or his or her heirs, executors or administrators) is ultimately found not to be entitled to indemnification as authorized by these articles of association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to find that the institution-affiliated party has met the applicable standard of conduct provided by law for indemnification in connection with such action or proceeding.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Article Tenth have been met. If independent legal counsel opines that said conditions have been met, the remaining members of the board of directors may rely on such opinion in authorizing the requested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Article Tenth have been met. If legal counsel opines that said conditions have been met, the board of directors may rely on such opinion in authorizing the requested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under applicable law, the rights of indemnification and to the advancement of expenses provided in these articles of association (a) shall be available with respect to events occurring prior to the adoption of these articles of association, (b) shall continue to exist after any restrictive amendment of these articles of association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rights of indemnification and to the advancement of expenses provided in these articles of association shall not, to the extent permitted under applicable law, be deemed exclusive of any other rights to which any such institution affiliated party (or his or her heirs, executors or administrators) may now or hereafter be otherwise entitled whether contained in these articles of association, the bylaws, a resolution of stockholders,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articles of association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 </w:t>
      </w:r>
    </w:p>
    <w:p>
      <w:pPr>
        <w:pStyle w:val="TextBody"/>
        <w:bidi w:val="0"/>
        <w:spacing w:before="240" w:after="0"/>
        <w:jc w:val="left"/>
        <w:rPr>
          <w:rFonts w:ascii="Times New Roman" w:hAnsi="Times New Roman"/>
          <w:sz w:val="20"/>
        </w:rPr>
      </w:pPr>
      <w:r>
        <w:rPr>
          <w:rFonts w:ascii="Times New Roman" w:hAnsi="Times New Roman"/>
          <w:sz w:val="20"/>
        </w:rPr>
        <w:t xml:space="preserve">If this Article Tenth or any part hereof shall be held unenforceable in any respect by a court of competent jurisdiction, it shall be deemed modified to the minimum extent necessary to make it enforceable, and the remainder of this Article Tenth shall remain fully enforceable.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association may, upon affirmative vote of a majority of its board of directors, purchase insurance to indemnify its institution-affiliated parties to the extent that such indemnification is allowed in these articles of association; provided, however, that no such insurance shall include coverage to pay or reimburse any institution-affiliated party for the cost of any judgment or civil money penalty assessed against such person in an administrative proceeding or civil action commenced by any federal banking agency. Such insurance may, but need not, be for the benefit of all institution-affiliated parties. </w:t>
      </w:r>
    </w:p>
    <w:p>
      <w:pPr>
        <w:pStyle w:val="TextBody"/>
        <w:bidi w:val="0"/>
        <w:spacing w:before="240" w:after="0"/>
        <w:jc w:val="left"/>
        <w:rPr>
          <w:rFonts w:ascii="Times New Roman" w:hAnsi="Times New Roman"/>
          <w:sz w:val="20"/>
        </w:rPr>
      </w:pPr>
      <w:r>
        <w:rPr>
          <w:rFonts w:ascii="Times New Roman" w:hAnsi="Times New Roman"/>
          <w:sz w:val="20"/>
        </w:rPr>
        <w:t xml:space="preserve">ELEVENTH. These articles of association may be amended at any regular or special meeting of the shareholders by the affirmative vote of the holders of a majority of the stock of this association, unless the vote of the holders of a greater amount of stock is required by law, and in that case by the vote of the holders of such greater amount. The association’s board of directors may propose one or more amendments to the articles of association for submission to the shareholders.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4 </w:t>
      </w:r>
    </w:p>
    <w:p>
      <w:pPr>
        <w:pStyle w:val="TextBody"/>
        <w:bidi w:val="0"/>
        <w:spacing w:before="240" w:after="0"/>
        <w:jc w:val="center"/>
        <w:rPr>
          <w:rFonts w:ascii="Times New Roman" w:hAnsi="Times New Roman"/>
          <w:b/>
          <w:sz w:val="20"/>
        </w:rPr>
      </w:pPr>
      <w:r>
        <w:rPr>
          <w:rFonts w:ascii="Times New Roman" w:hAnsi="Times New Roman"/>
          <w:b/>
          <w:sz w:val="20"/>
        </w:rPr>
        <w:t xml:space="preserve">BY-LAWS OF WILMINGTON TRUST, NATIONAL ASSOCIATION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WILMINGTON TRUST, NATIONAL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240" w:after="0"/>
        <w:jc w:val="center"/>
        <w:rPr>
          <w:rFonts w:ascii="Times New Roman" w:hAnsi="Times New Roman"/>
          <w:b/>
          <w:sz w:val="20"/>
        </w:rPr>
      </w:pPr>
      <w:r>
        <w:rPr>
          <w:rFonts w:ascii="Times New Roman" w:hAnsi="Times New Roman"/>
          <w:b/>
          <w:sz w:val="20"/>
        </w:rPr>
        <w:t xml:space="preserve">(Effective as of March 7,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TRUST, NATIONAL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Meetings of Shareholders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Annual Meeting</w:t>
      </w:r>
      <w:r>
        <w:rPr>
          <w:rFonts w:ascii="Times New Roman" w:hAnsi="Times New Roman"/>
          <w:sz w:val="20"/>
        </w:rPr>
        <w:t xml:space="preserve">. The annual meeting of shareholders shall be held on such date and at such time as may be designated by the chair of the Board of Directors, the chief executive officer, the president, the chief operating officer, the secretary, or the Board of Directors for the purpose of the election of directors and for the transaction of such other business as may properly come before the meeting, except such date shall not be a legal holiday in Delaware. Notice of the meeting shall be mailed by first class mail, postage prepaid, at least 10 days and no more than 60 days prior to the date thereof, addressed to each shareholder at his or her address appearing on the books of the association. If, for any cause, an election of directors is not made on that date, an election may be held on any subsequent day within 60 days of the date fixed, to be designated by the Board of Directors, or, if the directors fail to fix the date, by shareholders representing two-thirds of the shares. In these circumstances, at least 10 days’ notice must be given by first class mail to shareholders.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Special Meetings</w:t>
      </w:r>
      <w:r>
        <w:rPr>
          <w:rFonts w:ascii="Times New Roman" w:hAnsi="Times New Roman"/>
          <w:sz w:val="20"/>
        </w:rPr>
        <w:t xml:space="preserve">. The chair of the Board of Directors, the president, the chief executive officer, the secretary, or the Board of Directors may call a special meeting of the shareholders. A special meeting shall be called to act on any matter that may properly be considered at a meeting of shareholders upon the written request of shareholders entitled to cast not less than a majority of all the votes entitled to be cast on such matter at the meeting. Every such special meeting, unless otherwise provided by law, shall be called by mailing, postage prepaid, not less than 10 days nor more than 60 days prior to the date fixed for the meeting, to each shareholder at the address appearing on the books of the association a notice stating the purpose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fix a record date for determining shareholders entitled to notice and to vote at any meeting, in reasonable proximity to the date of giving notice to the shareholders of such meeting. The record date for determining shareholders entitled to demand a special meeting is the date the first shareholder signs a demand for the meeting describing the purpose or purposes for which it is to be held.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Adjournment</w:t>
      </w:r>
      <w:r>
        <w:rPr>
          <w:rFonts w:ascii="Times New Roman" w:hAnsi="Times New Roman"/>
          <w:sz w:val="20"/>
        </w:rPr>
        <w:t xml:space="preserve">. If an annual or special shareholders’ meeting is adjourned to a different date, time, or place, notice need not be given of the new date, time or place, if the new date, time or place is announced at the meeting before adjournment, unless any additional items of business are to be considered, or the association becomes aware of an intervening event materially affecting any matter to be voted on more than 10 days prior to the date to which the meeting is adjourned. If a new record date for the adjourned meeting is fixed, however, notice of the adjourned meeting must be given to persons who are shareholders as of the new record date. If, however, the meeting to elect the directors is adjourned before the election takes place, at least ten days’ notice of the new election must be given to the shareholders by first-class 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Nominations of Directors</w:t>
      </w:r>
      <w:r>
        <w:rPr>
          <w:rFonts w:ascii="Times New Roman" w:hAnsi="Times New Roman"/>
          <w:sz w:val="20"/>
        </w:rPr>
        <w:t xml:space="preserve">. Nominations for election to the Board of Directors may be made by the Board of Directors or by any shareholder of any outstanding class of capital stock of the association entitled to vote for the election of directors. Nominations, other than those made by or on behalf of the existing management of the association, shall be made in writing and shall be delivered or mailed to the president of the association, not less than 14 days nor more than 50 days prior to any meeting of shareholders called for the election of directors; </w:t>
      </w:r>
      <w:r>
        <w:rPr>
          <w:rFonts w:ascii="Times New Roman" w:hAnsi="Times New Roman"/>
          <w:i/>
          <w:sz w:val="20"/>
        </w:rPr>
        <w:t xml:space="preserve">provided, however, </w:t>
      </w:r>
      <w:r>
        <w:rPr>
          <w:rFonts w:ascii="Times New Roman" w:hAnsi="Times New Roman"/>
          <w:sz w:val="20"/>
        </w:rPr>
        <w:t xml:space="preserve">that if less than 21 days’ notice of the meeting is given to shareholders, such nomination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each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occupation of each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shares of capital stock of the association that will be voted for each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residence of the notifying shareholder;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capital stock of the association owned by the notifying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Nominations not made in accordance herewith may, in his/her discretion, be disregarded by the chair of the meeting, and upon his/her instructions, all votes cast for each such nominee may be disregarded.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Proxies</w:t>
      </w:r>
      <w:r>
        <w:rPr>
          <w:rFonts w:ascii="Times New Roman" w:hAnsi="Times New Roman"/>
          <w:sz w:val="20"/>
        </w:rPr>
        <w:t xml:space="preserve">. Shareholders may vote at any meeting of the shareholders by proxies duly authorized in writing, but no officer or employee of this association shall act as proxy. A director or an attorney of the association may act as proxy for shareholders voting if they are not also employed as an officer of the association. Proxies shall be valid only for one meeting, to be specified therein, and any adjournments of such meeting. Proxies shall be dated and filed with the records of the meeting. Proxies with facsimile signatures may be used and unexecuted proxies may be counted upon receipt of a written confirmation from the shareholder. Proxies meeting the above requirements submitted at any time during a meeting shall be accepted.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 Quorum</w:t>
      </w:r>
      <w:r>
        <w:rPr>
          <w:rFonts w:ascii="Times New Roman" w:hAnsi="Times New Roman"/>
          <w:sz w:val="20"/>
        </w:rPr>
        <w:t xml:space="preserve">.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If a meeting for the election of directors is not held on the fixed date, at least 10 days’ notice must be given by first-class mail to the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Board of Directors</w:t>
      </w:r>
      <w:r>
        <w:rPr>
          <w:rFonts w:ascii="Times New Roman" w:hAnsi="Times New Roman"/>
          <w:sz w:val="20"/>
        </w:rPr>
        <w:t xml:space="preserve">. The Board of Directors shall have the power to manage and administer the business and affairs of the association. Except as expressly limited by law, all corporate powers of the association shall be vested in and may be exercised by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Number</w:t>
      </w:r>
      <w:r>
        <w:rPr>
          <w:rFonts w:ascii="Times New Roman" w:hAnsi="Times New Roman"/>
          <w:sz w:val="20"/>
        </w:rPr>
        <w:t xml:space="preserve">. The Board of Directors shall consist of not less than five nor more than twenty-five members, unless the OCC has exempted the association from the 25-member limit. The exact number within such minimum and maximum limits is to be fixed and determined from time to time by resolution of a majority of the full Board of Directors or by resolution of a majority of the shareholders at any meeting thereof. The Board of Directors may not increase the number of directors between meetings of shareholders to a number which: (a) exceeds by more than 2 the number of directors last elected by shareholders where the number was 15 or less; or (b) exceeds by more than 4 the number of directors last elected by shareholders where the number was 16 or more, but in no event shall the number of directors exceed 25, unless the OCC has exempted the association from the 25-member limit.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 Qualifications. </w:t>
      </w:r>
      <w:r>
        <w:rPr>
          <w:rFonts w:ascii="Times New Roman" w:hAnsi="Times New Roman"/>
          <w:sz w:val="20"/>
        </w:rPr>
        <w:t xml:space="preserve">Each director must be a citizen of the United States and must own in his or her own right either shares of the capital stock of the association or a company that controls the association that has not less than an aggregate par value of $1,000, an aggregate shareholders’ equity of $1,000, or an aggregate fair market value of $1,000. The value of the common or preferred stock held by a director is valued as of the date purchased or the date on which the individual became a director, whichever is greater.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Organization Meeting</w:t>
      </w:r>
      <w:r>
        <w:rPr>
          <w:rFonts w:ascii="Times New Roman" w:hAnsi="Times New Roman"/>
          <w:sz w:val="20"/>
        </w:rPr>
        <w:t xml:space="preserve">. After each annual meeting of shareholders at which directors shall have been elected, the Board of Directors shall meet as soon as practicable for the purpose of organization and the transaction of other business. Such first regular meeting shall be held at any place as may be designated by the chair, the president or the Board of Directors for such first regular meeting or, in default of such designation, where the immediately preceding meeting of shareholders was held.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Regular Meetings</w:t>
      </w:r>
      <w:r>
        <w:rPr>
          <w:rFonts w:ascii="Times New Roman" w:hAnsi="Times New Roman"/>
          <w:sz w:val="20"/>
        </w:rPr>
        <w:t xml:space="preserve">. Regular meetings of the Board of Directors shall be held on such dates and at such places as may be designated from time to time by the chair. No notice of regular meetings shall be necessary.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 Special Meetings</w:t>
      </w:r>
      <w:r>
        <w:rPr>
          <w:rFonts w:ascii="Times New Roman" w:hAnsi="Times New Roman"/>
          <w:sz w:val="20"/>
        </w:rPr>
        <w:t xml:space="preserve">. Special meetings of the Board of Directors may be called at any time by the chair, the chief executive officer, the president or by a majority of the then- acting directors by vote at a meeting or in writing, or by a majority of the members of the executive committee, if one is constituted, by vote at a meeting or in writing. A special meeting of the Board of Directors shall be held on such date and at any place as may be designated from time to time by the Board of Directors. In the absence of such designation, such meeting shall be held at such place as may be designated in the call. Each member of the Board of Directors shall be given notice stating the date, time and place, by letter, electronic delivery or in person, of each special meeting not less than one day before the meeting. Such notice need not specify the purpose for which the meeting is called, unless required by the Articles of Association or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 Quorum</w:t>
      </w:r>
      <w:r>
        <w:rPr>
          <w:rFonts w:ascii="Times New Roman" w:hAnsi="Times New Roman"/>
          <w:sz w:val="20"/>
        </w:rPr>
        <w:t xml:space="preserve">. A majority of the entire Board then in office shall constitute a quorum at any meeting, except when otherwise provided by law or these Bylaws, but a lesser number may adjourn any meeting, from time to time, and the meeting may be held, as adjourned, without further notice. If the number of directors present at the meeting is reduced below the number that would constitute a quorum, no business may be transacted, except selecting directors to fill vacancies in conformance with Article II, Section 11. If a quorum is present, the board of directors may take action through the vote of a majority of the directors who are in attendance. No director may vote by proxy.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 Attendance by Electronic, Telephonic or Similar Means. </w:t>
      </w:r>
      <w:r>
        <w:rPr>
          <w:rFonts w:ascii="Times New Roman" w:hAnsi="Times New Roman"/>
          <w:sz w:val="20"/>
        </w:rPr>
        <w:t xml:space="preserve">Any one or more members of the Board of Directors or any committee thereof may participate in a regular or special meeting of such board or committee by, or conduct the meeting through the use of, conference telephone or other communications equipment by which all directors or committee members participating may simultaneously hear each other during the meeting. Participation in a meeting by these means constitutes presence in person at a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 Procedures</w:t>
      </w:r>
      <w:r>
        <w:rPr>
          <w:rFonts w:ascii="Times New Roman" w:hAnsi="Times New Roman"/>
          <w:sz w:val="20"/>
        </w:rPr>
        <w:t xml:space="preserve">. The order of business and all other matters of procedure at every meeting of the Board of Directors may be determined by the person presiding at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 Removal of Directors</w:t>
      </w:r>
      <w:r>
        <w:rPr>
          <w:rFonts w:ascii="Times New Roman" w:hAnsi="Times New Roman"/>
          <w:sz w:val="20"/>
        </w:rPr>
        <w:t xml:space="preserve">. Any director may be removed for cause at any meeting of shareholders, notice of which shall have referred to the proposed action, by vote of the shareholders. Any director may be removed without cause at any meeting of shareholders, notice of which shall have referred to the proposed action, by the vote of the holders of a majority of the shares of the association entitled to vote. Any director may be removed for cause at any meeting of the directors, notice of which shall have referred to the proposed action, by vote of a majority of the entire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 Vacancies</w:t>
      </w:r>
      <w:r>
        <w:rPr>
          <w:rFonts w:ascii="Times New Roman" w:hAnsi="Times New Roman"/>
          <w:sz w:val="20"/>
        </w:rPr>
        <w:t xml:space="preserve">. When any vacancy occurs among the directors, a majority of the remaining members of the Board of Directors may appoint a director to fill such vacancy until the next election at any regular meeting of the Board of Directors, or at a special meeting called for that purpose at which a quorum is present, or if the directors remaining in office constitute fewer than a quorum of the Board of Directors, by the affirmative vote of a majority of all the directors remaining in office, or by shareholders at a special meeting called for that purpose in conformance with Section 2 of Article I. A vacancy that will occur at a specific later date (by reason of a resignation effective at a later date) may be filled before the vacancy occurs but the new director may not take office until the vacancy occurs.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 Consent of Directors without a Meeting</w:t>
      </w:r>
      <w:r>
        <w:rPr>
          <w:rFonts w:ascii="Times New Roman" w:hAnsi="Times New Roman"/>
          <w:sz w:val="20"/>
        </w:rPr>
        <w:t xml:space="preserve">. Any action required or permitted to be taken at any meeting of the Board of Directors may be taken without a meeting if the action is taken by all members of the Board. The action may be evidenced by one or more written consents signed by each director before or after such action, describing the action taken, and included in the minutes or filed with the corporate records. A director’s consent to action taken without a meeting may be in electronic form and delivered by electronic means.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 Ratification</w:t>
      </w:r>
      <w:r>
        <w:rPr>
          <w:rFonts w:ascii="Times New Roman" w:hAnsi="Times New Roman"/>
          <w:sz w:val="20"/>
        </w:rPr>
        <w:t xml:space="preserve">. The board of directors may ratify and make binding on the association any action or inaction by the association or its officers to the extent that the Board of Directors or the shareholders could have originally authorized the matter and as permitted by law. Moreover, any action or inaction questioned in any shareholders’ derivative proceeding or any other proceeding on the ground of lack of authority, defective or irregular execution, adverse interest of a director, officer or shareholder, non-disclosure, miscomputation, the application of improper principles or practices of accounting or otherwise, may be ratified, before or after judgment, by the Board of Directors or by the shareholders, and if so ratified, shall have the same force and effect as if the questioned action or inaction had been originally duly authorized, and such ratification shall be binding upon the shareholders and shall constitute a bar to any claim or execution of any judgment in respect of such questioned action or inaction.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Committees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Executive Committee</w:t>
      </w:r>
      <w:r>
        <w:rPr>
          <w:rFonts w:ascii="Times New Roman" w:hAnsi="Times New Roman"/>
          <w:sz w:val="20"/>
        </w:rPr>
        <w:t xml:space="preserve">. The Board of Directors may appoint an Executive Committee, which shall have and may exercise, during the intervals between meetings of the Board of Directors, all the powers of the Board of Directors in the management of the business, properties and affairs of the association except as prohibited by law, the Articles of Association or these Bylaws. All acts done and powers conferred by the Executive Committee shall be deemed to be and may be certified as being, done or conferred under authority of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 Trust Audit Committee. </w:t>
      </w:r>
      <w:r>
        <w:rPr>
          <w:rFonts w:ascii="Times New Roman" w:hAnsi="Times New Roman"/>
          <w:sz w:val="20"/>
        </w:rPr>
        <w:t xml:space="preserve">Unless delegated pursuant to Section 5 of this Article III, there shall be a Trust Audit Committee composed of not less than 2 directors, appointed by the Board of Directors, which shall, at least once during each calendar year make suitable audits of the association’s fiduciary activities or cause suitable audits to be made by auditors responsible only to the Board, and at such time shall ascertain whether fiduciary powers have been administered according to law, Part 9 of the Regulations of the Comptroller of the Currency, and sound fiduciary principles. Such committee: (1) must not include any officers of the association or an affiliate who participate significantly in the administration of the association’s fiduciary activities; and (2) must consist of a majority of members who are not also members of any committee to which the Board of Directors has delegated power to manage and control the fiduciary activities of the bank.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Examining Committee</w:t>
      </w:r>
      <w:r>
        <w:rPr>
          <w:rFonts w:ascii="Times New Roman" w:hAnsi="Times New Roman"/>
          <w:sz w:val="20"/>
        </w:rPr>
        <w:t xml:space="preserve">. Unless delegated pursuant to Section 5 of this Article III, there shall be an examining committee composed of not less than 2 directors, exclusive of any active officers, appointed by the board of directors annually or more often. The duty of that committee shall be to examine at least once during each calendar year and within 15 months of the last examination the affairs of the association or cause suitable examinations to be made by auditors responsible only to the board of directors and to report the result of such examination in writing to the board of directors at the next regular meeting thereafter. Such report shall state whether the association is in a sound condition, and whether adequate internal controls and procedures are being maintained and shall recommend to the board of directors such changes in the manner of conducting the affairs of the association as shall be deemed advisable.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Other Committees</w:t>
      </w:r>
      <w:r>
        <w:rPr>
          <w:rFonts w:ascii="Times New Roman" w:hAnsi="Times New Roman"/>
          <w:sz w:val="20"/>
        </w:rPr>
        <w:t xml:space="preserve">. The Board of Directors may from time to time by resolution adopted by affirmative vote of a majority of the Board of Directors, appoint other committees of the Board of Directors which shall have such powers and duties as the Board of Directors may properly determine. No such other committee of the Board of Directors shall be composed of fewer than three (3) directors. The Board of Directors may also appoint one or more directors as alternative members of a committee. All acts done and powers conferred by the Board of Directors on committees of the Board of Directors shall be deemed to be and may be certified as being, done or conferred under that authority of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Delegation of Responsibility and Authority</w:t>
      </w:r>
      <w:r>
        <w:rPr>
          <w:rFonts w:ascii="Times New Roman" w:hAnsi="Times New Roman"/>
          <w:sz w:val="20"/>
        </w:rPr>
        <w:t xml:space="preserve">. The responsibility, authority and constitution of any committee under this Article III may, if authorized by law, be given over to a duly constituted committee of the association’s parent corporation by resolution adopted by the 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Officers and Employees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 Officers. </w:t>
      </w:r>
      <w:r>
        <w:rPr>
          <w:rFonts w:ascii="Times New Roman" w:hAnsi="Times New Roman"/>
          <w:sz w:val="20"/>
        </w:rPr>
        <w:t xml:space="preserve">The Board of Directors shall annually, at the Annual Reorganization Meeting of the Board of Directors following the annual meeting of shareholders, appoint or elect a chair of the Board, a chief executive officer, a president, one (1) or more senior executive vice presidents, a corporate secretary, a treasurer, a chief auditor, and such other officers as it may determine, each to hold office until the next Annual Reorganization meeting. </w:t>
      </w:r>
    </w:p>
    <w:p>
      <w:pPr>
        <w:pStyle w:val="TextBody"/>
        <w:bidi w:val="0"/>
        <w:spacing w:before="240" w:after="0"/>
        <w:jc w:val="left"/>
        <w:rPr>
          <w:rFonts w:ascii="Times New Roman" w:hAnsi="Times New Roman"/>
          <w:sz w:val="20"/>
        </w:rPr>
      </w:pPr>
      <w:r>
        <w:rPr>
          <w:rFonts w:ascii="Times New Roman" w:hAnsi="Times New Roman"/>
          <w:sz w:val="20"/>
        </w:rPr>
        <w:t xml:space="preserve">The officers below the level of senior executive vice president may be elected as follows: the head of the Human Resources Department of M&amp;T Bank, or his or her designee, may appoint officers up to and including (without limitation as to title or number) one (1) or more executive vice presidents, senior vice presidents, vice presidents, assistant vice presidents, assistant secretaries, assistant treasurers, and assistant auditors, and any other officer positions as they deem necessary and appropriate, except the chair of the board, chief executive officer, president, any “Executive Officer” of the association for the purposes of Regulation O (codified at 12 C.F.R. §215.2(e)(1)), and any “Senior Executive Officer” within the meaning of 12 C.F.R. §5.51(c)(4) may only be appointed by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Chair of the Board</w:t>
      </w:r>
      <w:r>
        <w:rPr>
          <w:rFonts w:ascii="Times New Roman" w:hAnsi="Times New Roman"/>
          <w:sz w:val="20"/>
        </w:rPr>
        <w:t xml:space="preserve">. The Board of Directors shall appoint one of its members to be the chair of the Board to serve at its pleasure. Such person shall preside at all meetings of the Board of Directors. The chair of the Board shall supervise the carrying out of the policies adopted or approved by the Board of Directors; shall have general executive powers, as well as the specific powers conferred by these Bylaws; and shall also have and may exercise such further powers and duties as from time to time may be conferred upon or assigned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President</w:t>
      </w:r>
      <w:r>
        <w:rPr>
          <w:rFonts w:ascii="Times New Roman" w:hAnsi="Times New Roman"/>
          <w:sz w:val="20"/>
        </w:rPr>
        <w:t xml:space="preserve">. The Board of Directors shall appoint one of its members to be the president of the association. The president shall be a member of the Board of Directors. In the absence of the chair, the president shall preside at any meeting of the Board of Directors. The president shall have general executive powers and shall have and may exercise any and all other powers and duties pertaining by law, regulation, or practice to the office of president, or imposed by these Bylaws. The president shall also have and may exercise such further powers and duties as from time to time may be conferred or assigned by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Vice President</w:t>
      </w:r>
      <w:r>
        <w:rPr>
          <w:rFonts w:ascii="Times New Roman" w:hAnsi="Times New Roman"/>
          <w:sz w:val="20"/>
        </w:rPr>
        <w:t xml:space="preserve">. The Board of Directors may appoint one or more vice presidents. Each vice president shall have such powers and duties as may be assigned by the Board of Directors. One vice president shall be designated by the Board of Directors, in the absence of the president, to perform all the duties of the president.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Secretary</w:t>
      </w:r>
      <w:r>
        <w:rPr>
          <w:rFonts w:ascii="Times New Roman" w:hAnsi="Times New Roman"/>
          <w:sz w:val="20"/>
        </w:rPr>
        <w:t xml:space="preserve">. The Board of Directors shall appoint a secretary or other designated officer who shall be secretary of the Board of Directors and of the association and who shall keep accurate minutes of all meetings. The secretary shall attend to the giving of all notices required by these Bylaws; shall be custodian of the corporate seal, records, documents and papers of the association; shall provide for the keeping of proper records of all transactions of the association; shall have and may exercise any and all other powers and duties pertaining by law, regulation or practice, or imposed by these bylaws; and shall also perform such other duties as may be assigned from time to time, by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 Other Officers</w:t>
      </w:r>
      <w:r>
        <w:rPr>
          <w:rFonts w:ascii="Times New Roman" w:hAnsi="Times New Roman"/>
          <w:sz w:val="20"/>
        </w:rPr>
        <w:t xml:space="preserve">. The Board of Directors may appoint one or more assistant vice presidents, one or more trust officers, one or more officers, one or more assistant secretaries, one or more assistant treasurers, one or more managers and assistant managers of branches and such other officers and attorneys in fact as from time to time may appear to the Board of Directors to be required or desirable to transact the business of the association. Such officers shall respectively exercise such powers and perform such duties as pertain to their several offices, or as may be conferred upon or assigned to them by the Board of Directors, the chair of the Board, or the president. The Board of Directors may authorize an officer to appoint one or more officers or assistant officers.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 Resignation</w:t>
      </w:r>
      <w:r>
        <w:rPr>
          <w:rFonts w:ascii="Times New Roman" w:hAnsi="Times New Roman"/>
          <w:sz w:val="20"/>
        </w:rPr>
        <w:t xml:space="preserve">. An officer may resign at any time by delivering notice to the association. A resignation is effective when the notice is given unless the notice specifies a later effective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Stock and Stock Certificates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Transfers</w:t>
      </w:r>
      <w:r>
        <w:rPr>
          <w:rFonts w:ascii="Times New Roman" w:hAnsi="Times New Roman"/>
          <w:sz w:val="20"/>
        </w:rPr>
        <w:t xml:space="preserve">. Shares of stock shall be transferable on the books of the association, and a transfer book shall be kept in which all transfers of stock shall be recorded. Every person becoming a shareholder by such transfer shall in proportion to such shareholder’s shares, succeed to all rights of the prior holder of such shares. The Board of Directors may impose conditions upon the transfer of the stock reasonably calculated to simplify the work of the association with respect to stock transfers, voting at shareholder meetings and related matters and to protect it against fraudulent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Stock Certificates</w:t>
      </w:r>
      <w:r>
        <w:rPr>
          <w:rFonts w:ascii="Times New Roman" w:hAnsi="Times New Roman"/>
          <w:sz w:val="20"/>
        </w:rPr>
        <w:t xml:space="preserve">. Certificates of stock shall bear the signature of the president (which may be engraved, printed or impressed) and shall be signed manually, by facsimile process, or electronic means by the secretary, assistant secretary, treasurer, assistant treasurer, or any other officer appointed by the Board of Directors for that purpose, to be known as an authorized officer, and the seal of the association shall be engraved thereon. Each certificate shall recite on its face that the stock represented thereby is transferable only upon the books of the association properly endorsed and otherwise comply with the requirements of 12 </w:t>
      </w:r>
    </w:p>
    <w:p>
      <w:pPr>
        <w:pStyle w:val="TextBody"/>
        <w:bidi w:val="0"/>
        <w:spacing w:before="0" w:after="0"/>
        <w:jc w:val="left"/>
        <w:rPr>
          <w:rFonts w:ascii="Times New Roman" w:hAnsi="Times New Roman"/>
          <w:sz w:val="20"/>
        </w:rPr>
      </w:pPr>
      <w:r>
        <w:rPr>
          <w:rFonts w:ascii="Times New Roman" w:hAnsi="Times New Roman"/>
          <w:sz w:val="20"/>
        </w:rPr>
        <w:t xml:space="preserve">U.S.C. 52 and 12 C.F.R. §7.2016(b).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Lost, Stolen or Destroyed Certificates</w:t>
      </w:r>
      <w:r>
        <w:rPr>
          <w:rFonts w:ascii="Times New Roman" w:hAnsi="Times New Roman"/>
          <w:sz w:val="20"/>
        </w:rPr>
        <w:t xml:space="preserve">. In case any certificate representing shares shall be lost, stolen or destroyed, the Board of Directors, in its discretion, or any officer or officers thereunder duly authorized by the Board of Directors, may authorize the issue of a substitute certificate or substitute shares in uncertificated form in the place of the certificate so lost, stolen or destroyed.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Fixing of Record Date</w:t>
      </w:r>
      <w:r>
        <w:rPr>
          <w:rFonts w:ascii="Times New Roman" w:hAnsi="Times New Roman"/>
          <w:sz w:val="20"/>
        </w:rPr>
        <w:t xml:space="preserve">. The Board of Directors may set, in advance, a record date for the purpose of determining shareholders entitled to notice of or to vote at any meeting of shareholders or determining shareholders entitled to receive payment of any dividend or the allotment of any other rights, in order to make a determination of shareholders for any other proper purpose. Such date, in any case, shall be the close of business on the day before the first notice is mailed or otherwise sent to the shareholders, provided that in no event may a record date be more than 10 days before the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Corporate Seal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Seal</w:t>
      </w:r>
      <w:r>
        <w:rPr>
          <w:rFonts w:ascii="Times New Roman" w:hAnsi="Times New Roman"/>
          <w:sz w:val="20"/>
        </w:rPr>
        <w:t xml:space="preserve">. The seal of the association shall be in such form as may be determined from time to time by the Board of Directors. The president, the treasurer, the secretary or any assistant treasurer or assistant secretary, or other officer thereunto designated by the Board of Directors shall have authority to affix the corporate seal to any document requiring such seal and to attest the same. The seal on any corporate obligation for the payment of money may be facsimile.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Fiscal Year</w:t>
      </w:r>
      <w:r>
        <w:rPr>
          <w:rFonts w:ascii="Times New Roman" w:hAnsi="Times New Roman"/>
          <w:sz w:val="20"/>
        </w:rPr>
        <w:t xml:space="preserve">. The fiscal year of the association shall be the calendar year.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Execution of Instruments</w:t>
      </w:r>
      <w:r>
        <w:rPr>
          <w:rFonts w:ascii="Times New Roman" w:hAnsi="Times New Roman"/>
          <w:sz w:val="20"/>
        </w:rPr>
        <w:t xml:space="preserve">. All agreements, indentures, mortgages, deeds, conveyances, transfers, certificates, declarations, receipts, discharges, releases, satisfactions, settlements, petitions, schedules, accounts, affidavits, bonds, undertakings, proxies and other instruments or documents may be signed, executed, acknowledged, verified, delivered or accepted on behalf of the association by any officer elected or appointed pursuant to Article IV of these Bylaws. Any such instruments may also be executed, acknowledged, verified, delivered or accepted on behalf of the association in such other manner and by such other officers as the Board of Directors may from time to time direct. The provisions of this Section 2 are supplementary to any other provision of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Records</w:t>
      </w:r>
      <w:r>
        <w:rPr>
          <w:rFonts w:ascii="Times New Roman" w:hAnsi="Times New Roman"/>
          <w:sz w:val="20"/>
        </w:rPr>
        <w:t xml:space="preserve">. The Articles of Association, the Bylaws and the proceedings of all meetings of the shareholders, the Board of Directors, and standing committees of the Board of Directors shall be recorded in appropriate minute books provided for that purpose. The minutes of each meeting shall be signed by the secretary, treasurer or other officer appointed to act as secretary of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 Corporate Governance Procedures. </w:t>
      </w:r>
      <w:r>
        <w:rPr>
          <w:rFonts w:ascii="Times New Roman" w:hAnsi="Times New Roman"/>
          <w:sz w:val="20"/>
        </w:rPr>
        <w:t xml:space="preserve">To the extent not inconsistent with federal banking statutes and regulations, or safe and sound banking practices, the association may follow the Delaware General Corporation Law, Del. Code Ann. tit. 8 (1991, as amended 1994, and as amended thereafter) with respect to matters of corporate governance procedures.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 Indemnification. </w:t>
      </w:r>
      <w:r>
        <w:rPr>
          <w:rFonts w:ascii="Times New Roman" w:hAnsi="Times New Roman"/>
          <w:sz w:val="20"/>
        </w:rPr>
        <w:t xml:space="preserve">For purposes of this Section 5 of Article VIII, the term “institution-affiliated party” shall mean any institution-affiliated party of the association as such term is defined in 12 U.S.C. 1813(u). </w:t>
      </w:r>
    </w:p>
    <w:p>
      <w:pPr>
        <w:pStyle w:val="TextBody"/>
        <w:bidi w:val="0"/>
        <w:spacing w:before="240" w:after="0"/>
        <w:jc w:val="left"/>
        <w:rPr>
          <w:rFonts w:ascii="Times New Roman" w:hAnsi="Times New Roman"/>
          <w:sz w:val="20"/>
        </w:rPr>
      </w:pPr>
      <w:r>
        <w:rPr>
          <w:rFonts w:ascii="Times New Roman" w:hAnsi="Times New Roman"/>
          <w:sz w:val="20"/>
        </w:rPr>
        <w:t xml:space="preserve">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association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 affiliated party (or his or her heirs, executors or administrators) is ultimately found not to be entitled to indemnification as authorized by these Bylaws and (b) approval by the Board of Directors acting by a quorum consisting of directors who are not parties to such action or proceeding or, if such a quorum is not obtainable, then approval by shareholders. To the extent permitted by law, the Board of Directors or, if applicable, the shareholders, shall not be required to find that the institution-affiliated party has met the applicable standard of conduct provided by law for indemnification in connection with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Section 5 of Article VIII have been met. If independent legal counsel opines that said conditions have been met, the remaining members of the Board of Directors may rely on such opinion in authorizing the requested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Section 5 of Article VIII have been met. If legal counsel opines that said conditions have been met, the Board of Directors may rely on such opinion in authorizing the requested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under applicable law, the rights of indemnification and to the advancement of expenses provided in the Articles of Association (a) shall be available with respect to events occurring prior to the adoption of these Bylaws, (b) shall continue to exist after any restrictive amendment of these Bylaws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of indemnification and to the advancement of expenses provided in these Bylaws shall not, to the extent permitted under applicable law, be deemed exclusive of any other rights to which any such institution-affiliated party (or his or her heirs, executors or administrators) may now or hereafter be otherwise entitled whether contained in the association’s Articles of Association, these Bylaws, a resolution of shareholders,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Bylaws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 </w:t>
      </w:r>
    </w:p>
    <w:p>
      <w:pPr>
        <w:pStyle w:val="TextBody"/>
        <w:bidi w:val="0"/>
        <w:spacing w:before="240" w:after="0"/>
        <w:jc w:val="left"/>
        <w:rPr>
          <w:rFonts w:ascii="Times New Roman" w:hAnsi="Times New Roman"/>
          <w:sz w:val="20"/>
        </w:rPr>
      </w:pPr>
      <w:r>
        <w:rPr>
          <w:rFonts w:ascii="Times New Roman" w:hAnsi="Times New Roman"/>
          <w:sz w:val="20"/>
        </w:rPr>
        <w:t xml:space="preserve">If this Section 5 of Article VIII or any part hereof shall be held unenforceable in any respect by a court of competent jurisdiction, it shall be deemed modified to the minimum extent necessary to make it enforceable, and the remainder of this Section 5 of Article VIII shall remain fully 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association may, upon affirmative vote of a majority of its Board of Directors, purchase insurance to indemnify its institution-affiliated parties to the extent that such indemnification is allowed in these Bylaws; provided, however, that no such insurance shall include coverage for a final order assessing civil money penalties against such persons by a bank regulatory agency. Such insurance may, but need not, be for the benefit of all institution- affiliated parties.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Inspection and 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Inspection</w:t>
      </w:r>
      <w:r>
        <w:rPr>
          <w:rFonts w:ascii="Times New Roman" w:hAnsi="Times New Roman"/>
          <w:sz w:val="20"/>
        </w:rPr>
        <w:t xml:space="preserve">. A copy of the bylaws of the association, with all amendments, shall at all times be kept in a convenient place at the main office of the association, and shall be open for inspection to all shareholders during banking hours.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Amendments</w:t>
      </w:r>
      <w:r>
        <w:rPr>
          <w:rFonts w:ascii="Times New Roman" w:hAnsi="Times New Roman"/>
          <w:sz w:val="20"/>
        </w:rPr>
        <w:t xml:space="preserve">. The Board of Directors shall have the power, at any regular or special meeting thereof, to amend, alter or repeal the bylaws of the association, or to make and adopt new bylaws. These Bylaws may be amended, altered or repealed and new bylaws may be adopted by the shareholders of the association to the extent and as permitted in the Articles of Association or applicable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6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321(b) Consent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321(b) of the Trust Indenture Act of 1939, as amended, Wilmington Trust, National Association hereby consents that reports of examinations by Federal, State, Territorial or District authorities may be furnished by such authorities to the Securities and Exchange Commission upon requests therefor.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0"/>
        <w:gridCol w:w="109"/>
        <w:gridCol w:w="389"/>
        <w:gridCol w:w="109"/>
        <w:gridCol w:w="373"/>
        <w:gridCol w:w="109"/>
        <w:gridCol w:w="4636"/>
      </w:tblGrid>
      <w:tr>
        <w:trPr/>
        <w:tc>
          <w:tcPr>
            <w:tcW w:w="448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448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18" w:type="dxa"/>
            <w:gridSpan w:val="3"/>
            <w:tcBorders/>
          </w:tcPr>
          <w:p>
            <w:pPr>
              <w:pStyle w:val="TableContents"/>
              <w:bidi w:val="0"/>
              <w:spacing w:before="0" w:after="283"/>
              <w:jc w:val="left"/>
              <w:rPr>
                <w:b/>
              </w:rPr>
            </w:pPr>
            <w:r>
              <w:rPr>
                <w:b/>
              </w:rPr>
              <w:t>WILMINGTON TRUST, NATIONAL ASSOCIATION</w:t>
            </w:r>
          </w:p>
        </w:tc>
      </w:tr>
      <w:tr>
        <w:trPr>
          <w:trHeight w:val="240" w:hRule="atLeast"/>
        </w:trPr>
        <w:tc>
          <w:tcPr>
            <w:tcW w:w="4480" w:type="dxa"/>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745" w:type="dxa"/>
            <w:gridSpan w:val="2"/>
            <w:tcBorders/>
            <w:vAlign w:val="center"/>
          </w:tcPr>
          <w:p>
            <w:pPr>
              <w:pStyle w:val="TableContents"/>
              <w:bidi w:val="0"/>
              <w:spacing w:before="0" w:after="283"/>
              <w:jc w:val="left"/>
              <w:rPr>
                <w:sz w:val="4"/>
                <w:szCs w:val="4"/>
              </w:rPr>
            </w:pPr>
            <w:r>
              <w:rPr>
                <w:sz w:val="4"/>
                <w:szCs w:val="4"/>
              </w:rPr>
            </w:r>
          </w:p>
        </w:tc>
      </w:tr>
      <w:tr>
        <w:trPr/>
        <w:tc>
          <w:tcPr>
            <w:tcW w:w="4480" w:type="dxa"/>
            <w:tcBorders/>
          </w:tcPr>
          <w:p>
            <w:pPr>
              <w:pStyle w:val="TableContents"/>
              <w:bidi w:val="0"/>
              <w:spacing w:before="0" w:after="283"/>
              <w:jc w:val="left"/>
              <w:rPr/>
            </w:pPr>
            <w:r>
              <w:rPr/>
              <w:t>Dated: November 7, 2025</w:t>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3"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636" w:type="dxa"/>
            <w:tcBorders>
              <w:bottom w:val="single" w:sz="2" w:space="0" w:color="000000"/>
            </w:tcBorders>
            <w:tcMar>
              <w:bottom w:w="28" w:type="dxa"/>
            </w:tcMar>
          </w:tcPr>
          <w:p>
            <w:pPr>
              <w:pStyle w:val="TableContents"/>
              <w:bidi w:val="0"/>
              <w:spacing w:before="0" w:after="283"/>
              <w:jc w:val="left"/>
              <w:rPr/>
            </w:pPr>
            <w:r>
              <w:rPr/>
              <w:t>/s/ Latoya S. Elvin</w:t>
            </w:r>
          </w:p>
        </w:tc>
      </w:tr>
      <w:tr>
        <w:trPr/>
        <w:tc>
          <w:tcPr>
            <w:tcW w:w="448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36" w:type="dxa"/>
            <w:tcBorders/>
          </w:tcPr>
          <w:p>
            <w:pPr>
              <w:pStyle w:val="TableContents"/>
              <w:bidi w:val="0"/>
              <w:spacing w:before="0" w:after="283"/>
              <w:jc w:val="left"/>
              <w:rPr/>
            </w:pPr>
            <w:r>
              <w:rPr/>
              <w:t>Name: Latoya S. Elvin</w:t>
            </w:r>
          </w:p>
        </w:tc>
      </w:tr>
      <w:tr>
        <w:trPr/>
        <w:tc>
          <w:tcPr>
            <w:tcW w:w="448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36" w:type="dxa"/>
            <w:tcBorders/>
            <w:vAlign w:val="bottom"/>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EXHIBIT 7 </w:t>
      </w:r>
    </w:p>
    <w:p>
      <w:pPr>
        <w:pStyle w:val="TextBody"/>
        <w:bidi w:val="0"/>
        <w:spacing w:before="240" w:after="0"/>
        <w:jc w:val="center"/>
        <w:rPr>
          <w:rFonts w:ascii="Times New Roman" w:hAnsi="Times New Roman"/>
          <w:b/>
          <w:sz w:val="20"/>
        </w:rPr>
      </w:pPr>
      <w:r>
        <w:rPr>
          <w:rFonts w:ascii="Times New Roman" w:hAnsi="Times New Roman"/>
          <w:b/>
          <w:sz w:val="20"/>
        </w:rPr>
        <w:t xml:space="preserve">REPORT OF CONDITION </w:t>
      </w:r>
    </w:p>
    <w:p>
      <w:pPr>
        <w:pStyle w:val="TextBody"/>
        <w:bidi w:val="0"/>
        <w:spacing w:before="240" w:after="0"/>
        <w:jc w:val="center"/>
        <w:rPr>
          <w:rFonts w:ascii="Times New Roman" w:hAnsi="Times New Roman"/>
          <w:b/>
          <w:sz w:val="20"/>
        </w:rPr>
      </w:pPr>
      <w:r>
        <w:rPr>
          <w:rFonts w:ascii="Times New Roman" w:hAnsi="Times New Roman"/>
          <w:b/>
          <w:sz w:val="20"/>
        </w:rPr>
        <w:t xml:space="preserve">WILMINGTON TRUST,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of the close of business on September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54"/>
        <w:gridCol w:w="131"/>
        <w:gridCol w:w="60"/>
        <w:gridCol w:w="2198"/>
        <w:gridCol w:w="62"/>
      </w:tblGrid>
      <w:tr>
        <w:trPr/>
        <w:tc>
          <w:tcPr>
            <w:tcW w:w="775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b/>
              </w:rPr>
            </w:pPr>
            <w:r>
              <w:rPr>
                <w:b/>
              </w:rPr>
              <w:t>Thousands of Dollars</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656,466</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1,107</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sold and securities purchased under agreement to resell:</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leases held for sale:</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net of unearned income, allowance: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27,737</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Premises and fixed asset</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26,515</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Other real estate owned: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unconsolidated subsidiaries and associated companies: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Direct and indirect investments in real estate ventures: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69,238</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781,153</w:t>
            </w:r>
          </w:p>
        </w:tc>
        <w:tc>
          <w:tcPr>
            <w:tcW w:w="62" w:type="dxa"/>
            <w:tcBorders/>
            <w:shd w:fill="CCEEFF" w:val="clear"/>
            <w:vAlign w:val="bottom"/>
          </w:tcPr>
          <w:p>
            <w:pPr>
              <w:pStyle w:val="TableContents"/>
              <w:bidi w:val="0"/>
              <w:spacing w:before="0" w:after="283"/>
              <w:jc w:val="left"/>
              <w:rPr/>
            </w:pPr>
            <w:r>
              <w:rPr/>
              <w:t> </w:t>
            </w:r>
          </w:p>
        </w:tc>
      </w:tr>
      <w:tr>
        <w:trPr>
          <w:trHeight w:val="240" w:hRule="atLeast"/>
        </w:trPr>
        <w:tc>
          <w:tcPr>
            <w:tcW w:w="7754" w:type="dxa"/>
            <w:tcBorders/>
            <w:vAlign w:val="center"/>
          </w:tcPr>
          <w:p>
            <w:pPr>
              <w:pStyle w:val="TableContents"/>
              <w:bidi w:val="0"/>
              <w:spacing w:before="0" w:after="283"/>
              <w:jc w:val="left"/>
              <w:rPr>
                <w:sz w:val="4"/>
                <w:szCs w:val="4"/>
              </w:rPr>
            </w:pPr>
            <w:r>
              <w:rPr>
                <w:sz w:val="4"/>
                <w:szCs w:val="4"/>
              </w:rPr>
            </w:r>
          </w:p>
        </w:tc>
        <w:tc>
          <w:tcPr>
            <w:tcW w:w="2451" w:type="dxa"/>
            <w:gridSpan w:val="4"/>
            <w:tcBorders/>
            <w:vAlign w:val="center"/>
          </w:tcPr>
          <w:p>
            <w:pPr>
              <w:pStyle w:val="TableContents"/>
              <w:bidi w:val="0"/>
              <w:spacing w:before="0" w:after="283"/>
              <w:jc w:val="left"/>
              <w:rPr>
                <w:sz w:val="4"/>
                <w:szCs w:val="4"/>
              </w:rPr>
            </w:pPr>
            <w:r>
              <w:rPr>
                <w:sz w:val="4"/>
                <w:szCs w:val="4"/>
              </w:rPr>
            </w:r>
          </w:p>
        </w:tc>
      </w:tr>
      <w:tr>
        <w:trPr/>
        <w:tc>
          <w:tcPr>
            <w:tcW w:w="775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b/>
              </w:rPr>
            </w:pPr>
            <w:r>
              <w:rPr>
                <w:b/>
              </w:rPr>
              <w:t>Thousands of Dollars</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5,219</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purchased and securities sold under agreements to repurchase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110,863</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116,082</w:t>
            </w:r>
          </w:p>
        </w:tc>
        <w:tc>
          <w:tcPr>
            <w:tcW w:w="62" w:type="dxa"/>
            <w:tcBorders/>
            <w:shd w:fill="CCEEFF" w:val="clear"/>
            <w:vAlign w:val="bottom"/>
          </w:tcPr>
          <w:p>
            <w:pPr>
              <w:pStyle w:val="TableContents"/>
              <w:bidi w:val="0"/>
              <w:spacing w:before="0" w:after="283"/>
              <w:jc w:val="left"/>
              <w:rPr/>
            </w:pPr>
            <w:r>
              <w:rPr/>
              <w:t> </w:t>
            </w:r>
          </w:p>
        </w:tc>
      </w:tr>
      <w:tr>
        <w:trPr>
          <w:trHeight w:val="240" w:hRule="atLeast"/>
        </w:trPr>
        <w:tc>
          <w:tcPr>
            <w:tcW w:w="7754" w:type="dxa"/>
            <w:tcBorders/>
            <w:vAlign w:val="center"/>
          </w:tcPr>
          <w:p>
            <w:pPr>
              <w:pStyle w:val="TableContents"/>
              <w:bidi w:val="0"/>
              <w:spacing w:before="0" w:after="283"/>
              <w:jc w:val="left"/>
              <w:rPr>
                <w:sz w:val="4"/>
                <w:szCs w:val="4"/>
              </w:rPr>
            </w:pPr>
            <w:r>
              <w:rPr>
                <w:sz w:val="4"/>
                <w:szCs w:val="4"/>
              </w:rPr>
            </w:r>
          </w:p>
        </w:tc>
        <w:tc>
          <w:tcPr>
            <w:tcW w:w="2451" w:type="dxa"/>
            <w:gridSpan w:val="4"/>
            <w:tcBorders/>
            <w:vAlign w:val="center"/>
          </w:tcPr>
          <w:p>
            <w:pPr>
              <w:pStyle w:val="TableContents"/>
              <w:bidi w:val="0"/>
              <w:spacing w:before="0" w:after="283"/>
              <w:jc w:val="left"/>
              <w:rPr>
                <w:sz w:val="4"/>
                <w:szCs w:val="4"/>
              </w:rPr>
            </w:pPr>
            <w:r>
              <w:rPr>
                <w:sz w:val="4"/>
                <w:szCs w:val="4"/>
              </w:rPr>
            </w:r>
          </w:p>
        </w:tc>
      </w:tr>
      <w:tr>
        <w:trPr/>
        <w:tc>
          <w:tcPr>
            <w:tcW w:w="7754"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 CAPITAL</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b/>
              </w:rPr>
            </w:pPr>
            <w:r>
              <w:rPr>
                <w:b/>
              </w:rPr>
              <w:t>Thousands of Dollars</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1,000</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Surplus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357,898</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306,169</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 Capital</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665,071</w:t>
            </w:r>
          </w:p>
        </w:tc>
        <w:tc>
          <w:tcPr>
            <w:tcW w:w="62" w:type="dxa"/>
            <w:tcBorders/>
            <w:shd w:fill="CCEEFF" w:val="clear"/>
            <w:vAlign w:val="bottom"/>
          </w:tcPr>
          <w:p>
            <w:pPr>
              <w:pStyle w:val="TableContents"/>
              <w:bidi w:val="0"/>
              <w:spacing w:before="0" w:after="283"/>
              <w:jc w:val="left"/>
              <w:rPr/>
            </w:pPr>
            <w:r>
              <w:rPr/>
              <w:t> </w:t>
            </w:r>
          </w:p>
        </w:tc>
      </w:tr>
      <w:tr>
        <w:trPr>
          <w:trHeight w:val="240" w:hRule="atLeast"/>
        </w:trPr>
        <w:tc>
          <w:tcPr>
            <w:tcW w:w="7754" w:type="dxa"/>
            <w:tcBorders/>
            <w:vAlign w:val="center"/>
          </w:tcPr>
          <w:p>
            <w:pPr>
              <w:pStyle w:val="TableContents"/>
              <w:bidi w:val="0"/>
              <w:spacing w:before="0" w:after="283"/>
              <w:jc w:val="left"/>
              <w:rPr>
                <w:sz w:val="4"/>
                <w:szCs w:val="4"/>
              </w:rPr>
            </w:pPr>
            <w:r>
              <w:rPr>
                <w:sz w:val="4"/>
                <w:szCs w:val="4"/>
              </w:rPr>
            </w:r>
          </w:p>
        </w:tc>
        <w:tc>
          <w:tcPr>
            <w:tcW w:w="2451" w:type="dxa"/>
            <w:gridSpan w:val="4"/>
            <w:tcBorders/>
            <w:vAlign w:val="center"/>
          </w:tcPr>
          <w:p>
            <w:pPr>
              <w:pStyle w:val="TableContents"/>
              <w:bidi w:val="0"/>
              <w:spacing w:before="0" w:after="283"/>
              <w:jc w:val="left"/>
              <w:rPr>
                <w:sz w:val="4"/>
                <w:szCs w:val="4"/>
              </w:rPr>
            </w:pPr>
            <w:r>
              <w:rPr>
                <w:sz w:val="4"/>
                <w:szCs w:val="4"/>
              </w:rPr>
            </w:r>
          </w:p>
        </w:tc>
      </w:tr>
      <w:tr>
        <w:trPr/>
        <w:tc>
          <w:tcPr>
            <w:tcW w:w="775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 Capital</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781,153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26" w:name="d32912dex991.htm"/>
      <w:bookmarkStart w:id="27" w:name="ksd32912dex991"/>
      <w:bookmarkEnd w:id="26"/>
      <w:bookmarkEnd w:id="27"/>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USCB FINANCIAL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LETTER OF TRANSMITTAL </w:t>
      </w:r>
    </w:p>
    <w:p>
      <w:pPr>
        <w:pStyle w:val="TextBody"/>
        <w:bidi w:val="0"/>
        <w:spacing w:before="240" w:after="0"/>
        <w:jc w:val="center"/>
        <w:rPr>
          <w:rFonts w:ascii="Times New Roman" w:hAnsi="Times New Roman"/>
          <w:b/>
          <w:sz w:val="20"/>
        </w:rPr>
      </w:pPr>
      <w:r>
        <w:rPr>
          <w:rFonts w:ascii="Times New Roman" w:hAnsi="Times New Roman"/>
          <w:b/>
          <w:sz w:val="20"/>
        </w:rPr>
        <w:t xml:space="preserve">To Tender for Exchange </w:t>
      </w:r>
    </w:p>
    <w:p>
      <w:pPr>
        <w:pStyle w:val="TextBody"/>
        <w:bidi w:val="0"/>
        <w:spacing w:before="240" w:after="0"/>
        <w:jc w:val="center"/>
        <w:rPr>
          <w:rFonts w:ascii="Times New Roman" w:hAnsi="Times New Roman"/>
          <w:b/>
          <w:sz w:val="20"/>
        </w:rPr>
      </w:pPr>
      <w:r>
        <w:rPr>
          <w:rFonts w:ascii="Times New Roman" w:hAnsi="Times New Roman"/>
          <w:b/>
          <w:sz w:val="20"/>
        </w:rPr>
        <w:t>7.625% Fixed-to-Floating Rate Subordinated Notes due 2035 CUSIP# 90355N AA9 / ISIN# US90355NAA90 and CUISP #90355N AB7 / ISIN# US90355NAB73 ( (the “</w:t>
      </w:r>
      <w:r>
        <w:rPr>
          <w:rFonts w:ascii="Times New Roman" w:hAnsi="Times New Roman"/>
          <w:b/>
          <w:sz w:val="20"/>
          <w:u w:val="single"/>
        </w:rPr>
        <w:t>Old Notes</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w:t>
      </w:r>
    </w:p>
    <w:p>
      <w:pPr>
        <w:pStyle w:val="TextBody"/>
        <w:bidi w:val="0"/>
        <w:spacing w:before="0" w:after="0"/>
        <w:jc w:val="center"/>
        <w:rPr>
          <w:rFonts w:ascii="Times New Roman" w:hAnsi="Times New Roman"/>
          <w:b/>
          <w:sz w:val="20"/>
        </w:rPr>
      </w:pPr>
      <w:r>
        <w:rPr>
          <w:rFonts w:ascii="Times New Roman" w:hAnsi="Times New Roman"/>
          <w:b/>
          <w:sz w:val="20"/>
        </w:rPr>
        <w:t>7.625% Fixed-to-Floating Rate Subordinated Notes due 2035 that have been registered under the Securities Act of 1933 (the “</w:t>
      </w:r>
      <w:r>
        <w:rPr>
          <w:rFonts w:ascii="Times New Roman" w:hAnsi="Times New Roman"/>
          <w:b/>
          <w:sz w:val="20"/>
          <w:u w:val="single"/>
        </w:rPr>
        <w:t>Securities Act</w:t>
      </w:r>
      <w:r>
        <w:rPr>
          <w:rFonts w:ascii="Times New Roman" w:hAnsi="Times New Roman"/>
          <w:b/>
          <w:sz w:val="20"/>
        </w:rPr>
        <w:t>”) CUSIP# 90355N AC5 / ISIN# US90355NAC56 (the “</w:t>
      </w:r>
      <w:r>
        <w:rPr>
          <w:rFonts w:ascii="Times New Roman" w:hAnsi="Times New Roman"/>
          <w:b/>
          <w:sz w:val="20"/>
          <w:u w:val="single"/>
        </w:rPr>
        <w:t>New Notes</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PURSUANT TO THE PROSPECTUS </w:t>
      </w:r>
    </w:p>
    <w:p>
      <w:pPr>
        <w:pStyle w:val="TextBody"/>
        <w:bidi w:val="0"/>
        <w:spacing w:before="240" w:after="0"/>
        <w:jc w:val="center"/>
        <w:rPr>
          <w:rFonts w:ascii="Times New Roman" w:hAnsi="Times New Roman"/>
          <w:b/>
          <w:sz w:val="20"/>
        </w:rPr>
      </w:pPr>
      <w:r>
        <w:rPr>
          <w:rFonts w:ascii="Times New Roman" w:hAnsi="Times New Roman"/>
          <w:b/>
          <w:sz w:val="20"/>
        </w:rPr>
        <w:t xml:space="preserve">DATED    ,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center"/>
              <w:rPr>
                <w:rFonts w:ascii="Times New Roman" w:hAnsi="Times New Roman"/>
                <w:b/>
                <w:sz w:val="20"/>
              </w:rPr>
            </w:pPr>
            <w:r>
              <w:rPr>
                <w:rFonts w:ascii="Times New Roman" w:hAnsi="Times New Roman"/>
                <w:b/>
                <w:sz w:val="20"/>
              </w:rPr>
              <w:t>THE EXCHANGE OFFER DESCRIBED HEREIN (THE “</w:t>
            </w:r>
            <w:r>
              <w:rPr>
                <w:rFonts w:ascii="Times New Roman" w:hAnsi="Times New Roman"/>
                <w:b/>
                <w:sz w:val="20"/>
                <w:u w:val="single"/>
              </w:rPr>
              <w:t>EXCHANGE OFFER</w:t>
            </w:r>
            <w:r>
              <w:rPr>
                <w:rFonts w:ascii="Times New Roman" w:hAnsi="Times New Roman"/>
                <w:b/>
                <w:sz w:val="20"/>
              </w:rPr>
              <w:t>”) WILL EXPIRE AT 11:59 P.M., NEW YORK CITY TIME, ON    , 202 , UNLESS EXTENDED (THE “</w:t>
            </w:r>
            <w:r>
              <w:rPr>
                <w:rFonts w:ascii="Times New Roman" w:hAnsi="Times New Roman"/>
                <w:b/>
                <w:sz w:val="20"/>
                <w:u w:val="single"/>
              </w:rPr>
              <w:t>EXPIRATION DATE</w:t>
            </w:r>
            <w:r>
              <w:rPr>
                <w:rFonts w:ascii="Times New Roman" w:hAnsi="Times New Roman"/>
                <w:b/>
                <w:sz w:val="20"/>
              </w:rPr>
              <w:t>”). TENDERS MAY BE WITHDRAWN PRIOR TO 11:59 P.M., NEW YORK CITY TIME, ON THE EXPIRATION DATE.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PLEASE READ CAREFULLY THE ATTACHED INSTRUCTIONS. </w:t>
      </w:r>
    </w:p>
    <w:p>
      <w:pPr>
        <w:pStyle w:val="TextBody"/>
        <w:bidi w:val="0"/>
        <w:spacing w:before="240" w:after="0"/>
        <w:jc w:val="center"/>
        <w:rPr>
          <w:rFonts w:ascii="Times New Roman" w:hAnsi="Times New Roman"/>
          <w:sz w:val="20"/>
        </w:rPr>
      </w:pPr>
      <w:r>
        <w:rPr>
          <w:rFonts w:ascii="Times New Roman" w:hAnsi="Times New Roman"/>
          <w:i/>
          <w:sz w:val="20"/>
        </w:rPr>
        <w:t>The “</w:t>
      </w:r>
      <w:r>
        <w:rPr>
          <w:rFonts w:ascii="Times New Roman" w:hAnsi="Times New Roman"/>
          <w:i/>
          <w:sz w:val="20"/>
          <w:u w:val="single"/>
        </w:rPr>
        <w:t>Exchange Agent</w:t>
      </w:r>
      <w:r>
        <w:rPr>
          <w:rFonts w:ascii="Times New Roman" w:hAnsi="Times New Roman"/>
          <w:sz w:val="20"/>
        </w:rPr>
        <w:t xml:space="preserve">” </w:t>
      </w:r>
      <w:r>
        <w:rPr>
          <w:rFonts w:ascii="Times New Roman" w:hAnsi="Times New Roman"/>
          <w:i/>
          <w:sz w:val="20"/>
        </w:rPr>
        <w:t xml:space="preserve">is: </w:t>
      </w:r>
    </w:p>
    <w:p>
      <w:pPr>
        <w:pStyle w:val="TextBody"/>
        <w:bidi w:val="0"/>
        <w:spacing w:before="240" w:after="0"/>
        <w:jc w:val="center"/>
        <w:rPr>
          <w:rFonts w:ascii="Times New Roman" w:hAnsi="Times New Roman"/>
          <w:b/>
          <w:sz w:val="20"/>
        </w:rPr>
      </w:pPr>
      <w:r>
        <w:rPr>
          <w:rFonts w:ascii="Times New Roman" w:hAnsi="Times New Roman"/>
          <w:b/>
          <w:sz w:val="20"/>
        </w:rPr>
        <w:t xml:space="preserve">Wilmington Trust, National Association </w:t>
      </w:r>
    </w:p>
    <w:p>
      <w:pPr>
        <w:pStyle w:val="TextBody"/>
        <w:bidi w:val="0"/>
        <w:spacing w:before="240" w:after="0"/>
        <w:jc w:val="center"/>
        <w:rPr>
          <w:rFonts w:ascii="Times New Roman" w:hAnsi="Times New Roman"/>
          <w:i/>
          <w:sz w:val="20"/>
        </w:rPr>
      </w:pPr>
      <w:r>
        <w:rPr>
          <w:rFonts w:ascii="Times New Roman" w:hAnsi="Times New Roman"/>
          <w:i/>
          <w:sz w:val="20"/>
        </w:rPr>
        <w:t xml:space="preserve">By Registered or Certified Mail, Overnight Courier, or Hand Delivery: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Attn: Workflow Management – 5th Floor </w:t>
      </w:r>
    </w:p>
    <w:p>
      <w:pPr>
        <w:pStyle w:val="TextBody"/>
        <w:bidi w:val="0"/>
        <w:spacing w:before="0" w:after="0"/>
        <w:jc w:val="center"/>
        <w:rPr>
          <w:rFonts w:ascii="Times New Roman" w:hAnsi="Times New Roman"/>
          <w:sz w:val="20"/>
        </w:rPr>
      </w:pPr>
      <w:r>
        <w:rPr>
          <w:rFonts w:ascii="Times New Roman" w:hAnsi="Times New Roman"/>
          <w:sz w:val="20"/>
        </w:rPr>
        <w:t xml:space="preserve">Rodney Square North </w:t>
      </w:r>
    </w:p>
    <w:p>
      <w:pPr>
        <w:pStyle w:val="TextBody"/>
        <w:bidi w:val="0"/>
        <w:spacing w:before="0" w:after="0"/>
        <w:jc w:val="center"/>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center"/>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center"/>
        <w:rPr>
          <w:rFonts w:ascii="Times New Roman" w:hAnsi="Times New Roman"/>
          <w:sz w:val="20"/>
        </w:rPr>
      </w:pPr>
      <w:r>
        <w:rPr>
          <w:rFonts w:ascii="Times New Roman" w:hAnsi="Times New Roman"/>
          <w:sz w:val="20"/>
        </w:rPr>
        <w:t xml:space="preserve">Email: DTC@Wilmingtontrust.com </w:t>
      </w:r>
    </w:p>
    <w:p>
      <w:pPr>
        <w:pStyle w:val="TextBody"/>
        <w:bidi w:val="0"/>
        <w:spacing w:before="240" w:after="0"/>
        <w:jc w:val="center"/>
        <w:rPr>
          <w:rFonts w:ascii="Times New Roman" w:hAnsi="Times New Roman"/>
          <w:i/>
          <w:sz w:val="20"/>
        </w:rPr>
      </w:pPr>
      <w:r>
        <w:rPr>
          <w:rFonts w:ascii="Times New Roman" w:hAnsi="Times New Roman"/>
          <w:i/>
          <w:sz w:val="20"/>
        </w:rPr>
        <w:t xml:space="preserve">Confirm by Telephone or for Information: </w:t>
      </w:r>
    </w:p>
    <w:p>
      <w:pPr>
        <w:pStyle w:val="TextBody"/>
        <w:bidi w:val="0"/>
        <w:spacing w:before="0" w:after="0"/>
        <w:jc w:val="center"/>
        <w:rPr>
          <w:rFonts w:ascii="Times New Roman" w:hAnsi="Times New Roman"/>
          <w:sz w:val="20"/>
        </w:rPr>
      </w:pPr>
      <w:r>
        <w:rPr>
          <w:rFonts w:ascii="Times New Roman" w:hAnsi="Times New Roman"/>
          <w:sz w:val="20"/>
        </w:rPr>
        <w:t xml:space="preserve">(302) 636-6470 </w:t>
      </w:r>
    </w:p>
    <w:p>
      <w:pPr>
        <w:pStyle w:val="TextBody"/>
        <w:bidi w:val="0"/>
        <w:spacing w:before="240" w:after="0"/>
        <w:jc w:val="left"/>
        <w:rPr>
          <w:rFonts w:ascii="Times New Roman" w:hAnsi="Times New Roman"/>
          <w:sz w:val="20"/>
        </w:rPr>
      </w:pPr>
      <w:r>
        <w:rPr>
          <w:rFonts w:ascii="Times New Roman" w:hAnsi="Times New Roman"/>
          <w:sz w:val="20"/>
        </w:rPr>
        <w:t>Delivery of this Letter of Transmittal to an address other than as set forth above or transmission via facsimile will not constitute a valid delivery. Only hard copies of this Letter of Transmittal or presentations via ATOP through the Depository Trust Company (“</w:t>
      </w:r>
      <w:r>
        <w:rPr>
          <w:rFonts w:ascii="Times New Roman" w:hAnsi="Times New Roman"/>
          <w:sz w:val="20"/>
          <w:u w:val="single"/>
        </w:rPr>
        <w:t>DTC</w:t>
      </w:r>
      <w:r>
        <w:rPr>
          <w:rFonts w:ascii="Times New Roman" w:hAnsi="Times New Roman"/>
          <w:sz w:val="20"/>
        </w:rPr>
        <w:t xml:space="preserve">”) will be accepted. </w:t>
      </w:r>
    </w:p>
    <w:p>
      <w:pPr>
        <w:pStyle w:val="TextBody"/>
        <w:bidi w:val="0"/>
        <w:spacing w:before="240" w:after="0"/>
        <w:jc w:val="left"/>
        <w:rPr>
          <w:rFonts w:ascii="Times New Roman" w:hAnsi="Times New Roman"/>
          <w:sz w:val="20"/>
        </w:rPr>
      </w:pPr>
      <w:r>
        <w:rPr>
          <w:rFonts w:ascii="Times New Roman" w:hAnsi="Times New Roman"/>
          <w:sz w:val="20"/>
        </w:rPr>
        <w:t xml:space="preserve">For procedural questions regarding this Letter of Transmittal or for any additional information, you may contact the Exchange Agent by email at DTC@Wilmingtontrust.com. All other requests for information relating to the Exchange Offer shall be directed to the Company, at USCB Financial Holdings, Inc., 2301 N.W. 87th Avenue, Doral, Florida 33172, Attention: Robert Anderson, Executive Vice President and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being mailed to, nor will tenders be accepted from or on behalf of, beneficial owners of outstanding Old Notes in any jurisdiction in which the making or acceptance of the Exchange Offer would not be in compliance with the laws of such jurisdiction. </w:t>
      </w:r>
    </w:p>
    <w:p>
      <w:pPr>
        <w:pStyle w:val="TextBody"/>
        <w:bidi w:val="0"/>
        <w:spacing w:before="480" w:after="0"/>
        <w:jc w:val="center"/>
        <w:rPr>
          <w:rFonts w:ascii="Times New Roman" w:hAnsi="Times New Roman"/>
          <w:b/>
          <w:sz w:val="20"/>
        </w:rPr>
      </w:pPr>
      <w:r>
        <w:rPr>
          <w:rFonts w:ascii="Times New Roman" w:hAnsi="Times New Roman"/>
          <w:b/>
          <w:sz w:val="20"/>
        </w:rPr>
        <w:t xml:space="preserve">Preliminary Instructions </w:t>
      </w:r>
    </w:p>
    <w:p>
      <w:pPr>
        <w:pStyle w:val="TextBody"/>
        <w:bidi w:val="0"/>
        <w:spacing w:before="240" w:after="0"/>
        <w:jc w:val="left"/>
        <w:rPr>
          <w:rFonts w:ascii="Times New Roman" w:hAnsi="Times New Roman"/>
          <w:sz w:val="20"/>
        </w:rPr>
      </w:pPr>
      <w:r>
        <w:rPr>
          <w:rFonts w:ascii="Times New Roman" w:hAnsi="Times New Roman"/>
          <w:sz w:val="20"/>
        </w:rPr>
        <w:t>The undersigned hereby acknowledges receipt of the prospectus dated     , 2025 (as it may be amended or supplemented from time to time, the “</w:t>
      </w:r>
      <w:r>
        <w:rPr>
          <w:rFonts w:ascii="Times New Roman" w:hAnsi="Times New Roman"/>
          <w:sz w:val="20"/>
          <w:u w:val="single"/>
        </w:rPr>
        <w:t>Prospectus</w:t>
      </w:r>
      <w:r>
        <w:rPr>
          <w:rFonts w:ascii="Times New Roman" w:hAnsi="Times New Roman"/>
          <w:sz w:val="20"/>
        </w:rPr>
        <w:t>”) of USCB Financial Holdings, Inc. (the “</w:t>
      </w:r>
      <w:r>
        <w:rPr>
          <w:rFonts w:ascii="Times New Roman" w:hAnsi="Times New Roman"/>
          <w:sz w:val="20"/>
          <w:u w:val="single"/>
        </w:rPr>
        <w:t>Company</w:t>
      </w:r>
      <w:r>
        <w:rPr>
          <w:rFonts w:ascii="Times New Roman" w:hAnsi="Times New Roman"/>
          <w:sz w:val="20"/>
        </w:rPr>
        <w:t>”) and this Letter of Transmittal (this “</w:t>
      </w:r>
      <w:r>
        <w:rPr>
          <w:rFonts w:ascii="Times New Roman" w:hAnsi="Times New Roman"/>
          <w:sz w:val="20"/>
          <w:u w:val="single"/>
        </w:rPr>
        <w:t>Letter of Transmittal</w:t>
      </w:r>
      <w:r>
        <w:rPr>
          <w:rFonts w:ascii="Times New Roman" w:hAnsi="Times New Roman"/>
          <w:sz w:val="20"/>
        </w:rPr>
        <w:t>”), which together constitute the Exchange Offer whereby the Company is offering to exchange its 7.625% Fixed-to-Floating Rate Subordinated Notes due 2035 (in global or definitive form) (the “</w:t>
      </w:r>
      <w:r>
        <w:rPr>
          <w:rFonts w:ascii="Times New Roman" w:hAnsi="Times New Roman"/>
          <w:sz w:val="20"/>
          <w:u w:val="single"/>
        </w:rPr>
        <w:t>Old Notes</w:t>
      </w:r>
      <w:r>
        <w:rPr>
          <w:rFonts w:ascii="Times New Roman" w:hAnsi="Times New Roman"/>
          <w:sz w:val="20"/>
        </w:rPr>
        <w:t>”) for a like principal amount of its 7.625% Fixed-to-Floating Rate Subordinated Notes due 2035 that have been registered under the Securities Act of 1933, as amended (the “</w:t>
      </w:r>
      <w:r>
        <w:rPr>
          <w:rFonts w:ascii="Times New Roman" w:hAnsi="Times New Roman"/>
          <w:sz w:val="20"/>
          <w:u w:val="single"/>
        </w:rPr>
        <w:t>Securities Act</w:t>
      </w:r>
      <w:r>
        <w:rPr>
          <w:rFonts w:ascii="Times New Roman" w:hAnsi="Times New Roman"/>
          <w:sz w:val="20"/>
        </w:rPr>
        <w:t>”) (in global form) (the “</w:t>
      </w:r>
      <w:r>
        <w:rPr>
          <w:rFonts w:ascii="Times New Roman" w:hAnsi="Times New Roman"/>
          <w:sz w:val="20"/>
          <w:u w:val="single"/>
        </w:rPr>
        <w:t>New Notes</w:t>
      </w:r>
      <w:r>
        <w:rPr>
          <w:rFonts w:ascii="Times New Roman" w:hAnsi="Times New Roman"/>
          <w:sz w:val="20"/>
        </w:rPr>
        <w:t xml:space="preserve">”). Capitalized terms used but not defined herein have the meanings ascribed to them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 that the Company entered into with the initial purchasers of the Old Notes and do not have the right to additional interest under the circumstances described in that registration rights agreement relating to the Company’s fulfillment of its registration obligations. Interest on each New Note will accrue from the last interest payment date on which interest was paid on the Old Note surrendered in exchange thereof, or, if no interest has been paid on such Old Notes, from the date of its original issue. </w:t>
      </w:r>
    </w:p>
    <w:p>
      <w:pPr>
        <w:pStyle w:val="TextBody"/>
        <w:bidi w:val="0"/>
        <w:spacing w:before="240" w:after="0"/>
        <w:jc w:val="left"/>
        <w:rPr>
          <w:rFonts w:ascii="Times New Roman" w:hAnsi="Times New Roman"/>
          <w:sz w:val="20"/>
        </w:rPr>
      </w:pPr>
      <w:r>
        <w:rPr>
          <w:rFonts w:ascii="Times New Roman" w:hAnsi="Times New Roman"/>
          <w:sz w:val="20"/>
        </w:rPr>
        <w:t xml:space="preserve">This Letter of Transmittal is to be completed by all beneficial owners of Old Notes wishing to participate in the Exchange Offer. </w:t>
      </w:r>
    </w:p>
    <w:p>
      <w:pPr>
        <w:pStyle w:val="TextBody"/>
        <w:bidi w:val="0"/>
        <w:spacing w:before="240" w:after="0"/>
        <w:jc w:val="left"/>
        <w:rPr>
          <w:rFonts w:ascii="Times New Roman" w:hAnsi="Times New Roman"/>
          <w:sz w:val="20"/>
        </w:rPr>
      </w:pPr>
      <w:r>
        <w:rPr>
          <w:rFonts w:ascii="Times New Roman" w:hAnsi="Times New Roman"/>
          <w:sz w:val="20"/>
        </w:rPr>
        <w:t>The Company reserves the right, at any time and from time to time, to extend the Exchange Offer, in which case the term “</w:t>
      </w:r>
      <w:r>
        <w:rPr>
          <w:rFonts w:ascii="Times New Roman" w:hAnsi="Times New Roman"/>
          <w:sz w:val="20"/>
          <w:u w:val="single"/>
        </w:rPr>
        <w:t>Expiration Date</w:t>
      </w:r>
      <w:r>
        <w:rPr>
          <w:rFonts w:ascii="Times New Roman" w:hAnsi="Times New Roman"/>
          <w:sz w:val="20"/>
        </w:rPr>
        <w:t xml:space="preserve">” means the latest date and time to which the Exchange Offer is extended by the Company. In order to extend the Exchange Offer, the Company will notify the Exchange Agent, each registered holder and each beneficial owner of Old Notes by oral (confirmed in writing) or written notice or will issue a press release or other public announcement of such extension, each prior to 9:00 a.m., New York City time, on the next business day after the previously scheduled Expiration Date. The Exchange Offer is not conditioned upon the tender of any minimum aggregate principal amount of Old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provided guaranteed delivery procedures in conjunction with this Exchange Offer or under any of the Prospectus or other materials provided herewith. </w:t>
      </w:r>
    </w:p>
    <w:p>
      <w:pPr>
        <w:pStyle w:val="TextBody"/>
        <w:bidi w:val="0"/>
        <w:spacing w:before="240" w:after="0"/>
        <w:jc w:val="center"/>
        <w:rPr>
          <w:rFonts w:ascii="Times New Roman" w:hAnsi="Times New Roman"/>
          <w:b/>
          <w:sz w:val="20"/>
        </w:rPr>
      </w:pPr>
      <w:r>
        <w:rPr>
          <w:rFonts w:ascii="Times New Roman" w:hAnsi="Times New Roman"/>
          <w:b/>
          <w:sz w:val="20"/>
        </w:rPr>
        <w:t xml:space="preserve">BENEFICIAL OWNERS OF OUTSTANDING OLD NOTES SHOULD COMPLETE THE APPROPRIATE BOXES BELOW AND SIGN THIS LETTER OF TRANSMITTAL TO INDICATE THE ACTION SUCH BENEFICIAL OWNERS ELECT TO TAKE WITH RESPECT TO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Upon the terms and subject to the conditions of the Exchange Offer, the undersigned hereby tenders to the Company the Old Notes described in Box I (Description of Tendered Notes) (the “</w:t>
      </w:r>
      <w:r>
        <w:rPr>
          <w:rFonts w:ascii="Times New Roman" w:hAnsi="Times New Roman"/>
          <w:sz w:val="20"/>
          <w:u w:val="single"/>
        </w:rPr>
        <w:t>Tendered Notes</w:t>
      </w:r>
      <w:r>
        <w:rPr>
          <w:rFonts w:ascii="Times New Roman" w:hAnsi="Times New Roman"/>
          <w:sz w:val="20"/>
        </w:rPr>
        <w:t xml:space="preserve">”). The undersigned is the beneficial owner of all the Tendered Notes. Subject to, and effective upon, the acceptance for exchange of the Tendered Notes, the undersigned hereby sells, assigns and transfers to, or upon the order of, the Company all right, title and interest in and to the Tendered Notes.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irrevocably constitutes and appoints the Exchange Agent its agent and attorney-in-fact (with full knowledge that the Exchange Agent also acts as the agent of the Company) with respect to the Tendered Notes with the full power of substitution to (i) deliver certificates for the Tendered Notes to the Company and deliver all accompanying evidences of transfer and authenticity to, or upon the order of, the Company, (ii) present the Tendered Notes for transfer on the books of the Company and (iii) receive for the account of the Company all benefits and otherwise exercise all rights of beneficial ownership of the Tendered Notes, all in accordance with the terms of the Exchange Offer. The power of attorney granted in this paragraph shall be an irrevocable power coupled with an interest.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tender, exchange, assign and transfer the Tendered Notes and that when such Tendered Notes are accepted for exchange, the Company will acquire good and unencumbered title thereto, free and clear of all security interests, liens, restrictions, charges, encumbrances, conditional sale agreements or other obligations relating to their sale and transfer and not subject to any adverse claim when the same are accepted by the Company and that the information set forth herein is correct.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not a broker-dealer, the undersigned represents that it is not an “affiliate”, as defined in Rule 405 under the Securities Act, of the Company, is not participating, does not intend to participate and has no arrangement or understanding with any person to participate, in a “distribution”, as defined in the Securities Act, of New Notes, is acquiring the New Notes in its ordinary course of business, and is not acting on behalf of any person who could not truthfully make the foregoing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a broker-dealer that will receive New Notes for its own account in exchange for Old Notes, it represents that the Old Notes to be exchanged for New Notes were acquired by it as a result of market-making or other trading activities and that it has not entered into any arrangement or understanding with the Company or any of its affiliates to distribute the New Notes and acknowledges that it will deliver a prospectus meeting the requirements of the Securities Act in connection with any resale of such New Notes; however, by so acknowledging and by delivering such a prospectus, the undersigned will not be deemed to admit that it is an “underwriter” within the meaning of the Securities Act (other than in connection with a resale of an unsold allotment from the original sale of the Old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the Exchange Offer, the Company shall be deemed to have accepted validly Tendered Notes when, as and if the Company has given written notice thereof to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will, upon request, execute and deliver any additional documents to the Company deemed by the Company or the Exchange Agent to be necessary or desirable to complete the exchange, assignment and transfer of the Tendered Notes. All authority conferred or agreed to be conferred in this Letter of Transmittal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The undersigned understands that tenders of the Tendered Notes pursuant to the procedures described in the Prospectus and the instructions herein will constitute a binding agreement between the undersigned and the Company in accordance with the terms and subject to the conditions set forth herein and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PLEASE READ THIS ENTIRE LETTER OF TRANSMITTAL CAREFULLY </w:t>
      </w:r>
    </w:p>
    <w:p>
      <w:pPr>
        <w:pStyle w:val="TextBody"/>
        <w:bidi w:val="0"/>
        <w:spacing w:before="0" w:after="0"/>
        <w:jc w:val="center"/>
        <w:rPr>
          <w:rFonts w:ascii="Times New Roman" w:hAnsi="Times New Roman"/>
          <w:b/>
          <w:sz w:val="20"/>
        </w:rPr>
      </w:pPr>
      <w:r>
        <w:rPr>
          <w:rFonts w:ascii="Times New Roman" w:hAnsi="Times New Roman"/>
          <w:b/>
          <w:sz w:val="20"/>
        </w:rPr>
        <w:t xml:space="preserve">BEFORE COMPLETING ANY BOX BELOW. </w:t>
      </w:r>
    </w:p>
    <w:p>
      <w:pPr>
        <w:pStyle w:val="TextBody"/>
        <w:bidi w:val="0"/>
        <w:spacing w:before="240" w:after="0"/>
        <w:jc w:val="left"/>
        <w:rPr>
          <w:rFonts w:ascii="Times New Roman" w:hAnsi="Times New Roman"/>
          <w:sz w:val="20"/>
        </w:rPr>
      </w:pPr>
      <w:r>
        <w:rPr>
          <w:rFonts w:ascii="Times New Roman" w:hAnsi="Times New Roman"/>
          <w:sz w:val="20"/>
        </w:rPr>
        <w:t xml:space="preserve">List below the Old Notes to which this Letter of Transmittal relates. If the space provided is inadequate, the Certificate number(s) and principal amount of the Old Note(s) should be listed on a separate signed schedule attached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89"/>
        <w:gridCol w:w="456"/>
        <w:gridCol w:w="93"/>
        <w:gridCol w:w="992"/>
        <w:gridCol w:w="60"/>
        <w:gridCol w:w="456"/>
        <w:gridCol w:w="1259"/>
        <w:gridCol w:w="1259"/>
        <w:gridCol w:w="60"/>
        <w:gridCol w:w="456"/>
        <w:gridCol w:w="1030"/>
        <w:gridCol w:w="1030"/>
        <w:gridCol w:w="65"/>
      </w:tblGrid>
      <w:tr>
        <w:trPr/>
        <w:tc>
          <w:tcPr>
            <w:tcW w:w="2989"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0205" w:type="dxa"/>
            <w:gridSpan w:val="13"/>
            <w:tcBorders>
              <w:top w:val="single" w:sz="8" w:space="0" w:color="000000"/>
            </w:tcBorders>
            <w:tcMar>
              <w:top w:w="28" w:type="dxa"/>
            </w:tcMar>
            <w:vAlign w:val="center"/>
          </w:tcPr>
          <w:p>
            <w:pPr>
              <w:pStyle w:val="TableContents"/>
              <w:bidi w:val="0"/>
              <w:spacing w:before="0" w:after="283"/>
              <w:jc w:val="left"/>
              <w:rPr/>
            </w:pPr>
            <w:r>
              <w:rPr/>
              <w:t> </w:t>
            </w:r>
          </w:p>
        </w:tc>
      </w:tr>
      <w:tr>
        <w:trPr/>
        <w:tc>
          <w:tcPr>
            <w:tcW w:w="10140" w:type="dxa"/>
            <w:gridSpan w:val="12"/>
            <w:tcBorders>
              <w:bottom w:val="single" w:sz="8" w:space="0" w:color="000000"/>
            </w:tcBorders>
            <w:tcMar>
              <w:bottom w:w="40" w:type="dxa"/>
            </w:tcMar>
            <w:vAlign w:val="bottom"/>
          </w:tcPr>
          <w:p>
            <w:pPr>
              <w:pStyle w:val="TableContents"/>
              <w:bidi w:val="0"/>
              <w:spacing w:before="0" w:after="283"/>
              <w:jc w:val="center"/>
              <w:rPr>
                <w:b/>
              </w:rPr>
            </w:pPr>
            <w:r>
              <w:rPr>
                <w:b/>
              </w:rPr>
              <w:t>BOX I</w:t>
              <w:br/>
              <w:t>DESCRIPTION OF TENDERED NOTES</w:t>
            </w:r>
          </w:p>
        </w:tc>
        <w:tc>
          <w:tcPr>
            <w:tcW w:w="65" w:type="dxa"/>
            <w:tcBorders>
              <w:bottom w:val="single" w:sz="8" w:space="0" w:color="000000"/>
            </w:tcBorders>
            <w:tcMar>
              <w:bottom w:w="28" w:type="dxa"/>
            </w:tcMar>
            <w:vAlign w:val="bottom"/>
          </w:tcPr>
          <w:p>
            <w:pPr>
              <w:pStyle w:val="TableContents"/>
              <w:bidi w:val="0"/>
              <w:spacing w:before="0" w:after="283"/>
              <w:jc w:val="left"/>
              <w:rPr/>
            </w:pPr>
            <w:r>
              <w:rPr/>
              <w:t> </w:t>
            </w:r>
          </w:p>
        </w:tc>
      </w:tr>
      <w:tr>
        <w:trPr/>
        <w:tc>
          <w:tcPr>
            <w:tcW w:w="2989" w:type="dxa"/>
            <w:tcBorders/>
            <w:vAlign w:val="bottom"/>
          </w:tcPr>
          <w:p>
            <w:pPr>
              <w:pStyle w:val="TableContents"/>
              <w:bidi w:val="0"/>
              <w:spacing w:before="0" w:after="283"/>
              <w:jc w:val="left"/>
              <w:rPr>
                <w:b/>
              </w:rPr>
            </w:pPr>
            <w:r>
              <w:rPr>
                <w:b/>
              </w:rPr>
              <w:t>Name(s) and Address(es) of Registered Holder(s)</w:t>
            </w:r>
          </w:p>
        </w:tc>
        <w:tc>
          <w:tcPr>
            <w:tcW w:w="456"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b/>
              </w:rPr>
            </w:pPr>
            <w:r>
              <w:rPr>
                <w:b/>
              </w:rPr>
              <w:t>Certificate</w:t>
              <w:br/>
              <w:t>Number(s)*</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518" w:type="dxa"/>
            <w:gridSpan w:val="2"/>
            <w:tcBorders/>
            <w:vAlign w:val="bottom"/>
          </w:tcPr>
          <w:p>
            <w:pPr>
              <w:pStyle w:val="TableContents"/>
              <w:bidi w:val="0"/>
              <w:spacing w:before="0" w:after="283"/>
              <w:jc w:val="center"/>
              <w:rPr>
                <w:b/>
              </w:rPr>
            </w:pPr>
            <w:r>
              <w:rPr>
                <w:b/>
              </w:rPr>
              <w:t>Aggregate Principal</w:t>
              <w:br/>
              <w:t>Amount Represented by</w:t>
              <w:br/>
              <w:t>Certificate(s)*</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060" w:type="dxa"/>
            <w:gridSpan w:val="2"/>
            <w:tcBorders/>
            <w:vAlign w:val="bottom"/>
          </w:tcPr>
          <w:p>
            <w:pPr>
              <w:pStyle w:val="TableContents"/>
              <w:bidi w:val="0"/>
              <w:spacing w:before="0" w:after="283"/>
              <w:jc w:val="center"/>
              <w:rPr>
                <w:b/>
              </w:rPr>
            </w:pPr>
            <w:r>
              <w:rPr>
                <w:b/>
              </w:rPr>
              <w:t>Aggregate Principal</w:t>
              <w:br/>
              <w:t>Amount Tendered**</w:t>
            </w:r>
          </w:p>
        </w:tc>
        <w:tc>
          <w:tcPr>
            <w:tcW w:w="65" w:type="dxa"/>
            <w:tcBorders/>
            <w:vAlign w:val="bottom"/>
          </w:tcPr>
          <w:p>
            <w:pPr>
              <w:pStyle w:val="TableContents"/>
              <w:bidi w:val="0"/>
              <w:spacing w:before="0" w:after="283"/>
              <w:jc w:val="left"/>
              <w:rPr/>
            </w:pPr>
            <w:r>
              <w:rPr/>
              <w:t> </w:t>
            </w:r>
          </w:p>
        </w:tc>
      </w:tr>
      <w:tr>
        <w:trPr/>
        <w:tc>
          <w:tcPr>
            <w:tcW w:w="2989" w:type="dxa"/>
            <w:tcBorders/>
          </w:tcPr>
          <w:p>
            <w:pPr>
              <w:pStyle w:val="TableContents"/>
              <w:bidi w:val="0"/>
              <w:spacing w:before="0" w:after="283"/>
              <w:jc w:val="left"/>
              <w:rPr>
                <w:sz w:val="4"/>
                <w:szCs w:val="4"/>
              </w:rPr>
            </w:pPr>
            <w:r>
              <w:rPr>
                <w:sz w:val="4"/>
                <w:szCs w:val="4"/>
              </w:rPr>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93" w:type="dxa"/>
            <w:tcBorders>
              <w:bottom w:val="single" w:sz="2" w:space="0" w:color="000000"/>
            </w:tcBorders>
            <w:tcMar>
              <w:bottom w:w="28" w:type="dxa"/>
            </w:tcMar>
            <w:vAlign w:val="bottom"/>
          </w:tcPr>
          <w:p>
            <w:pPr>
              <w:pStyle w:val="TableContents"/>
              <w:bidi w:val="0"/>
              <w:spacing w:before="0" w:after="283"/>
              <w:jc w:val="left"/>
              <w:rPr/>
            </w:pPr>
            <w:r>
              <w:rPr/>
              <w:t> </w:t>
            </w:r>
          </w:p>
        </w:tc>
        <w:tc>
          <w:tcPr>
            <w:tcW w:w="992"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2" w:space="0" w:color="000000"/>
            </w:tcBorders>
            <w:tcMar>
              <w:bottom w:w="28" w:type="dxa"/>
            </w:tcMar>
            <w:vAlign w:val="bottom"/>
          </w:tcPr>
          <w:p>
            <w:pPr>
              <w:pStyle w:val="TableContents"/>
              <w:bidi w:val="0"/>
              <w:spacing w:before="0" w:after="283"/>
              <w:jc w:val="left"/>
              <w:rPr/>
            </w:pPr>
            <w:r>
              <w:rPr/>
              <w:t> </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989" w:type="dxa"/>
            <w:tcBorders/>
          </w:tcPr>
          <w:p>
            <w:pPr>
              <w:pStyle w:val="TableContents"/>
              <w:bidi w:val="0"/>
              <w:spacing w:before="0" w:after="283"/>
              <w:jc w:val="left"/>
              <w:rPr>
                <w:sz w:val="4"/>
                <w:szCs w:val="4"/>
              </w:rPr>
            </w:pPr>
            <w:r>
              <w:rPr>
                <w:sz w:val="4"/>
                <w:szCs w:val="4"/>
              </w:rPr>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93" w:type="dxa"/>
            <w:tcBorders>
              <w:bottom w:val="single" w:sz="2" w:space="0" w:color="000000"/>
            </w:tcBorders>
            <w:tcMar>
              <w:bottom w:w="28" w:type="dxa"/>
            </w:tcMar>
            <w:vAlign w:val="bottom"/>
          </w:tcPr>
          <w:p>
            <w:pPr>
              <w:pStyle w:val="TableContents"/>
              <w:bidi w:val="0"/>
              <w:spacing w:before="0" w:after="283"/>
              <w:jc w:val="left"/>
              <w:rPr/>
            </w:pPr>
            <w:r>
              <w:rPr/>
              <w:t> </w:t>
            </w:r>
          </w:p>
        </w:tc>
        <w:tc>
          <w:tcPr>
            <w:tcW w:w="992"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2" w:space="0" w:color="000000"/>
            </w:tcBorders>
            <w:tcMar>
              <w:bottom w:w="28" w:type="dxa"/>
            </w:tcMar>
            <w:vAlign w:val="bottom"/>
          </w:tcPr>
          <w:p>
            <w:pPr>
              <w:pStyle w:val="TableContents"/>
              <w:bidi w:val="0"/>
              <w:spacing w:before="0" w:after="283"/>
              <w:jc w:val="left"/>
              <w:rPr/>
            </w:pPr>
            <w:r>
              <w:rPr/>
              <w:t> </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989" w:type="dxa"/>
            <w:tcBorders/>
          </w:tcPr>
          <w:p>
            <w:pPr>
              <w:pStyle w:val="TableContents"/>
              <w:bidi w:val="0"/>
              <w:spacing w:before="0" w:after="283"/>
              <w:jc w:val="left"/>
              <w:rPr>
                <w:sz w:val="4"/>
                <w:szCs w:val="4"/>
              </w:rPr>
            </w:pPr>
            <w:r>
              <w:rPr>
                <w:sz w:val="4"/>
                <w:szCs w:val="4"/>
              </w:rPr>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93" w:type="dxa"/>
            <w:tcBorders>
              <w:bottom w:val="single" w:sz="2" w:space="0" w:color="000000"/>
            </w:tcBorders>
            <w:tcMar>
              <w:bottom w:w="28" w:type="dxa"/>
            </w:tcMar>
            <w:vAlign w:val="bottom"/>
          </w:tcPr>
          <w:p>
            <w:pPr>
              <w:pStyle w:val="TableContents"/>
              <w:bidi w:val="0"/>
              <w:spacing w:before="0" w:after="283"/>
              <w:jc w:val="left"/>
              <w:rPr/>
            </w:pPr>
            <w:r>
              <w:rPr/>
              <w:t> </w:t>
            </w:r>
          </w:p>
        </w:tc>
        <w:tc>
          <w:tcPr>
            <w:tcW w:w="992"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2" w:space="0" w:color="000000"/>
            </w:tcBorders>
            <w:tcMar>
              <w:bottom w:w="28" w:type="dxa"/>
            </w:tcMar>
            <w:vAlign w:val="bottom"/>
          </w:tcPr>
          <w:p>
            <w:pPr>
              <w:pStyle w:val="TableContents"/>
              <w:bidi w:val="0"/>
              <w:spacing w:before="0" w:after="283"/>
              <w:jc w:val="left"/>
              <w:rPr/>
            </w:pPr>
            <w:r>
              <w:rPr/>
              <w:t> </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989" w:type="dxa"/>
            <w:tcBorders/>
          </w:tcPr>
          <w:p>
            <w:pPr>
              <w:pStyle w:val="TableContents"/>
              <w:bidi w:val="0"/>
              <w:spacing w:before="0" w:after="283"/>
              <w:jc w:val="left"/>
              <w:rPr>
                <w:sz w:val="4"/>
                <w:szCs w:val="4"/>
              </w:rPr>
            </w:pPr>
            <w:r>
              <w:rPr>
                <w:sz w:val="4"/>
                <w:szCs w:val="4"/>
              </w:rPr>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93" w:type="dxa"/>
            <w:tcBorders>
              <w:bottom w:val="single" w:sz="2" w:space="0" w:color="000000"/>
            </w:tcBorders>
            <w:tcMar>
              <w:bottom w:w="28" w:type="dxa"/>
            </w:tcMar>
            <w:vAlign w:val="bottom"/>
          </w:tcPr>
          <w:p>
            <w:pPr>
              <w:pStyle w:val="TableContents"/>
              <w:bidi w:val="0"/>
              <w:spacing w:before="0" w:after="283"/>
              <w:jc w:val="left"/>
              <w:rPr/>
            </w:pPr>
            <w:r>
              <w:rPr/>
              <w:t> </w:t>
            </w:r>
          </w:p>
        </w:tc>
        <w:tc>
          <w:tcPr>
            <w:tcW w:w="992"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2" w:space="0" w:color="000000"/>
            </w:tcBorders>
            <w:tcMar>
              <w:bottom w:w="28" w:type="dxa"/>
            </w:tcMar>
            <w:vAlign w:val="bottom"/>
          </w:tcPr>
          <w:p>
            <w:pPr>
              <w:pStyle w:val="TableContents"/>
              <w:bidi w:val="0"/>
              <w:spacing w:before="0" w:after="283"/>
              <w:jc w:val="left"/>
              <w:rPr/>
            </w:pPr>
            <w:r>
              <w:rPr/>
              <w:t> </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989" w:type="dxa"/>
            <w:tcBorders/>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b/>
              </w:rPr>
            </w:pPr>
            <w:r>
              <w:rPr>
                <w:b/>
              </w:rPr>
              <w:t>Total:</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Need not be completed by book-entry holders.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Tenders of the Old Note(s) must be in a minimum principal amount of US$100,000 or an integral multiple of US$1,000 in excess thereof. Unless otherwise indicated in this column, a beneficial owner will be deemed to have tendered the full aggregate principal amount represented by such Old Notes. See Instruction 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9"/>
        <w:gridCol w:w="60"/>
        <w:gridCol w:w="4079"/>
        <w:gridCol w:w="193"/>
        <w:gridCol w:w="60"/>
        <w:gridCol w:w="166"/>
        <w:gridCol w:w="60"/>
        <w:gridCol w:w="1915"/>
        <w:gridCol w:w="60"/>
        <w:gridCol w:w="73"/>
        <w:gridCol w:w="60"/>
        <w:gridCol w:w="890"/>
        <w:gridCol w:w="60"/>
        <w:gridCol w:w="166"/>
        <w:gridCol w:w="60"/>
        <w:gridCol w:w="1707"/>
        <w:gridCol w:w="67"/>
      </w:tblGrid>
      <w:tr>
        <w:trPr/>
        <w:tc>
          <w:tcPr>
            <w:tcW w:w="52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0138" w:type="dxa"/>
            <w:gridSpan w:val="16"/>
            <w:tcBorders>
              <w:top w:val="single" w:sz="8" w:space="0" w:color="000000"/>
              <w:bottom w:val="single" w:sz="8" w:space="0" w:color="000000"/>
            </w:tcBorders>
            <w:tcMar>
              <w:top w:w="28" w:type="dxa"/>
              <w:bottom w:w="28" w:type="dxa"/>
            </w:tcMar>
          </w:tcPr>
          <w:p>
            <w:pPr>
              <w:pStyle w:val="TableContents"/>
              <w:bidi w:val="0"/>
              <w:spacing w:before="0" w:after="0"/>
              <w:jc w:val="center"/>
              <w:rPr>
                <w:rFonts w:ascii="Times New Roman" w:hAnsi="Times New Roman"/>
                <w:b/>
                <w:sz w:val="20"/>
              </w:rPr>
            </w:pPr>
            <w:r>
              <w:rPr>
                <w:rFonts w:ascii="Times New Roman" w:hAnsi="Times New Roman"/>
                <w:b/>
                <w:sz w:val="20"/>
              </w:rPr>
              <w:t>BOX II</w:t>
            </w:r>
          </w:p>
          <w:p>
            <w:pPr>
              <w:pStyle w:val="TableContents"/>
              <w:bidi w:val="0"/>
              <w:spacing w:before="0" w:after="20"/>
              <w:jc w:val="center"/>
              <w:rPr>
                <w:rFonts w:ascii="Times New Roman" w:hAnsi="Times New Roman"/>
                <w:b/>
                <w:sz w:val="20"/>
              </w:rPr>
            </w:pPr>
            <w:r>
              <w:rPr>
                <w:rFonts w:ascii="Times New Roman" w:hAnsi="Times New Roman"/>
                <w:b/>
                <w:sz w:val="20"/>
              </w:rPr>
              <w:t>SIGNATURE</w:t>
              <w:br/>
              <w:t>(See Instructions 1 and 3)</w:t>
            </w:r>
          </w:p>
        </w:tc>
        <w:tc>
          <w:tcPr>
            <w:tcW w:w="67" w:type="dxa"/>
            <w:tcBorders>
              <w:top w:val="single" w:sz="8" w:space="0" w:color="000000"/>
              <w:bottom w:val="single" w:sz="8" w:space="0" w:color="000000"/>
            </w:tcBorders>
            <w:tcMar>
              <w:top w:w="28" w:type="dxa"/>
              <w:bottom w:w="28" w:type="dxa"/>
            </w:tcMar>
          </w:tcPr>
          <w:p>
            <w:pPr>
              <w:pStyle w:val="TableContents"/>
              <w:bidi w:val="0"/>
              <w:spacing w:before="0" w:after="0"/>
              <w:jc w:val="left"/>
              <w:rPr/>
            </w:pPr>
            <w:r>
              <w:rPr/>
              <w:t> </w:t>
            </w:r>
          </w:p>
          <w:p>
            <w:pPr>
              <w:pStyle w:val="TableContents"/>
              <w:bidi w:val="0"/>
              <w:spacing w:before="0" w:after="0"/>
              <w:jc w:val="left"/>
              <w:rPr/>
            </w:pPr>
            <w:r>
              <w:rPr/>
              <w:t> </w:t>
            </w:r>
          </w:p>
        </w:tc>
      </w:tr>
      <w:tr>
        <w:trPr>
          <w:trHeight w:val="240" w:hRule="atLeast"/>
        </w:trPr>
        <w:tc>
          <w:tcPr>
            <w:tcW w:w="529" w:type="dxa"/>
            <w:tcBorders/>
            <w:vAlign w:val="center"/>
          </w:tcPr>
          <w:p>
            <w:pPr>
              <w:pStyle w:val="TableContents"/>
              <w:bidi w:val="0"/>
              <w:spacing w:before="0" w:after="283"/>
              <w:jc w:val="left"/>
              <w:rPr>
                <w:sz w:val="4"/>
                <w:szCs w:val="4"/>
              </w:rPr>
            </w:pPr>
            <w:r>
              <w:rPr>
                <w:sz w:val="4"/>
                <w:szCs w:val="4"/>
              </w:rPr>
            </w:r>
          </w:p>
        </w:tc>
        <w:tc>
          <w:tcPr>
            <w:tcW w:w="4139" w:type="dxa"/>
            <w:gridSpan w:val="2"/>
            <w:tcBorders/>
            <w:vAlign w:val="center"/>
          </w:tcPr>
          <w:p>
            <w:pPr>
              <w:pStyle w:val="TableContents"/>
              <w:bidi w:val="0"/>
              <w:spacing w:before="0" w:after="283"/>
              <w:jc w:val="left"/>
              <w:rPr>
                <w:sz w:val="4"/>
                <w:szCs w:val="4"/>
              </w:rPr>
            </w:pPr>
            <w:r>
              <w:rPr>
                <w:sz w:val="4"/>
                <w:szCs w:val="4"/>
              </w:rPr>
            </w:r>
          </w:p>
        </w:tc>
        <w:tc>
          <w:tcPr>
            <w:tcW w:w="253" w:type="dxa"/>
            <w:gridSpan w:val="2"/>
            <w:tcBorders/>
            <w:vAlign w:val="center"/>
          </w:tcPr>
          <w:p>
            <w:pPr>
              <w:pStyle w:val="TableContents"/>
              <w:bidi w:val="0"/>
              <w:spacing w:before="0" w:after="283"/>
              <w:jc w:val="left"/>
              <w:rPr>
                <w:sz w:val="4"/>
                <w:szCs w:val="4"/>
              </w:rPr>
            </w:pPr>
            <w:r>
              <w:rPr>
                <w:sz w:val="4"/>
                <w:szCs w:val="4"/>
              </w:rPr>
            </w:r>
          </w:p>
        </w:tc>
        <w:tc>
          <w:tcPr>
            <w:tcW w:w="2201" w:type="dxa"/>
            <w:gridSpan w:val="4"/>
            <w:tcBorders/>
            <w:vAlign w:val="center"/>
          </w:tcPr>
          <w:p>
            <w:pPr>
              <w:pStyle w:val="TableContents"/>
              <w:bidi w:val="0"/>
              <w:spacing w:before="0" w:after="283"/>
              <w:jc w:val="left"/>
              <w:rPr>
                <w:sz w:val="4"/>
                <w:szCs w:val="4"/>
              </w:rPr>
            </w:pPr>
            <w:r>
              <w:rPr>
                <w:sz w:val="4"/>
                <w:szCs w:val="4"/>
              </w:rPr>
            </w:r>
          </w:p>
        </w:tc>
        <w:tc>
          <w:tcPr>
            <w:tcW w:w="1083" w:type="dxa"/>
            <w:gridSpan w:val="4"/>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0"/>
              <w:jc w:val="left"/>
              <w:rPr/>
            </w:pPr>
            <w:r>
              <w:rPr/>
              <w:t> </w:t>
            </w: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4079"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6"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202[ ]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529" w:type="dxa"/>
            <w:tcBorders/>
          </w:tcPr>
          <w:p>
            <w:pPr>
              <w:pStyle w:val="TableContents"/>
              <w:bidi w:val="0"/>
              <w:spacing w:before="0" w:after="0"/>
              <w:jc w:val="left"/>
              <w:rPr/>
            </w:pPr>
            <w:r>
              <w:rPr/>
              <w:t> </w:t>
            </w: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4079"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6"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202[ ]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0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0"/>
              <w:jc w:val="left"/>
              <w:rPr/>
            </w:pPr>
            <w:r>
              <w:rPr/>
              <w:t> </w:t>
            </w: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4079"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6"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202[ ]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0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079" w:type="dxa"/>
            <w:tcBorders>
              <w:bottom w:val="single" w:sz="2" w:space="0" w:color="000000"/>
            </w:tcBorders>
            <w:tcMar>
              <w:bottom w:w="120" w:type="dxa"/>
            </w:tcMar>
          </w:tcPr>
          <w:p>
            <w:pPr>
              <w:pStyle w:val="TableContents"/>
              <w:bidi w:val="0"/>
              <w:spacing w:before="0" w:after="0"/>
              <w:jc w:val="center"/>
              <w:rPr>
                <w:rFonts w:ascii="Times New Roman" w:hAnsi="Times New Roman"/>
                <w:sz w:val="20"/>
              </w:rPr>
            </w:pPr>
            <w:r>
              <w:rPr>
                <w:rFonts w:ascii="Times New Roman" w:hAnsi="Times New Roman"/>
                <w:b/>
                <w:sz w:val="20"/>
              </w:rPr>
              <w:t>Signatures by Tendering Beneficial Owners</w:t>
            </w:r>
            <w:r>
              <w:rPr>
                <w:rFonts w:ascii="Times New Roman" w:hAnsi="Times New Roman"/>
                <w:sz w:val="20"/>
              </w:rPr>
              <w:t>   </w:t>
            </w:r>
          </w:p>
        </w:tc>
        <w:tc>
          <w:tcPr>
            <w:tcW w:w="19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6"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120" w:type="dxa"/>
            </w:tcMar>
            <w:vAlign w:val="bottom"/>
          </w:tcPr>
          <w:p>
            <w:pPr>
              <w:pStyle w:val="TableContents"/>
              <w:bidi w:val="0"/>
              <w:spacing w:before="0" w:after="283"/>
              <w:jc w:val="left"/>
              <w:rPr/>
            </w:pPr>
            <w:r>
              <w:rPr/>
              <w:t> </w:t>
            </w:r>
          </w:p>
        </w:tc>
        <w:tc>
          <w:tcPr>
            <w:tcW w:w="1915" w:type="dxa"/>
            <w:tcBorders>
              <w:bottom w:val="single" w:sz="2" w:space="0" w:color="000000"/>
            </w:tcBorders>
            <w:tcMar>
              <w:bottom w:w="120" w:type="dxa"/>
            </w:tcMar>
            <w:vAlign w:val="bottom"/>
          </w:tcPr>
          <w:p>
            <w:pPr>
              <w:pStyle w:val="TableContents"/>
              <w:bidi w:val="0"/>
              <w:spacing w:before="0" w:after="283"/>
              <w:jc w:val="left"/>
              <w:rPr/>
            </w:pPr>
            <w:r>
              <w:rPr/>
              <w:t>   </w:t>
            </w:r>
            <w:r>
              <w:rPr/>
              <w:t>Date   </w:t>
            </w:r>
          </w:p>
        </w:tc>
        <w:tc>
          <w:tcPr>
            <w:tcW w:w="60" w:type="dxa"/>
            <w:tcBorders>
              <w:bottom w:val="single" w:sz="2" w:space="0" w:color="000000"/>
            </w:tcBorders>
            <w:tcMar>
              <w:bottom w:w="120" w:type="dxa"/>
            </w:tcMar>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0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79" w:type="dxa"/>
            <w:tcBorders/>
          </w:tcPr>
          <w:p>
            <w:pPr>
              <w:pStyle w:val="TableContents"/>
              <w:bidi w:val="0"/>
              <w:spacing w:before="0" w:after="0"/>
              <w:jc w:val="center"/>
              <w:rPr>
                <w:rFonts w:ascii="Times New Roman" w:hAnsi="Times New Roman"/>
                <w:b/>
                <w:sz w:val="20"/>
              </w:rPr>
            </w:pPr>
            <w:r>
              <w:rPr>
                <w:rFonts w:ascii="Times New Roman" w:hAnsi="Times New Roman"/>
                <w:b/>
                <w:sz w:val="20"/>
              </w:rPr>
              <w:t>Telephone Number(s)</w:t>
            </w:r>
          </w:p>
        </w:tc>
        <w:tc>
          <w:tcPr>
            <w:tcW w:w="19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0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For any Tendered Notes, this Letter of Transmittal must be signed by the beneficial owner(s) as the name(s) appear(s) on the certificate(s) / book-entry(ies) for the Tendered Notes or by any person(s) authorized to become beneficial owner(s) by endorsements and documents submitted herewith. If signature is by a trustee, executor, administrator, guardian, attorney-in-fact, officer of a corporation or other person acting in a fiduciary or representative capacity, please set forth full title and the other information indicated below and, unless waived by the Company, submit herewith evidence satisfactory to the Company of authority to so act. See Instruction 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42"/>
        <w:gridCol w:w="105"/>
        <w:gridCol w:w="8158"/>
      </w:tblGrid>
      <w:tr>
        <w:trPr/>
        <w:tc>
          <w:tcPr>
            <w:tcW w:w="194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942"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Name(s)</w:t>
            </w:r>
          </w:p>
        </w:tc>
        <w:tc>
          <w:tcPr>
            <w:tcW w:w="105" w:type="dxa"/>
            <w:tcBorders/>
            <w:vAlign w:val="bottom"/>
          </w:tcPr>
          <w:p>
            <w:pPr>
              <w:pStyle w:val="TableContents"/>
              <w:bidi w:val="0"/>
              <w:spacing w:before="0" w:after="283"/>
              <w:jc w:val="left"/>
              <w:rPr/>
            </w:pPr>
            <w:r>
              <w:rPr/>
              <w:t> </w:t>
            </w:r>
          </w:p>
        </w:tc>
        <w:tc>
          <w:tcPr>
            <w:tcW w:w="8158" w:type="dxa"/>
            <w:tcBorders/>
            <w:vAlign w:val="bottom"/>
          </w:tcPr>
          <w:p>
            <w:pPr>
              <w:pStyle w:val="TableContents"/>
              <w:pBdr>
                <w:bottom w:val="single" w:sz="2" w:space="1" w:color="000000"/>
              </w:pBdr>
              <w:bidi w:val="0"/>
              <w:spacing w:before="0" w:after="20"/>
              <w:jc w:val="right"/>
              <w:rPr/>
            </w:pPr>
            <w:r>
              <w:rPr/>
              <w:t> </w:t>
            </w:r>
          </w:p>
        </w:tc>
      </w:tr>
      <w:tr>
        <w:trPr/>
        <w:tc>
          <w:tcPr>
            <w:tcW w:w="194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center"/>
              <w:rPr>
                <w:b/>
              </w:rPr>
            </w:pPr>
            <w:r>
              <w:rPr>
                <w:b/>
              </w:rPr>
              <w:t>(Please Type or Print)</w:t>
            </w:r>
          </w:p>
        </w:tc>
      </w:tr>
      <w:tr>
        <w:trPr>
          <w:trHeight w:val="240" w:hRule="atLeast"/>
        </w:trPr>
        <w:tc>
          <w:tcPr>
            <w:tcW w:w="1942"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Capacity(ies)</w:t>
            </w:r>
          </w:p>
        </w:tc>
        <w:tc>
          <w:tcPr>
            <w:tcW w:w="105" w:type="dxa"/>
            <w:tcBorders/>
            <w:vAlign w:val="bottom"/>
          </w:tcPr>
          <w:p>
            <w:pPr>
              <w:pStyle w:val="TableContents"/>
              <w:bidi w:val="0"/>
              <w:spacing w:before="0" w:after="283"/>
              <w:jc w:val="left"/>
              <w:rPr/>
            </w:pPr>
            <w:r>
              <w:rPr/>
              <w:t> </w:t>
            </w:r>
          </w:p>
        </w:tc>
        <w:tc>
          <w:tcPr>
            <w:tcW w:w="8158" w:type="dxa"/>
            <w:tcBorders/>
            <w:vAlign w:val="bottom"/>
          </w:tcPr>
          <w:p>
            <w:pPr>
              <w:pStyle w:val="TableContents"/>
              <w:pBdr>
                <w:bottom w:val="single" w:sz="2" w:space="1" w:color="000000"/>
              </w:pBdr>
              <w:bidi w:val="0"/>
              <w:spacing w:before="0" w:after="20"/>
              <w:jc w:val="right"/>
              <w:rPr/>
            </w:pPr>
            <w:r>
              <w:rPr/>
              <w:t> </w:t>
            </w:r>
          </w:p>
        </w:tc>
      </w:tr>
      <w:tr>
        <w:trPr>
          <w:trHeight w:val="240" w:hRule="atLeast"/>
        </w:trPr>
        <w:tc>
          <w:tcPr>
            <w:tcW w:w="1942"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Address(es)</w:t>
            </w:r>
          </w:p>
        </w:tc>
        <w:tc>
          <w:tcPr>
            <w:tcW w:w="105" w:type="dxa"/>
            <w:tcBorders/>
            <w:vAlign w:val="bottom"/>
          </w:tcPr>
          <w:p>
            <w:pPr>
              <w:pStyle w:val="TableContents"/>
              <w:bidi w:val="0"/>
              <w:spacing w:before="0" w:after="283"/>
              <w:jc w:val="left"/>
              <w:rPr/>
            </w:pPr>
            <w:r>
              <w:rPr/>
              <w:t> </w:t>
            </w:r>
          </w:p>
        </w:tc>
        <w:tc>
          <w:tcPr>
            <w:tcW w:w="8158" w:type="dxa"/>
            <w:tcBorders/>
            <w:vAlign w:val="bottom"/>
          </w:tcPr>
          <w:p>
            <w:pPr>
              <w:pStyle w:val="TableContents"/>
              <w:pBdr>
                <w:bottom w:val="single" w:sz="2" w:space="1" w:color="000000"/>
              </w:pBdr>
              <w:bidi w:val="0"/>
              <w:spacing w:before="0" w:after="20"/>
              <w:jc w:val="right"/>
              <w:rPr/>
            </w:pPr>
            <w:r>
              <w:rPr/>
              <w:t> </w:t>
            </w:r>
          </w:p>
        </w:tc>
      </w:tr>
      <w:tr>
        <w:trPr>
          <w:trHeight w:val="240" w:hRule="atLeast"/>
        </w:trPr>
        <w:tc>
          <w:tcPr>
            <w:tcW w:w="1942"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r>
      <w:tr>
        <w:trPr/>
        <w:tc>
          <w:tcPr>
            <w:tcW w:w="194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158" w:type="dxa"/>
            <w:tcBorders/>
            <w:vAlign w:val="bottom"/>
          </w:tcPr>
          <w:p>
            <w:pPr>
              <w:pStyle w:val="TableContents"/>
              <w:pBdr>
                <w:bottom w:val="single" w:sz="2" w:space="1" w:color="000000"/>
              </w:pBdr>
              <w:bidi w:val="0"/>
              <w:spacing w:before="0" w:after="20"/>
              <w:jc w:val="right"/>
              <w:rPr/>
            </w:pPr>
            <w:r>
              <w:rPr/>
              <w:t> </w:t>
            </w:r>
          </w:p>
        </w:tc>
      </w:tr>
      <w:tr>
        <w:trPr/>
        <w:tc>
          <w:tcPr>
            <w:tcW w:w="194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center"/>
              <w:rPr>
                <w:b/>
              </w:rPr>
            </w:pPr>
            <w:r>
              <w:rPr>
                <w:b/>
              </w:rPr>
              <w:t>(Including Zip Code)</w:t>
            </w:r>
          </w:p>
        </w:tc>
      </w:tr>
      <w:tr>
        <w:trPr>
          <w:trHeight w:val="240" w:hRule="atLeast"/>
        </w:trPr>
        <w:tc>
          <w:tcPr>
            <w:tcW w:w="1942"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r>
      <w:tr>
        <w:trPr/>
        <w:tc>
          <w:tcPr>
            <w:tcW w:w="1942" w:type="dxa"/>
            <w:tcBorders/>
          </w:tcPr>
          <w:p>
            <w:pPr>
              <w:pStyle w:val="TableContents"/>
              <w:bidi w:val="0"/>
              <w:spacing w:before="0" w:after="283"/>
              <w:jc w:val="left"/>
              <w:rPr/>
            </w:pPr>
            <w:r>
              <w:rPr/>
              <w:t>Telephone Number(s)</w:t>
            </w:r>
          </w:p>
        </w:tc>
        <w:tc>
          <w:tcPr>
            <w:tcW w:w="105" w:type="dxa"/>
            <w:tcBorders/>
            <w:vAlign w:val="bottom"/>
          </w:tcPr>
          <w:p>
            <w:pPr>
              <w:pStyle w:val="TableContents"/>
              <w:bidi w:val="0"/>
              <w:spacing w:before="0" w:after="283"/>
              <w:jc w:val="left"/>
              <w:rPr/>
            </w:pPr>
            <w:r>
              <w:rPr/>
              <w:t> </w:t>
            </w:r>
          </w:p>
        </w:tc>
        <w:tc>
          <w:tcPr>
            <w:tcW w:w="8158" w:type="dxa"/>
            <w:tcBorders/>
            <w:vAlign w:val="bottom"/>
          </w:tcPr>
          <w:p>
            <w:pPr>
              <w:pStyle w:val="TableContents"/>
              <w:pBdr>
                <w:bottom w:val="single" w:sz="2" w:space="1" w:color="000000"/>
              </w:pBdr>
              <w:bidi w:val="0"/>
              <w:spacing w:before="0" w:after="2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USCB FINANCIAL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INSTRUCTIONS TO LETTER OF TRANSMITTAL </w:t>
      </w:r>
    </w:p>
    <w:p>
      <w:pPr>
        <w:pStyle w:val="TextBody"/>
        <w:bidi w:val="0"/>
        <w:spacing w:before="0" w:after="0"/>
        <w:jc w:val="center"/>
        <w:rPr>
          <w:rFonts w:ascii="Times New Roman" w:hAnsi="Times New Roman"/>
          <w:b/>
          <w:sz w:val="20"/>
        </w:rPr>
      </w:pPr>
      <w:r>
        <w:rPr>
          <w:rFonts w:ascii="Times New Roman" w:hAnsi="Times New Roman"/>
          <w:b/>
          <w:sz w:val="20"/>
        </w:rPr>
        <w:t xml:space="preserve">FORMING PART OF THE TERMS AND CONDITIONS </w:t>
      </w:r>
    </w:p>
    <w:p>
      <w:pPr>
        <w:pStyle w:val="TextBody"/>
        <w:bidi w:val="0"/>
        <w:spacing w:before="0" w:after="0"/>
        <w:jc w:val="center"/>
        <w:rPr>
          <w:rFonts w:ascii="Times New Roman" w:hAnsi="Times New Roman"/>
          <w:b/>
          <w:sz w:val="20"/>
        </w:rPr>
      </w:pPr>
      <w:r>
        <w:rPr>
          <w:rFonts w:ascii="Times New Roman" w:hAnsi="Times New Roman"/>
          <w:b/>
          <w:sz w:val="20"/>
        </w:rPr>
        <w:t xml:space="preserve">OF THE EXCHANGE OFFER </w:t>
      </w:r>
    </w:p>
    <w:p>
      <w:pPr>
        <w:pStyle w:val="TextBody"/>
        <w:bidi w:val="0"/>
        <w:spacing w:before="240" w:after="0"/>
        <w:jc w:val="left"/>
        <w:rPr>
          <w:rFonts w:ascii="Times New Roman" w:hAnsi="Times New Roman"/>
          <w:sz w:val="20"/>
        </w:rPr>
      </w:pPr>
      <w:r>
        <w:rPr>
          <w:rFonts w:ascii="Times New Roman" w:hAnsi="Times New Roman"/>
          <w:i/>
          <w:sz w:val="20"/>
        </w:rPr>
        <w:t xml:space="preserve">Instruction 1: Delivery of this Letter of Transmittal and Tendered Notes. </w:t>
      </w:r>
      <w:r>
        <w:rPr>
          <w:rFonts w:ascii="Times New Roman" w:hAnsi="Times New Roman"/>
          <w:sz w:val="20"/>
        </w:rPr>
        <w:t xml:space="preserve">A beneficial owner of Old Notes may tender the same by (i) properly completing and signing this Letter of Transmittal and delivering the same, together with the certificate or certificates, if applicable, representing the Old Notes being tendered and any required signature guarantees and any other documents required by this Letter of Transmittal, to the Exchange Agent at its address set forth above on or prior to the Expiration Date, or (ii) complying with the procedure for book-entry transfer described below. </w:t>
      </w:r>
    </w:p>
    <w:p>
      <w:pPr>
        <w:pStyle w:val="TextBody"/>
        <w:bidi w:val="0"/>
        <w:spacing w:before="240" w:after="0"/>
        <w:jc w:val="left"/>
        <w:rPr>
          <w:rFonts w:ascii="Times New Roman" w:hAnsi="Times New Roman"/>
          <w:sz w:val="20"/>
        </w:rPr>
      </w:pPr>
      <w:r>
        <w:rPr>
          <w:rFonts w:ascii="Times New Roman" w:hAnsi="Times New Roman"/>
          <w:sz w:val="20"/>
        </w:rPr>
        <w:t>Beneficial owners of Old Notes may tender Old Notes by book-entry transfer by crediting the Old Notes to the Exchange Agent’s account at DTC in accordance with DTC’s Automated Tender Offer Program (“</w:t>
      </w:r>
      <w:r>
        <w:rPr>
          <w:rFonts w:ascii="Times New Roman" w:hAnsi="Times New Roman"/>
          <w:sz w:val="20"/>
          <w:u w:val="single"/>
        </w:rPr>
        <w:t>ATOP</w:t>
      </w:r>
      <w:r>
        <w:rPr>
          <w:rFonts w:ascii="Times New Roman" w:hAnsi="Times New Roman"/>
          <w:sz w:val="20"/>
        </w:rPr>
        <w:t>”) and by complying with applicable ATOP procedures with respect to the Exchange Offer. To the extent any procedural terms herein conflict with the ATOP procedures, the ATOP procedures will govern. DTC participants that are accepting the Exchange Offer should transmit their acceptance to DTC, which will edit and verify the acceptance and execute a book-entry delivery to the Exchange Agent’s account at DTC. DTC will then send a computer-generated message (an “</w:t>
      </w:r>
      <w:r>
        <w:rPr>
          <w:rFonts w:ascii="Times New Roman" w:hAnsi="Times New Roman"/>
          <w:sz w:val="20"/>
          <w:u w:val="single"/>
        </w:rPr>
        <w:t>Agent’s Message</w:t>
      </w:r>
      <w:r>
        <w:rPr>
          <w:rFonts w:ascii="Times New Roman" w:hAnsi="Times New Roman"/>
          <w:sz w:val="20"/>
        </w:rPr>
        <w:t xml:space="preserve">”) to the Exchange Agent for its acceptance in which the beneficial owner of the Old Notes acknowledges and agrees to be bound by the terms of, and makes the representations and warranties contained in, this Letter of Transmittal or the DTC participant confirms on behalf of itself and the beneficial owners of such Old Notes all provisions of this Letter of Transmittal (including any representations and warranties) applicable to it and such beneficial owners as fully as if it had completed the information required herein and executed and transmitted this Letter of Transmittal to the Exchange Agent. Delivery of the Agent’s Message by DTC will satisfy the terms of the Exchange Offer as to execution and delivery of a Letter of Transmittal by the participants identified in the Agent’s Message. </w:t>
      </w:r>
    </w:p>
    <w:p>
      <w:pPr>
        <w:pStyle w:val="TextBody"/>
        <w:bidi w:val="0"/>
        <w:spacing w:before="240" w:after="0"/>
        <w:jc w:val="left"/>
        <w:rPr>
          <w:rFonts w:ascii="Times New Roman" w:hAnsi="Times New Roman"/>
          <w:sz w:val="20"/>
        </w:rPr>
      </w:pPr>
      <w:r>
        <w:rPr>
          <w:rFonts w:ascii="Times New Roman" w:hAnsi="Times New Roman"/>
          <w:sz w:val="20"/>
        </w:rPr>
        <w:t xml:space="preserve">The method of delivery of this Letter of Transmittal, the Old Notes and any other required documents is at the election and risk of the holder, and except as otherwise provided below, the delivery will be deemed made only when actually received or confirmed by the Exchange Agent. If such delivery is by mail, it is suggested that registered mail with return receipt requested, properly insured, be used. In all cases, sufficient time should be allowed to permit timely delivery. No Old Notes or Letters of Transmittal should be sent to the Company. </w:t>
      </w:r>
    </w:p>
    <w:p>
      <w:pPr>
        <w:pStyle w:val="TextBody"/>
        <w:bidi w:val="0"/>
        <w:spacing w:before="240" w:after="0"/>
        <w:jc w:val="left"/>
        <w:rPr>
          <w:rFonts w:ascii="Times New Roman" w:hAnsi="Times New Roman"/>
          <w:sz w:val="20"/>
        </w:rPr>
      </w:pPr>
      <w:r>
        <w:rPr>
          <w:rFonts w:ascii="Times New Roman" w:hAnsi="Times New Roman"/>
          <w:i/>
          <w:sz w:val="20"/>
        </w:rPr>
        <w:t xml:space="preserve">Instruction 2: Partial Tenders. </w:t>
      </w:r>
      <w:r>
        <w:rPr>
          <w:rFonts w:ascii="Times New Roman" w:hAnsi="Times New Roman"/>
          <w:sz w:val="20"/>
        </w:rPr>
        <w:t xml:space="preserve">Tendered Notes must be in a minimum principal amount of US$100,000 or an integral multiple of US$1,000 in excess thereof. If less than the entire principal amount of the Old Notes evidenced by materials provided in accordance with the ATOP procedures, the tendering beneficial owner(s) should indicate the aggregate principal amount of Old Notes to be tendered to DTC in accordance with ATOP procedures. The entire principal amount of Old Notes delivered to the Exchange Agent will be deemed to have been tendered unless otherwise indicated. If the entire principal amount of Old Notes held by the tendering beneficial owner is not tendered for exchange, then untendered Old Notes will be issued in accordance with ATOP procedures for Old Notes issued in global form and will be issued in global form for Old Notes issued in definitive form. </w:t>
      </w:r>
    </w:p>
    <w:p>
      <w:pPr>
        <w:pStyle w:val="TextBody"/>
        <w:bidi w:val="0"/>
        <w:spacing w:before="240" w:after="0"/>
        <w:jc w:val="left"/>
        <w:rPr>
          <w:rFonts w:ascii="Times New Roman" w:hAnsi="Times New Roman"/>
          <w:sz w:val="20"/>
        </w:rPr>
      </w:pPr>
      <w:r>
        <w:rPr>
          <w:rFonts w:ascii="Times New Roman" w:hAnsi="Times New Roman"/>
          <w:i/>
          <w:sz w:val="20"/>
        </w:rPr>
        <w:t xml:space="preserve">Instruction 3: Signatures on this Letter of Transmittal; Bond Powers and Endorsements. </w:t>
      </w:r>
      <w:r>
        <w:rPr>
          <w:rFonts w:ascii="Times New Roman" w:hAnsi="Times New Roman"/>
          <w:sz w:val="20"/>
        </w:rPr>
        <w:t xml:space="preserve">If this Letter of Transmittal or any certificates or bond powers are signed by trustees, executors, administrators, guardians, attorneys in fact, officers of corporations or others acting in a fiduciary or representative capacity, such persons should so indicate when signing, and, unless waived by the Company, evidence satisfactory to the Company of their authority to so act must be submitted with this Letter of Transmittal. </w:t>
      </w:r>
    </w:p>
    <w:p>
      <w:pPr>
        <w:pStyle w:val="TextBody"/>
        <w:bidi w:val="0"/>
        <w:spacing w:before="240" w:after="0"/>
        <w:jc w:val="left"/>
        <w:rPr>
          <w:rFonts w:ascii="Times New Roman" w:hAnsi="Times New Roman"/>
          <w:sz w:val="20"/>
        </w:rPr>
      </w:pPr>
      <w:r>
        <w:rPr>
          <w:rFonts w:ascii="Times New Roman" w:hAnsi="Times New Roman"/>
          <w:i/>
          <w:sz w:val="20"/>
        </w:rPr>
        <w:t xml:space="preserve">Instruction 4: Transfer Taxes. </w:t>
      </w:r>
      <w:r>
        <w:rPr>
          <w:rFonts w:ascii="Times New Roman" w:hAnsi="Times New Roman"/>
          <w:sz w:val="20"/>
        </w:rPr>
        <w:t xml:space="preserve">The Company will pay all transfer taxes, if any, applicable to the exchange of Tendered Notes under the Exchange Offer. The tendering beneficial owner, however, will be required to pay any transfer taxes, whether imposed on the beneficial owner or any other person,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Tendered Notes are to be issued in the name of any person other than the registered or beneficial holder of the Tendered Notes so exchanged;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Tendered Notes are registered in the name of any person other than DTC (for Old Notes held in global form) or the undersigned (for Old Notes held in definitive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transfer tax is imposed for any reason other than the exchange of Tendered Notes under the Exchange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satisfactory evidence of payment of transfer taxes, if applicable per the above, is not submitted with this Letter of Transmittal, the amount of any transfer taxes will be billed to the tendering beneficial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Instructions 5: Waiver of Conditions. </w:t>
      </w:r>
      <w:r>
        <w:rPr>
          <w:rFonts w:ascii="Times New Roman" w:hAnsi="Times New Roman"/>
          <w:sz w:val="20"/>
        </w:rPr>
        <w:t xml:space="preserve">The Company reserves the absolute right to waive any or all conditions relating to the Exchange Offer set forth in the Prospectus. </w:t>
      </w:r>
    </w:p>
    <w:p>
      <w:pPr>
        <w:pStyle w:val="TextBody"/>
        <w:bidi w:val="0"/>
        <w:spacing w:before="240" w:after="0"/>
        <w:jc w:val="left"/>
        <w:rPr>
          <w:rFonts w:ascii="Times New Roman" w:hAnsi="Times New Roman"/>
          <w:sz w:val="20"/>
        </w:rPr>
      </w:pPr>
      <w:r>
        <w:rPr>
          <w:rFonts w:ascii="Times New Roman" w:hAnsi="Times New Roman"/>
          <w:i/>
          <w:sz w:val="20"/>
        </w:rPr>
        <w:t xml:space="preserve">Instruction 6: No Conditional Tenders. </w:t>
      </w:r>
      <w:r>
        <w:rPr>
          <w:rFonts w:ascii="Times New Roman" w:hAnsi="Times New Roman"/>
          <w:sz w:val="20"/>
        </w:rPr>
        <w:t xml:space="preserve">No alternative, conditional, irregular or contingent tenders will be accepted. All beneficial owners of Tendered Notes, by execution of this Letter of Transmittal, shall waive any right to receive notice of the acceptance of their Tendered Notes for exchange. </w:t>
      </w:r>
    </w:p>
    <w:p>
      <w:pPr>
        <w:pStyle w:val="TextBody"/>
        <w:bidi w:val="0"/>
        <w:spacing w:before="240" w:after="0"/>
        <w:jc w:val="left"/>
        <w:rPr>
          <w:rFonts w:ascii="Times New Roman" w:hAnsi="Times New Roman"/>
          <w:sz w:val="20"/>
        </w:rPr>
      </w:pPr>
      <w:r>
        <w:rPr>
          <w:rFonts w:ascii="Times New Roman" w:hAnsi="Times New Roman"/>
          <w:i/>
          <w:sz w:val="20"/>
        </w:rPr>
        <w:t xml:space="preserve">Instruction 7: Mutilated, Lost, Stolen or Destroyed Old Notes. </w:t>
      </w:r>
      <w:r>
        <w:rPr>
          <w:rFonts w:ascii="Times New Roman" w:hAnsi="Times New Roman"/>
          <w:sz w:val="20"/>
        </w:rPr>
        <w:t xml:space="preserve">Any beneficial owner whose Old Notes have been mutilated, lost, stolen or destroyed should contact the Exchange Agent at the address set forth on the front cover hereof for further instructions. </w:t>
      </w:r>
    </w:p>
    <w:p>
      <w:pPr>
        <w:pStyle w:val="TextBody"/>
        <w:bidi w:val="0"/>
        <w:spacing w:before="240" w:after="0"/>
        <w:jc w:val="left"/>
        <w:rPr>
          <w:rFonts w:ascii="Times New Roman" w:hAnsi="Times New Roman"/>
          <w:sz w:val="20"/>
        </w:rPr>
      </w:pPr>
      <w:r>
        <w:rPr>
          <w:rFonts w:ascii="Times New Roman" w:hAnsi="Times New Roman"/>
          <w:i/>
          <w:sz w:val="20"/>
        </w:rPr>
        <w:t xml:space="preserve">Instruction 8: Validity of Tenders. </w:t>
      </w:r>
      <w:r>
        <w:rPr>
          <w:rFonts w:ascii="Times New Roman" w:hAnsi="Times New Roman"/>
          <w:sz w:val="20"/>
        </w:rPr>
        <w:t xml:space="preserve">All questions as to the validity, form, eligibility (including time of receipt), acceptance and withdrawal of Tendered Notes will be determined by the Company in its sole discretion, which determination will, subject to applicable law, be final and binding. The Company reserves the absolute right to reject any and all Tendered Notes not properly tendered or any Tendered Notes, the Company’s acceptance of which would, in the opinion of counsel for the Company, be unlawful. The Company also reserves the right in its sole discretion to waive any defects, irregularities or conditions of tender as to any Tendered Notes. The Company’s interpretation of the terms and conditions of the Exchange Offer (including the Instructions in this Letter of Transmittal) will, subject to applicable law, be final and binding on all parties. Unless waived, any defects or irregularities in connection with Tendered Notes must be cured within such time as the Company shall determine. Although the Company (or the Exchange Agent on behalf of the Company) intends to notify registered holders and beneficial owners of defects or irregularities with respect to tenders of Tendered Notes, neither the Company, the Exchange Agent nor any other person shall incur any liability for failure to give such notification. Tenders of Tendered Notes will not be deemed to have been made until such defects or irregularities have been cured by the applicable registered holder(s) or beneficial owner(s) or waived by the Company. Any Tendered Notes received by the Exchange Agent that are not properly tendered and as to which the defects or irregularities have not been cured or waived will be returned by the Exchange Agent to the tendering beneficial owners, unless otherwise provided in this Letter of Transmittal, as promptly as practicable following the Expiration Date. </w:t>
      </w:r>
    </w:p>
    <w:p>
      <w:pPr>
        <w:pStyle w:val="TextBody"/>
        <w:bidi w:val="0"/>
        <w:spacing w:before="240" w:after="0"/>
        <w:jc w:val="left"/>
        <w:rPr>
          <w:rFonts w:ascii="Times New Roman" w:hAnsi="Times New Roman"/>
          <w:sz w:val="20"/>
        </w:rPr>
      </w:pPr>
      <w:r>
        <w:rPr>
          <w:rFonts w:ascii="Times New Roman" w:hAnsi="Times New Roman"/>
          <w:i/>
          <w:sz w:val="20"/>
        </w:rPr>
        <w:t xml:space="preserve">Instruction 9: Acceptance of Tendered Notes and Issuance of Notes; Return of Notes. </w:t>
      </w:r>
      <w:r>
        <w:rPr>
          <w:rFonts w:ascii="Times New Roman" w:hAnsi="Times New Roman"/>
          <w:sz w:val="20"/>
        </w:rPr>
        <w:t xml:space="preserve">Subject to the terms and conditions of the Exchange Offer, the Company will accept for exchange all validly tendered Old Notes as promptly as practicable after the Expiration Date and will issue New Notes therefor as promptly as practicable thereafter. For purposes of the Exchange Offer, the Company shall be deemed to have accepted validly tendered Old Notes when the Company has given written notice thereof to the Exchange Agent. If any Tendered Notes are not exchanged pursuant to the Exchange Offer for any reason, such unexchanged Tendered Notes, if in definitive form, will be returned in accordance with the Exchange Agent’s procedures, or if in global form, will be returned in accordance with ATOP procedures. Unexchanged Tendered Notes represented by book-entry(ies) will remain on the books of the Company in their initial form. </w:t>
      </w:r>
    </w:p>
    <w:p>
      <w:pPr>
        <w:pStyle w:val="TextBody"/>
        <w:bidi w:val="0"/>
        <w:spacing w:before="240" w:after="0"/>
        <w:jc w:val="left"/>
        <w:rPr>
          <w:rFonts w:ascii="Times New Roman" w:hAnsi="Times New Roman"/>
          <w:sz w:val="20"/>
        </w:rPr>
      </w:pPr>
      <w:r>
        <w:rPr>
          <w:rFonts w:ascii="Times New Roman" w:hAnsi="Times New Roman"/>
          <w:i/>
          <w:sz w:val="20"/>
        </w:rPr>
        <w:t xml:space="preserve">Instruction 10: Requests for Assistance or Additional Copies. </w:t>
      </w:r>
      <w:r>
        <w:rPr>
          <w:rFonts w:ascii="Times New Roman" w:hAnsi="Times New Roman"/>
          <w:sz w:val="20"/>
        </w:rPr>
        <w:t xml:space="preserve">Questions relating to the procedures for tendering, as well as requests for additional copies of the Prospectus and this Letter of Transmittal, may be directed to the Exchange Agent at the address and email set forth on the front cover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Normal"/>
        <w:bidi w:val="0"/>
        <w:spacing w:before="0" w:after="0"/>
        <w:jc w:val="left"/>
        <w:rPr>
          <w:sz w:val="4"/>
          <w:szCs w:val="4"/>
        </w:rPr>
      </w:pPr>
      <w:r>
        <w:rPr>
          <w:sz w:val="4"/>
          <w:szCs w:val="4"/>
        </w:rPr>
      </w:r>
      <w:bookmarkStart w:id="28" w:name="d32912dexfilingfees.htm"/>
      <w:bookmarkStart w:id="29" w:name="ksd32912dexfilingfees"/>
      <w:bookmarkStart w:id="30" w:name="d32912dexfilingfees.htm"/>
      <w:bookmarkStart w:id="31" w:name="ksd32912dexfilingfees"/>
      <w:bookmarkEnd w:id="30"/>
      <w:bookmarkEnd w:id="31"/>
      <w:r>
        <w:br w:type="page"/>
      </w:r>
    </w:p>
    <w:tbl>
      <w:tblPr>
        <w:tblW w:w="4430" w:type="dxa"/>
        <w:jc w:val="left"/>
        <w:tblInd w:w="0" w:type="dxa"/>
        <w:tblLayout w:type="fixed"/>
        <w:tblCellMar>
          <w:top w:w="28" w:type="dxa"/>
          <w:left w:w="28" w:type="dxa"/>
          <w:bottom w:w="28" w:type="dxa"/>
          <w:right w:w="28" w:type="dxa"/>
        </w:tblCellMar>
      </w:tblPr>
      <w:tblGrid>
        <w:gridCol w:w="4276"/>
        <w:gridCol w:w="154"/>
      </w:tblGrid>
      <w:tr>
        <w:trPr/>
        <w:tc>
          <w:tcPr>
            <w:tcW w:w="443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276"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before="0" w:after="283"/>
              <w:jc w:val="left"/>
              <w:rPr>
                <w:b/>
              </w:rPr>
            </w:pPr>
            <w:r>
              <w:rPr>
                <w:b/>
              </w:rPr>
              <w:t xml:space="preserve">USCB FINANCIAL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09" w:type="dxa"/>
        <w:jc w:val="left"/>
        <w:tblInd w:w="0" w:type="dxa"/>
        <w:tblLayout w:type="fixed"/>
        <w:tblCellMar>
          <w:top w:w="28" w:type="dxa"/>
          <w:left w:w="28" w:type="dxa"/>
          <w:bottom w:w="28" w:type="dxa"/>
          <w:right w:w="28" w:type="dxa"/>
        </w:tblCellMar>
      </w:tblPr>
      <w:tblGrid>
        <w:gridCol w:w="1126"/>
        <w:gridCol w:w="226"/>
        <w:gridCol w:w="946"/>
        <w:gridCol w:w="136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0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366" w:type="dxa"/>
            <w:tcBorders/>
            <w:shd w:fill="E7E7E2" w:val="clear"/>
            <w:vAlign w:val="center"/>
          </w:tcPr>
          <w:p>
            <w:pPr>
              <w:pStyle w:val="TableContents"/>
              <w:bidi w:val="0"/>
              <w:spacing w:before="0" w:after="283"/>
              <w:jc w:val="left"/>
              <w:rPr/>
            </w:pPr>
            <w:r>
              <w:rPr/>
              <w:t xml:space="preserve">7.625% Fixed-to-Floating Rate Subordinated Notes due 2035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$ 40,000,000.00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$ 5,524.00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0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32" w:name="MaxAggtOfferingPrice"/>
            <w:bookmarkEnd w:id="32"/>
            <w:r>
              <w:rPr/>
              <w:t xml:space="preserve">$ 40,000,000.00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$ 5,524.00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$ 5,524.00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390"/>
        <w:gridCol w:w="1355"/>
        <w:gridCol w:w="1872"/>
        <w:gridCol w:w="1726"/>
        <w:gridCol w:w="1712"/>
        <w:gridCol w:w="1792"/>
        <w:gridCol w:w="161"/>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7"/>
            <w:tcBorders/>
            <w:vAlign w:val="center"/>
          </w:tcPr>
          <w:p>
            <w:pPr>
              <w:pStyle w:val="TableContents"/>
              <w:bidi w:val="0"/>
              <w:spacing w:before="0" w:after="283"/>
              <w:jc w:val="left"/>
              <w:rPr/>
            </w:pPr>
            <w:r>
              <w:rPr/>
              <w:t xml:space="preserve">Rule 457(f) Fee Calculation Details </w:t>
              <w:br/>
              <w:br/>
              <w:t xml:space="preserve">Maximum Aggregate Offering Price estimated solely for the purpose of calculating the registration fee pursuant to Rule 457(f) under the Securities Act of 1933, as amended. Represents the maximum aggregate offering price of all notes to be offered in the exchange offer to which the registration statement relates. Total Maximum Aggregate Offering Price represents the maximum aggregate offering price of all notes to be offered in the exchange offer to which the registration statement relates. </w:t>
            </w:r>
          </w:p>
        </w:tc>
      </w:tr>
      <w:tr>
        <w:trPr/>
        <w:tc>
          <w:tcPr>
            <w:tcW w:w="197" w:type="dxa"/>
            <w:tcBorders/>
            <w:tcMar>
              <w:top w:w="0" w:type="dxa"/>
              <w:left w:w="0" w:type="dxa"/>
              <w:bottom w:w="0" w:type="dxa"/>
              <w:right w:w="0" w:type="dxa"/>
            </w:tcMar>
            <w:vAlign w:val="center"/>
          </w:tcPr>
          <w:p>
            <w:pPr>
              <w:pStyle w:val="TableHeading"/>
              <w:bidi w:val="0"/>
              <w:spacing w:before="0" w:after="283"/>
              <w:rPr>
                <w:sz w:val="4"/>
                <w:szCs w:val="4"/>
              </w:rPr>
            </w:pPr>
            <w:r>
              <w:rPr>
                <w:sz w:val="4"/>
                <w:szCs w:val="4"/>
              </w:rPr>
            </w:r>
          </w:p>
        </w:tc>
        <w:tc>
          <w:tcPr>
            <w:tcW w:w="1390" w:type="dxa"/>
            <w:tcBorders/>
            <w:tcMar>
              <w:top w:w="0" w:type="dxa"/>
              <w:left w:w="0" w:type="dxa"/>
              <w:bottom w:w="0" w:type="dxa"/>
              <w:right w:w="0" w:type="dxa"/>
            </w:tcMar>
            <w:vAlign w:val="center"/>
          </w:tcPr>
          <w:p>
            <w:pPr>
              <w:pStyle w:val="TableHeading"/>
              <w:suppressLineNumbers/>
              <w:bidi w:val="0"/>
              <w:spacing w:before="0" w:after="283"/>
              <w:jc w:val="center"/>
              <w:rPr/>
            </w:pPr>
            <w:r>
              <w:rPr/>
              <w:t>Amount of Securities to be Received or Cancelled</w:t>
            </w:r>
          </w:p>
        </w:tc>
        <w:tc>
          <w:tcPr>
            <w:tcW w:w="1355" w:type="dxa"/>
            <w:tcBorders/>
            <w:tcMar>
              <w:top w:w="0" w:type="dxa"/>
              <w:left w:w="0" w:type="dxa"/>
              <w:bottom w:w="0" w:type="dxa"/>
              <w:right w:w="0" w:type="dxa"/>
            </w:tcMar>
            <w:vAlign w:val="center"/>
          </w:tcPr>
          <w:p>
            <w:pPr>
              <w:pStyle w:val="TableHeading"/>
              <w:suppressLineNumbers/>
              <w:bidi w:val="0"/>
              <w:spacing w:before="0" w:after="283"/>
              <w:jc w:val="center"/>
              <w:rPr/>
            </w:pPr>
            <w:r>
              <w:rPr/>
              <w:t>Value per Share of Securities to be Received or Cancelled</w:t>
            </w:r>
          </w:p>
        </w:tc>
        <w:tc>
          <w:tcPr>
            <w:tcW w:w="1872" w:type="dxa"/>
            <w:tcBorders/>
            <w:tcMar>
              <w:top w:w="0" w:type="dxa"/>
              <w:left w:w="0" w:type="dxa"/>
              <w:bottom w:w="0" w:type="dxa"/>
              <w:right w:w="0" w:type="dxa"/>
            </w:tcMar>
            <w:vAlign w:val="center"/>
          </w:tcPr>
          <w:p>
            <w:pPr>
              <w:pStyle w:val="TableHeading"/>
              <w:suppressLineNumbers/>
              <w:bidi w:val="0"/>
              <w:spacing w:before="0" w:after="283"/>
              <w:jc w:val="center"/>
              <w:rPr/>
            </w:pPr>
            <w:r>
              <w:rPr/>
              <w:t>Total Value of Securities to be Received or Cancelled</w:t>
            </w:r>
          </w:p>
        </w:tc>
        <w:tc>
          <w:tcPr>
            <w:tcW w:w="1726"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Received by the registrant</w:t>
            </w:r>
          </w:p>
        </w:tc>
        <w:tc>
          <w:tcPr>
            <w:tcW w:w="1712"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(Paid) by the registrant</w:t>
            </w:r>
          </w:p>
        </w:tc>
        <w:tc>
          <w:tcPr>
            <w:tcW w:w="1792" w:type="dxa"/>
            <w:tcBorders/>
            <w:tcMar>
              <w:top w:w="0" w:type="dxa"/>
              <w:left w:w="0" w:type="dxa"/>
              <w:bottom w:w="0" w:type="dxa"/>
              <w:right w:w="0" w:type="dxa"/>
            </w:tcMar>
            <w:vAlign w:val="center"/>
          </w:tcPr>
          <w:p>
            <w:pPr>
              <w:pStyle w:val="TableHeading"/>
              <w:suppressLineNumbers/>
              <w:bidi w:val="0"/>
              <w:spacing w:before="0" w:after="283"/>
              <w:jc w:val="center"/>
              <w:rPr/>
            </w:pPr>
            <w:r>
              <w:rPr/>
              <w:t>Maximum Aggregate Offering Price</w:t>
            </w:r>
          </w:p>
        </w:tc>
        <w:tc>
          <w:tcPr>
            <w:tcW w:w="161"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pPr>
            <w:r>
              <w:rPr/>
              <w:t xml:space="preserve">40,000,000 </w:t>
            </w:r>
          </w:p>
        </w:tc>
        <w:tc>
          <w:tcPr>
            <w:tcW w:w="1355" w:type="dxa"/>
            <w:tcBorders/>
            <w:vAlign w:val="center"/>
          </w:tcPr>
          <w:p>
            <w:pPr>
              <w:pStyle w:val="TableContents"/>
              <w:bidi w:val="0"/>
              <w:spacing w:before="0" w:after="283"/>
              <w:jc w:val="left"/>
              <w:rPr/>
            </w:pPr>
            <w:r>
              <w:rPr/>
              <w:t xml:space="preserve">$ 1.00 </w:t>
            </w:r>
          </w:p>
        </w:tc>
        <w:tc>
          <w:tcPr>
            <w:tcW w:w="1872" w:type="dxa"/>
            <w:tcBorders/>
            <w:vAlign w:val="center"/>
          </w:tcPr>
          <w:p>
            <w:pPr>
              <w:pStyle w:val="TableContents"/>
              <w:bidi w:val="0"/>
              <w:spacing w:before="0" w:after="283"/>
              <w:jc w:val="left"/>
              <w:rPr/>
            </w:pPr>
            <w:r>
              <w:rPr/>
              <w:t xml:space="preserve">$ 40,000,000.00 </w:t>
            </w:r>
          </w:p>
        </w:tc>
        <w:tc>
          <w:tcPr>
            <w:tcW w:w="1726"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pPr>
            <w:r>
              <w:rPr/>
              <w:t xml:space="preserve">$ 40,000,000.00 </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7"/>
            <w:tcBorders/>
            <w:vAlign w:val="center"/>
          </w:tcPr>
          <w:p>
            <w:pPr>
              <w:pStyle w:val="HorizontalLine"/>
              <w:pBdr>
                <w:bottom w:val="double" w:sz="2" w:space="0" w:color="808080"/>
              </w:pBdr>
              <w:bidi w:val="0"/>
              <w:spacing w:before="0" w:after="283"/>
              <w:jc w:val="left"/>
              <w:rPr/>
            </w:pPr>
            <w:r>
              <w:rPr/>
            </w:r>
          </w:p>
        </w:tc>
        <w:tc>
          <w:tcPr>
            <w:tcW w:w="16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901637/000156276225000043/uscb-20241231.htm" TargetMode="External"/><Relationship Id="rId4" Type="http://schemas.openxmlformats.org/officeDocument/2006/relationships/hyperlink" Target="http://www.sec.gov/Archives/edgar/data/../../../ix?doc=/Archives/edgar/data/1901637/000092708925000082/uscb20250411_def14a.htm" TargetMode="External"/><Relationship Id="rId5" Type="http://schemas.openxmlformats.org/officeDocument/2006/relationships/hyperlink" Target="http://www.sec.gov/Archives/edgar/data/../../../ix?doc=/Archives/edgar/data/1901637/000156276225000122/uscb-20250331.htm" TargetMode="External"/><Relationship Id="rId6" Type="http://schemas.openxmlformats.org/officeDocument/2006/relationships/hyperlink" Target="http://www.sec.gov/Archives/edgar/data/../../../ix?doc=/Archives/edgar/data/1901637/000156276225000206/uscb-20250630.htm" TargetMode="External"/><Relationship Id="rId7" Type="http://schemas.openxmlformats.org/officeDocument/2006/relationships/hyperlink" Target="http://www.sec.gov/Archives/edgar/data/../../../ix?doc=/Archives/edgar/data/1901637/000156276225000269/uscb-20250930.htm" TargetMode="External"/><Relationship Id="rId8" Type="http://schemas.openxmlformats.org/officeDocument/2006/relationships/hyperlink" Target="http://www.sec.gov/Archives/edgar/data/../../../ix?doc=/Archives/edgar/data/0001901637/000092708925000011/uscb20241216_8k.htm" TargetMode="External"/><Relationship Id="rId9" Type="http://schemas.openxmlformats.org/officeDocument/2006/relationships/hyperlink" Target="http://www.sec.gov/Archives/edgar/data/../../../ix?doc=/Archives/edgar/data/0001901637/000092708925000103/uscb20250527_8k.htm" TargetMode="External"/><Relationship Id="rId10" Type="http://schemas.openxmlformats.org/officeDocument/2006/relationships/hyperlink" Target="http://www.sec.gov/Archives/edgar/data/../../../ix?doc=/Archives/edgar/data/0001901637/000119312525180879/d23435d8k.htm" TargetMode="External"/><Relationship Id="rId11" Type="http://schemas.openxmlformats.org/officeDocument/2006/relationships/hyperlink" Target="http://www.sec.gov/Archives/edgar/data/../../../ix?doc=/Archives/edgar/data/0001901637/000119312525196580/d909351d8k.htm" TargetMode="External"/><Relationship Id="rId12" Type="http://schemas.openxmlformats.org/officeDocument/2006/relationships/hyperlink" Target="http://www.sec.gov/Archives/edgar/data/0001901637/000119312521369812/d628417dex31.htm" TargetMode="External"/><Relationship Id="rId13" Type="http://schemas.openxmlformats.org/officeDocument/2006/relationships/hyperlink" Target="http://www.sec.gov/Archives/edgar/data/0001901637/000119312521369812/d628417dex32.htm" TargetMode="External"/><Relationship Id="rId14" Type="http://schemas.openxmlformats.org/officeDocument/2006/relationships/hyperlink" Target="http://www.sec.gov/Archives/edgar/data/1901637/000119312521369812/d628417dex41.htm" TargetMode="External"/><Relationship Id="rId15" Type="http://schemas.openxmlformats.org/officeDocument/2006/relationships/hyperlink" Target="http://www.sec.gov/Archives/edgar/data/1901637/000119312521369812/d628417dex42.htm" TargetMode="External"/><Relationship Id="rId16" Type="http://schemas.openxmlformats.org/officeDocument/2006/relationships/hyperlink" Target="http://www.sec.gov/Archives/edgar/data/0001901637/000119312521369812/d628417dex43.htm" TargetMode="External"/><Relationship Id="rId17" Type="http://schemas.openxmlformats.org/officeDocument/2006/relationships/hyperlink" Target="http://www.sec.gov/Archives/edgar/data/1901637/000119312525180879/d23435dex41.htm" TargetMode="External"/><Relationship Id="rId18" Type="http://schemas.openxmlformats.org/officeDocument/2006/relationships/hyperlink" Target="http://www.sec.gov/Archives/edgar/data/1901637/000119312525180879/d23435dex41.htm" TargetMode="External"/><Relationship Id="rId19" Type="http://schemas.openxmlformats.org/officeDocument/2006/relationships/hyperlink" Target="http://www.sec.gov/Archives/edgar/data/1901637/000119312525180879/d23435dex102.htm" TargetMode="External"/><Relationship Id="rId20" Type="http://schemas.openxmlformats.org/officeDocument/2006/relationships/hyperlink" Target="http://www.sec.gov/Archives/edgar/data/1901637/000119312525180879/d23435dex101.htm" TargetMode="External"/><Relationship Id="rId21" Type="http://schemas.openxmlformats.org/officeDocument/2006/relationships/hyperlink" Target="http://www.sec.gov/Archives/edgar/data/1341317/000155837024002663/bwb-20231231xex21d1.htm" TargetMode="External"/><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103</Pages>
  <Words>52436</Words>
  <Characters>269659</Characters>
  <CharactersWithSpaces>322914</CharactersWithSpaces>
  <Paragraphs>2804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