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July 25, 2024</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Doral,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jc w:val="both"/>
        <w:ind w:left="660" w:right="6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2.02. Results of Operations and Financial Condition.</w:t>
      </w:r>
    </w:p>
    <w:p>
      <w:pPr>
        <w:spacing w:after="0" w:line="172" w:lineRule="exact"/>
        <w:rPr>
          <w:sz w:val="20"/>
          <w:szCs w:val="20"/>
          <w:color w:val="auto"/>
        </w:rPr>
      </w:pPr>
    </w:p>
    <w:p>
      <w:pPr>
        <w:jc w:val="both"/>
        <w:ind w:left="660" w:right="679" w:firstLine="512"/>
        <w:spacing w:after="0" w:line="263" w:lineRule="auto"/>
        <w:rPr>
          <w:sz w:val="20"/>
          <w:szCs w:val="20"/>
          <w:color w:val="auto"/>
        </w:rPr>
      </w:pPr>
      <w:r>
        <w:rPr>
          <w:rFonts w:ascii="Times New Roman" w:cs="Times New Roman" w:eastAsia="Times New Roman" w:hAnsi="Times New Roman"/>
          <w:sz w:val="14"/>
          <w:szCs w:val="14"/>
          <w:color w:val="auto"/>
        </w:rPr>
        <w:t>On July 25, 2024, USCB Financial Holdings, Inc. (the “Company”) issued a press release announcing its financial results for the quarter ended June 30, 2024. A copy of the press release is furnished as Exhibit 99.1 to this Current Report on Form 8-K (“Form 8-K”) and is incorporated herein by reference.</w:t>
      </w:r>
    </w:p>
    <w:p>
      <w:pPr>
        <w:spacing w:after="0" w:line="12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 Item 2.02,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(the “Securities Act”) or the Exchange Act except as expressly set forth by specific reference in such filing to this Form 8-K.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2" w:lineRule="exact"/>
        <w:rPr>
          <w:sz w:val="20"/>
          <w:szCs w:val="20"/>
          <w:color w:val="auto"/>
        </w:rPr>
      </w:pPr>
    </w:p>
    <w:p>
      <w:pPr>
        <w:jc w:val="both"/>
        <w:ind w:left="660" w:right="699" w:firstLine="512"/>
        <w:spacing w:after="0" w:line="255" w:lineRule="auto"/>
        <w:rPr>
          <w:sz w:val="20"/>
          <w:szCs w:val="20"/>
          <w:color w:val="auto"/>
        </w:rPr>
      </w:pPr>
      <w:r>
        <w:rPr>
          <w:rFonts w:ascii="Times New Roman" w:cs="Times New Roman" w:eastAsia="Times New Roman" w:hAnsi="Times New Roman"/>
          <w:sz w:val="14"/>
          <w:szCs w:val="14"/>
          <w:color w:val="auto"/>
        </w:rPr>
        <w:t>As previously announced, at 11:00 a.m. ET on July 26, 2024, the Company will hold an earnings conference call to discuss its financial performance for the quarter ended June 30, 2024. A copy of the slides forming the basis of the presentation is being furnished as Exhibit 99.2 to this Form 8-K and is incorporated herein by reference. A copy of the slides has also been posted to the Company’s investor relations website, located at investors.uscenturybank.com.</w:t>
      </w:r>
    </w:p>
    <w:p>
      <w:pPr>
        <w:spacing w:after="0" w:line="127" w:lineRule="exact"/>
        <w:rPr>
          <w:sz w:val="20"/>
          <w:szCs w:val="20"/>
          <w:color w:val="auto"/>
        </w:rPr>
      </w:pPr>
    </w:p>
    <w:p>
      <w:pPr>
        <w:jc w:val="both"/>
        <w:ind w:left="660" w:right="65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 Item 7.01, including Exhibit 99.2, is being furnished and shall not be deemed “filed” for purposes of Section 18 of the Exchange Act, or otherwise subject to the liability of that section, and shall not be deemed to be incorporated by reference into any filing under the Securities Act or the Exchange Act except as set forth by specific reference in such filing to this Form 8-K.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 Exhibits.</w:t>
            </w:r>
          </w:p>
        </w:tc>
        <w:tc>
          <w:tcPr>
            <w:tcW w:w="2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9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99.1</w:t>
            </w:r>
          </w:p>
        </w:tc>
        <w:tc>
          <w:tcPr>
            <w:tcW w:w="3760" w:type="dxa"/>
            <w:vAlign w:val="bottom"/>
            <w:tcBorders>
              <w:bottom w:val="single" w:sz="8" w:color="0563C1"/>
            </w:tcBorders>
            <w:gridSpan w:val="2"/>
          </w:tcPr>
          <w:p>
            <w:pPr>
              <w:spacing w:after="0" w:line="129" w:lineRule="exact"/>
              <w:rPr>
                <w:sz w:val="20"/>
                <w:szCs w:val="20"/>
                <w:color w:val="auto"/>
              </w:rPr>
            </w:pPr>
            <w:r>
              <w:rPr>
                <w:rFonts w:ascii="Times New Roman" w:cs="Times New Roman" w:eastAsia="Times New Roman" w:hAnsi="Times New Roman"/>
                <w:sz w:val="14"/>
                <w:szCs w:val="14"/>
                <w:color w:val="0563C1"/>
              </w:rPr>
              <w:t>USCB Financial Holdings, Inc. Press Release, dated July 25, 2024</w:t>
            </w:r>
          </w:p>
        </w:tc>
        <w:tc>
          <w:tcPr>
            <w:tcW w:w="2500" w:type="dxa"/>
            <w:vAlign w:val="bottom"/>
          </w:tcPr>
          <w:p>
            <w:pPr>
              <w:spacing w:after="0"/>
              <w:rPr>
                <w:sz w:val="11"/>
                <w:szCs w:val="11"/>
                <w:color w:val="auto"/>
              </w:rPr>
            </w:pPr>
          </w:p>
        </w:tc>
      </w:tr>
      <w:tr>
        <w:trPr>
          <w:trHeight w:val="151"/>
        </w:trPr>
        <w:tc>
          <w:tcPr>
            <w:tcW w:w="92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99.2</w:t>
            </w:r>
          </w:p>
        </w:tc>
        <w:tc>
          <w:tcPr>
            <w:tcW w:w="62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0563C1"/>
              </w:rPr>
              <w:t>Earnings Presentation, dated July 25, 2024</w:t>
            </w:r>
          </w:p>
        </w:tc>
      </w:tr>
      <w:tr>
        <w:trPr>
          <w:trHeight w:val="175"/>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40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w w:val="95"/>
              </w:rPr>
              <w:t>Cover Page Interactive Data File (embedded</w:t>
            </w:r>
          </w:p>
        </w:tc>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2" w:lineRule="exact"/>
        <w:rPr>
          <w:sz w:val="20"/>
          <w:szCs w:val="20"/>
          <w:color w:val="auto"/>
        </w:rPr>
      </w:pPr>
    </w:p>
    <w:p>
      <w:pPr>
        <w:ind w:left="660" w:right="679" w:firstLine="51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USCB Financial Holdings, Inc.</w:t>
      </w:r>
    </w:p>
    <w:p>
      <w:pPr>
        <w:spacing w:after="0" w:line="332" w:lineRule="exact"/>
        <w:rPr>
          <w:sz w:val="20"/>
          <w:szCs w:val="20"/>
          <w:color w:val="auto"/>
        </w:rPr>
      </w:pPr>
    </w:p>
    <w:tbl>
      <w:tblPr>
        <w:tblLayout w:type="fixed"/>
        <w:tblInd w:w="520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Anderson</w:t>
            </w:r>
          </w:p>
        </w:tc>
      </w:tr>
      <w:tr>
        <w:trPr>
          <w:trHeight w:val="136"/>
        </w:trPr>
        <w:tc>
          <w:tcPr>
            <w:tcW w:w="5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Name:</w:t>
            </w:r>
          </w:p>
        </w:tc>
        <w:tc>
          <w:tcPr>
            <w:tcW w:w="25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Robert Anderson</w:t>
            </w:r>
          </w:p>
        </w:tc>
      </w:t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Date: July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1" w:right="1440" w:bottom="1440" w:gutter="0" w:footer="0" w:header="0"/>
        </w:sectPr>
      </w:pPr>
    </w:p>
    <w:bookmarkStart w:id="3" w:name="page4"/>
    <w:bookmarkEnd w:id="3"/>
    <w:p>
      <w:pPr>
        <w:ind w:left="776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99.1</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USCB Financial Holdings, Inc. Reports Record Fully Diluted EPS Since Going Public of $0.31 for Q2 2024</w:t>
      </w:r>
    </w:p>
    <w:p>
      <w:pPr>
        <w:spacing w:after="0" w:line="137" w:lineRule="exact"/>
        <w:rPr>
          <w:sz w:val="20"/>
          <w:szCs w:val="20"/>
          <w:color w:val="auto"/>
        </w:rPr>
      </w:pPr>
    </w:p>
    <w:p>
      <w:pPr>
        <w:jc w:val="both"/>
        <w:ind w:left="660" w:right="679"/>
        <w:spacing w:after="0" w:line="275" w:lineRule="auto"/>
        <w:rPr>
          <w:sz w:val="20"/>
          <w:szCs w:val="20"/>
          <w:color w:val="auto"/>
        </w:rPr>
      </w:pPr>
      <w:r>
        <w:rPr>
          <w:rFonts w:ascii="Times New Roman" w:cs="Times New Roman" w:eastAsia="Times New Roman" w:hAnsi="Times New Roman"/>
          <w:sz w:val="11"/>
          <w:szCs w:val="11"/>
          <w:b w:val="1"/>
          <w:bCs w:val="1"/>
          <w:color w:val="auto"/>
        </w:rPr>
        <w:t>MIAMI, FL – July 25, 2024 – USCB Financial Holdings, Inc. (the “Company”) (NASDAQ: USCB)</w:t>
      </w:r>
      <w:r>
        <w:rPr>
          <w:rFonts w:ascii="Times New Roman" w:cs="Times New Roman" w:eastAsia="Times New Roman" w:hAnsi="Times New Roman"/>
          <w:sz w:val="11"/>
          <w:szCs w:val="11"/>
          <w:color w:val="auto"/>
        </w:rPr>
        <w:t>, the holding company for U.S. Century Bank (the “Bank”),</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reported net income of $6.2 million or $0.31 per fully diluted share for the three months ended June 30, 2024, compared with net income of $4.2 million or $0.21 per fully diluted share for the same period in 2023.</w:t>
      </w:r>
    </w:p>
    <w:p>
      <w:pPr>
        <w:spacing w:after="0" w:line="90" w:lineRule="exact"/>
        <w:rPr>
          <w:sz w:val="20"/>
          <w:szCs w:val="20"/>
          <w:color w:val="auto"/>
        </w:rPr>
      </w:pPr>
    </w:p>
    <w:p>
      <w:pPr>
        <w:jc w:val="both"/>
        <w:ind w:left="660" w:right="679"/>
        <w:spacing w:after="0" w:line="263" w:lineRule="auto"/>
        <w:rPr>
          <w:sz w:val="20"/>
          <w:szCs w:val="20"/>
          <w:color w:val="auto"/>
        </w:rPr>
      </w:pPr>
      <w:r>
        <w:rPr>
          <w:rFonts w:ascii="Times New Roman" w:cs="Times New Roman" w:eastAsia="Times New Roman" w:hAnsi="Times New Roman"/>
          <w:sz w:val="11"/>
          <w:szCs w:val="11"/>
          <w:color w:val="auto"/>
        </w:rPr>
        <w:t>“Today marks another milestone for our bank, as we report for the quarter a fully diluted EPS of $0.31. This achievement reflectsthe consistent execution of ourstrategic initiatives, supported by disciplined risk management practices and an associate base committed to superior customer service,” said Luis de la Aguilera, Chairman, President, and CEO. “Our focused efforts have resulted in a ROAA above1.00%, strong NIM expansion, an efficiency ratio of 56% and continued stable credit metrics.” said de la Aguilera.</w:t>
      </w:r>
    </w:p>
    <w:p>
      <w:pPr>
        <w:spacing w:after="0" w:line="96" w:lineRule="exact"/>
        <w:rPr>
          <w:sz w:val="20"/>
          <w:szCs w:val="20"/>
          <w:color w:val="auto"/>
        </w:rPr>
      </w:pPr>
    </w:p>
    <w:p>
      <w:pPr>
        <w:jc w:val="both"/>
        <w:ind w:left="660" w:right="679"/>
        <w:spacing w:after="0" w:line="303" w:lineRule="auto"/>
        <w:rPr>
          <w:sz w:val="20"/>
          <w:szCs w:val="20"/>
          <w:color w:val="auto"/>
        </w:rPr>
      </w:pPr>
      <w:r>
        <w:rPr>
          <w:rFonts w:ascii="Times New Roman" w:cs="Times New Roman" w:eastAsia="Times New Roman" w:hAnsi="Times New Roman"/>
          <w:sz w:val="11"/>
          <w:szCs w:val="11"/>
          <w:color w:val="auto"/>
        </w:rPr>
        <w:t>Unless otherwise stated, all percentage comparisons in the bullet points below are calculated at or for the quarter ended June 30, 2024 compared to at or for the quarter ended June 30, 2023 and annualized where appropriate.</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Profitability</w:t>
      </w:r>
    </w:p>
    <w:p>
      <w:pPr>
        <w:spacing w:after="0" w:line="142"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Annualized return on average assets for the quarter ended June 30, 2024 was 1.01% compared to 0.77% for the second quarter of 2023.</w:t>
      </w:r>
    </w:p>
    <w:p>
      <w:pPr>
        <w:spacing w:after="0" w:line="130"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Annualized return on average stockholders’ equity for the quarter ended June 30, 2024 was 12.63% compared to 9.13% for the second quarter of 2023.</w:t>
      </w:r>
    </w:p>
    <w:p>
      <w:pPr>
        <w:spacing w:after="0" w:line="140"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The efficiency ratio for the quarter ended June 30, 2024 was 56.33% compared to 65.25% for the second quarter of 2023.</w:t>
      </w:r>
    </w:p>
    <w:p>
      <w:pPr>
        <w:spacing w:after="0" w:line="130" w:lineRule="exact"/>
        <w:rPr>
          <w:sz w:val="20"/>
          <w:szCs w:val="20"/>
          <w:color w:val="auto"/>
        </w:rPr>
      </w:pPr>
    </w:p>
    <w:p>
      <w:pPr>
        <w:ind w:left="920" w:hanging="257"/>
        <w:spacing w:after="0"/>
        <w:tabs>
          <w:tab w:leader="none" w:pos="92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for the quarter ended June 30, 2024 was 2.94% comparedto 2.73% for the second quarter of 2023.</w:t>
      </w:r>
    </w:p>
    <w:p>
      <w:pPr>
        <w:spacing w:after="0" w:line="140" w:lineRule="exact"/>
        <w:rPr>
          <w:rFonts w:ascii="Times New Roman" w:cs="Times New Roman" w:eastAsia="Times New Roman" w:hAnsi="Times New Roman"/>
          <w:sz w:val="11"/>
          <w:szCs w:val="11"/>
          <w:color w:val="auto"/>
        </w:rPr>
      </w:pPr>
    </w:p>
    <w:p>
      <w:pPr>
        <w:ind w:left="920" w:right="679" w:hanging="257"/>
        <w:spacing w:after="0" w:line="283" w:lineRule="auto"/>
        <w:tabs>
          <w:tab w:leader="none" w:pos="92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income before provision for credit losses was $17.3 million for the quarter ended June 30, 2024, an increase of $3.1 million or 22.1% compared to the second quarter of 2023.</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Balance Sheet</w:t>
      </w:r>
    </w:p>
    <w:p>
      <w:pPr>
        <w:spacing w:after="0" w:line="132"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Total assets were $2.5 billion at June 30, 2024, representing an increase of $232.4 million or 10.4% from June 30, 2023.</w:t>
      </w:r>
    </w:p>
    <w:p>
      <w:pPr>
        <w:spacing w:after="0" w:line="140"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Total loans were $1.9 billion at June 30, 2024, representing an increase of $273.3 million or 17.1% from June 30, 2023.</w:t>
      </w:r>
    </w:p>
    <w:p>
      <w:pPr>
        <w:spacing w:after="0" w:line="130"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Total deposits were $2.1 billion at June 30, 2024, representing an increase of $135.4 million or 7.0% from June 30, 2023.</w:t>
      </w:r>
    </w:p>
    <w:p>
      <w:pPr>
        <w:spacing w:after="0" w:line="140" w:lineRule="exact"/>
        <w:rPr>
          <w:sz w:val="20"/>
          <w:szCs w:val="20"/>
          <w:color w:val="auto"/>
        </w:rPr>
      </w:pPr>
    </w:p>
    <w:p>
      <w:pPr>
        <w:ind w:left="920" w:right="679" w:hanging="257"/>
        <w:spacing w:after="0" w:line="283" w:lineRule="auto"/>
        <w:tabs>
          <w:tab w:leader="none" w:pos="9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stockholders’ equity was $201.0 million at June 30, 2024, representing an increase of $17.3 million or 9.4% from June 30, 2023. Total stockholders’ equity included accumulated comprehensive loss of $44.7 million at June 30, 2024 compared to accumulated comprehensive loss of $46.3 million at June 30, 2023.</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Asset Quality</w:t>
      </w:r>
    </w:p>
    <w:p>
      <w:pPr>
        <w:spacing w:after="0" w:line="132"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The allowance for credit losses (“ACL”) increased by $3.4 million to $22.2 million at June 30, 2024 from $18.8 million at June 30, 2023.</w:t>
      </w:r>
    </w:p>
    <w:p>
      <w:pPr>
        <w:spacing w:after="0" w:line="140" w:lineRule="exact"/>
        <w:rPr>
          <w:sz w:val="20"/>
          <w:szCs w:val="20"/>
          <w:color w:val="auto"/>
        </w:rPr>
      </w:pPr>
    </w:p>
    <w:p>
      <w:pPr>
        <w:ind w:left="920" w:hanging="257"/>
        <w:spacing w:after="0"/>
        <w:tabs>
          <w:tab w:leader="none" w:pos="92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ACL represented 1.19% of total loans at June 30, 2024 and 1.18% at June 30, 2023.</w:t>
      </w:r>
    </w:p>
    <w:p>
      <w:pPr>
        <w:spacing w:after="0" w:line="140" w:lineRule="exact"/>
        <w:rPr>
          <w:rFonts w:ascii="Times New Roman" w:cs="Times New Roman" w:eastAsia="Times New Roman" w:hAnsi="Times New Roman"/>
          <w:sz w:val="11"/>
          <w:szCs w:val="11"/>
          <w:color w:val="auto"/>
        </w:rPr>
      </w:pPr>
    </w:p>
    <w:p>
      <w:pPr>
        <w:ind w:left="920" w:hanging="257"/>
        <w:spacing w:after="0"/>
        <w:tabs>
          <w:tab w:leader="none" w:pos="92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Non-performing loans to total loans was 0.04% at June 30, 2024 and 0.03% at June 30, 2023.</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Non-interest Income and Non-interest Expense</w:t>
      </w:r>
    </w:p>
    <w:p>
      <w:pPr>
        <w:spacing w:after="0" w:line="142" w:lineRule="exact"/>
        <w:rPr>
          <w:sz w:val="20"/>
          <w:szCs w:val="20"/>
          <w:color w:val="auto"/>
        </w:rPr>
      </w:pPr>
    </w:p>
    <w:p>
      <w:pPr>
        <w:ind w:left="920" w:right="659" w:hanging="257"/>
        <w:spacing w:after="0" w:line="283" w:lineRule="auto"/>
        <w:tabs>
          <w:tab w:leader="none" w:pos="9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Non-interest income was $3.2 million for the three months ended June 30, 2024, an increase of $1.4 million or 73.9% compared to $1.8 million for the same period in 2023.</w:t>
      </w:r>
    </w:p>
    <w:p>
      <w:pPr>
        <w:spacing w:after="0" w:line="85" w:lineRule="exact"/>
        <w:rPr>
          <w:rFonts w:ascii="Times New Roman" w:cs="Times New Roman" w:eastAsia="Times New Roman" w:hAnsi="Times New Roman"/>
          <w:sz w:val="11"/>
          <w:szCs w:val="11"/>
          <w:color w:val="auto"/>
        </w:rPr>
      </w:pPr>
    </w:p>
    <w:p>
      <w:pPr>
        <w:ind w:left="920" w:right="679" w:hanging="257"/>
        <w:spacing w:after="0" w:line="303" w:lineRule="auto"/>
        <w:tabs>
          <w:tab w:leader="none" w:pos="9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Non-interest expense was $11. 6 million for the three months ended June 30, 2024, an increase of $1.1 million or 10.6% compared to $10.5 million for the same period in 2023.</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Capital</w:t>
      </w:r>
    </w:p>
    <w:p>
      <w:pPr>
        <w:spacing w:after="0" w:line="142" w:lineRule="exact"/>
        <w:rPr>
          <w:sz w:val="20"/>
          <w:szCs w:val="20"/>
          <w:color w:val="auto"/>
        </w:rPr>
      </w:pPr>
    </w:p>
    <w:p>
      <w:pPr>
        <w:ind w:left="920" w:hanging="257"/>
        <w:spacing w:after="0"/>
        <w:tabs>
          <w:tab w:leader="none" w:pos="92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July 22, 2024, the Company’s Board of Directors declared a cash dividend of $0.05 per share of the Company’s Class A common stock. The dividend will be</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uto"/>
        </w:rPr>
        <w:t>paid on September 5, 2024 to shareholders of record at the close of business on August 15, 2024.</w:t>
      </w:r>
    </w:p>
    <w:p>
      <w:pPr>
        <w:spacing w:after="0" w:line="118"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As of June 30, 2024, total risk-based capital ratios for the Company and the Bank were 13.12% and 13.01%, respectively.</w:t>
      </w:r>
    </w:p>
    <w:p>
      <w:pPr>
        <w:spacing w:after="0" w:line="140" w:lineRule="exact"/>
        <w:rPr>
          <w:sz w:val="20"/>
          <w:szCs w:val="20"/>
          <w:color w:val="auto"/>
        </w:rPr>
      </w:pPr>
    </w:p>
    <w:p>
      <w:pPr>
        <w:ind w:left="920" w:right="659" w:hanging="257"/>
        <w:spacing w:after="0" w:line="283" w:lineRule="auto"/>
        <w:tabs>
          <w:tab w:leader="none" w:pos="9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Tangible book value per common share (a non-GAAPmeasure) was $10.24 at June30, 2024, representing an increaseof $0.84 or 8.9% increase from$9.40 at June 30, 2023.</w:t>
      </w:r>
    </w:p>
    <w:p>
      <w:pPr>
        <w:spacing w:after="0" w:line="96" w:lineRule="exact"/>
        <w:rPr>
          <w:rFonts w:ascii="Times New Roman" w:cs="Times New Roman" w:eastAsia="Times New Roman" w:hAnsi="Times New Roman"/>
          <w:sz w:val="11"/>
          <w:szCs w:val="11"/>
          <w:color w:val="auto"/>
        </w:rPr>
      </w:pPr>
    </w:p>
    <w:p>
      <w:pPr>
        <w:jc w:val="both"/>
        <w:ind w:left="920" w:right="659" w:hanging="257"/>
        <w:spacing w:after="0" w:line="263" w:lineRule="auto"/>
        <w:tabs>
          <w:tab w:leader="none" w:pos="9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quarter the Company repurchased 25,000 shares of Class A common stock at a weighted average cost per share of $12.04. The aggregate purchase price for these transactions was approximately $301.0 thousand, including transaction costs. As of June 30, 2024, 547,980 shares remained authorized for repurchase under the Company’s share repurchase programs.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28" w:right="1440"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Conference Call and Webcast</w:t>
      </w:r>
    </w:p>
    <w:p>
      <w:pPr>
        <w:spacing w:after="0" w:line="142" w:lineRule="exact"/>
        <w:rPr>
          <w:sz w:val="20"/>
          <w:szCs w:val="20"/>
          <w:color w:val="auto"/>
        </w:rPr>
      </w:pPr>
    </w:p>
    <w:p>
      <w:pPr>
        <w:jc w:val="both"/>
        <w:ind w:left="660" w:right="659"/>
        <w:spacing w:after="0" w:line="283" w:lineRule="auto"/>
        <w:rPr>
          <w:sz w:val="20"/>
          <w:szCs w:val="20"/>
          <w:color w:val="auto"/>
        </w:rPr>
      </w:pPr>
      <w:r>
        <w:rPr>
          <w:rFonts w:ascii="Times New Roman" w:cs="Times New Roman" w:eastAsia="Times New Roman" w:hAnsi="Times New Roman"/>
          <w:sz w:val="11"/>
          <w:szCs w:val="11"/>
          <w:color w:val="auto"/>
        </w:rPr>
        <w:t>The Company will host a conference call on Friday, July 26, 2024, at 11:00 a.m. Eastern Time to discuss the Company’s unaudited financial results for the quarter ended June 30, 2024. To access the conference call, dial (833) 816-1416 (U.S. toll-free) and ask to join the USCB Financial Holdings Call.</w:t>
      </w:r>
    </w:p>
    <w:p>
      <w:pPr>
        <w:spacing w:after="0" w:line="96" w:lineRule="exact"/>
        <w:rPr>
          <w:sz w:val="20"/>
          <w:szCs w:val="20"/>
          <w:color w:val="auto"/>
        </w:rPr>
      </w:pPr>
    </w:p>
    <w:p>
      <w:pPr>
        <w:jc w:val="both"/>
        <w:ind w:left="660" w:right="679"/>
        <w:spacing w:after="0" w:line="283" w:lineRule="auto"/>
        <w:rPr>
          <w:sz w:val="20"/>
          <w:szCs w:val="20"/>
          <w:color w:val="auto"/>
        </w:rPr>
      </w:pPr>
      <w:r>
        <w:rPr>
          <w:rFonts w:ascii="Times New Roman" w:cs="Times New Roman" w:eastAsia="Times New Roman" w:hAnsi="Times New Roman"/>
          <w:sz w:val="11"/>
          <w:szCs w:val="11"/>
          <w:color w:val="auto"/>
        </w:rPr>
        <w:t>Additionally, interested parties can listen to a live webcast of the call in the “Investor Relations” section of the Company’s website at www.uscentury.com . An archived version of the webcast will be available in the same location shortly after the live call has ended.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About USCB Financial Holdings, Inc.</w:t>
      </w:r>
    </w:p>
    <w:p>
      <w:pPr>
        <w:spacing w:after="0" w:line="132" w:lineRule="exact"/>
        <w:rPr>
          <w:sz w:val="20"/>
          <w:szCs w:val="20"/>
          <w:color w:val="auto"/>
        </w:rPr>
      </w:pPr>
    </w:p>
    <w:p>
      <w:pPr>
        <w:jc w:val="both"/>
        <w:ind w:left="660" w:right="679"/>
        <w:spacing w:after="0" w:line="258" w:lineRule="auto"/>
        <w:rPr>
          <w:sz w:val="20"/>
          <w:szCs w:val="20"/>
          <w:color w:val="auto"/>
        </w:rPr>
      </w:pPr>
      <w:r>
        <w:rPr>
          <w:rFonts w:ascii="Times New Roman" w:cs="Times New Roman" w:eastAsia="Times New Roman" w:hAnsi="Times New Roman"/>
          <w:sz w:val="11"/>
          <w:szCs w:val="11"/>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about us or to find a banking center near you, please call (305) 715-5200 or visit www.uscentury.com.</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Forward-Looking Statements</w:t>
      </w:r>
    </w:p>
    <w:p>
      <w:pPr>
        <w:spacing w:after="0" w:line="132" w:lineRule="exact"/>
        <w:rPr>
          <w:sz w:val="20"/>
          <w:szCs w:val="20"/>
          <w:color w:val="auto"/>
        </w:rPr>
      </w:pPr>
    </w:p>
    <w:p>
      <w:pPr>
        <w:jc w:val="both"/>
        <w:ind w:left="660" w:right="659"/>
        <w:spacing w:after="0" w:line="256" w:lineRule="auto"/>
        <w:rPr>
          <w:sz w:val="20"/>
          <w:szCs w:val="20"/>
          <w:color w:val="auto"/>
        </w:rPr>
      </w:pPr>
      <w:r>
        <w:rPr>
          <w:rFonts w:ascii="Times New Roman" w:cs="Times New Roman" w:eastAsia="Times New Roman" w:hAnsi="Times New Roman"/>
          <w:sz w:val="11"/>
          <w:szCs w:val="11"/>
          <w:color w:val="auto"/>
        </w:rPr>
        <w:t>This earnings release may contain statements that are not historical in nature and are intended to be, and arehereby identified as, forward-lookingstatements for purposes of the safe harbor provided by Section 21E of the Securities Exchange Act of 1934, as amended. Forward-looking statements are those that are not historical facts. The words “may,” “will,” “anticipate,” “could,” “should,” “would,” “believe,” “contemplate,” “expect,” “aim,” “plan,” “estimate,” “continue,” and “intend,”, the negative of these terms,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tothe anticipated effectson our resultsof operations andfinancial condition fromexpected or potentialdevelopments or events,or business andgrowth strategies, including anticipated internal growth and balance sheet restructuring.</w:t>
      </w:r>
    </w:p>
    <w:p>
      <w:pPr>
        <w:spacing w:after="0" w:line="101" w:lineRule="exact"/>
        <w:rPr>
          <w:sz w:val="20"/>
          <w:szCs w:val="20"/>
          <w:color w:val="auto"/>
        </w:rPr>
      </w:pPr>
    </w:p>
    <w:p>
      <w:pPr>
        <w:jc w:val="both"/>
        <w:ind w:left="660" w:right="679"/>
        <w:spacing w:after="0" w:line="303" w:lineRule="auto"/>
        <w:rPr>
          <w:sz w:val="20"/>
          <w:szCs w:val="20"/>
          <w:color w:val="auto"/>
        </w:rPr>
      </w:pPr>
      <w:r>
        <w:rPr>
          <w:rFonts w:ascii="Times New Roman" w:cs="Times New Roman" w:eastAsia="Times New Roman" w:hAnsi="Times New Roman"/>
          <w:sz w:val="11"/>
          <w:szCs w:val="11"/>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75" w:lineRule="exact"/>
        <w:rPr>
          <w:sz w:val="20"/>
          <w:szCs w:val="20"/>
          <w:color w:val="auto"/>
        </w:rPr>
      </w:pPr>
    </w:p>
    <w:p>
      <w:pPr>
        <w:ind w:left="920" w:hanging="257"/>
        <w:spacing w:after="0"/>
        <w:tabs>
          <w:tab w:leader="none" w:pos="92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strength of the United States economy in general and the strengthof the local economies in which we conduct operations;</w:t>
      </w:r>
    </w:p>
    <w:p>
      <w:pPr>
        <w:sectPr>
          <w:pgSz w:w="11900" w:h="16838" w:orient="portrait"/>
          <w:cols w:equalWidth="0" w:num="1">
            <w:col w:w="9019"/>
          </w:cols>
          <w:pgMar w:left="1440" w:top="856" w:right="1440" w:bottom="1440" w:gutter="0" w:footer="0" w:header="0"/>
        </w:sectPr>
      </w:pP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our ability to successfully manage interest rate risk, credit risk, liquidity risk, and other risks inherent to our industry;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accuracy ofour financial statement estimates and assumptions, including the estimatesused for our credit loss reserve and deferred tax asset valuation allowance;</w:t>
      </w:r>
    </w:p>
    <w:p>
      <w:pPr>
        <w:spacing w:after="0" w:line="3" w:lineRule="exact"/>
        <w:rPr>
          <w:sz w:val="20"/>
          <w:szCs w:val="20"/>
          <w:color w:val="auto"/>
        </w:rPr>
      </w:pPr>
    </w:p>
    <w:p>
      <w:pPr>
        <w:sectPr>
          <w:pgSz w:w="11900" w:h="16838" w:orient="portrait"/>
          <w:cols w:equalWidth="0" w:num="2">
            <w:col w:w="700" w:space="220"/>
            <w:col w:w="8099"/>
          </w:cols>
          <w:pgMar w:left="1440" w:top="856" w:right="1440" w:bottom="1440" w:gutter="0" w:footer="0" w:header="0"/>
          <w:type w:val="continuous"/>
        </w:sectPr>
      </w:pPr>
    </w:p>
    <w:p>
      <w:pPr>
        <w:ind w:left="920" w:hanging="257"/>
        <w:spacing w:after="0"/>
        <w:tabs>
          <w:tab w:leader="none" w:pos="9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efficiency and effectiveness of our internal control procedures and processes;</w:t>
      </w:r>
    </w:p>
    <w:p>
      <w:pPr>
        <w:ind w:left="660" w:right="1519"/>
        <w:spacing w:after="0" w:line="253" w:lineRule="auto"/>
        <w:rPr>
          <w:sz w:val="20"/>
          <w:szCs w:val="20"/>
          <w:color w:val="auto"/>
        </w:rPr>
      </w:pPr>
      <w:r>
        <w:rPr>
          <w:rFonts w:ascii="Times New Roman" w:cs="Times New Roman" w:eastAsia="Times New Roman" w:hAnsi="Times New Roman"/>
          <w:sz w:val="11"/>
          <w:szCs w:val="11"/>
          <w:color w:val="auto"/>
        </w:rPr>
        <w:t>• our ability to comply with the extensive laws and regulations to which we are subject, including the laws for each jurisdiction where we operate; • adverse changes or conditions in capital and financial markets, including actual or potential stresses in the banking industry;</w:t>
      </w:r>
    </w:p>
    <w:p>
      <w:pPr>
        <w:ind w:left="920" w:hanging="257"/>
        <w:spacing w:after="0"/>
        <w:tabs>
          <w:tab w:leader="none" w:pos="9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deposit attrition and the level of our uninsured deposits;</w:t>
      </w:r>
    </w:p>
    <w:p>
      <w:pPr>
        <w:spacing w:after="0" w:line="1" w:lineRule="exact"/>
        <w:rPr>
          <w:rFonts w:ascii="Times New Roman" w:cs="Times New Roman" w:eastAsia="Times New Roman" w:hAnsi="Times New Roman"/>
          <w:sz w:val="11"/>
          <w:szCs w:val="11"/>
          <w:color w:val="auto"/>
        </w:rPr>
      </w:pPr>
    </w:p>
    <w:p>
      <w:pPr>
        <w:ind w:left="920" w:right="659" w:hanging="257"/>
        <w:spacing w:after="0" w:line="250" w:lineRule="auto"/>
        <w:tabs>
          <w:tab w:leader="none" w:pos="9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legislative or regulatory changes and changes in accounting principles, policies, practices or guidelines, including the on-going effects of the implementation of the Current Expected Credit Losses (“CECL”) standard;</w:t>
      </w:r>
    </w:p>
    <w:p>
      <w:pPr>
        <w:ind w:left="920" w:hanging="257"/>
        <w:spacing w:after="0"/>
        <w:tabs>
          <w:tab w:leader="none" w:pos="9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lack of a significantly diversified loan portfolio and the concentration in the South Florida market, including the risks of geographic, depositor, and industry</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uto"/>
        </w:rPr>
        <w:t>concentrations, including our concentration in loans secured by real estate, in particular, commercial real estate;</w:t>
      </w:r>
    </w:p>
    <w:p>
      <w:pPr>
        <w:spacing w:after="0" w:line="2" w:lineRule="exact"/>
        <w:rPr>
          <w:sz w:val="20"/>
          <w:szCs w:val="20"/>
          <w:color w:val="auto"/>
        </w:rPr>
      </w:pPr>
    </w:p>
    <w:p>
      <w:pPr>
        <w:ind w:left="920" w:hanging="257"/>
        <w:spacing w:after="0"/>
        <w:tabs>
          <w:tab w:leader="none" w:pos="9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effects of climate change;</w:t>
      </w:r>
    </w:p>
    <w:p>
      <w:pPr>
        <w:spacing w:after="0" w:line="1" w:lineRule="exact"/>
        <w:rPr>
          <w:rFonts w:ascii="Times New Roman" w:cs="Times New Roman" w:eastAsia="Times New Roman" w:hAnsi="Times New Roman"/>
          <w:sz w:val="11"/>
          <w:szCs w:val="11"/>
          <w:color w:val="auto"/>
        </w:rPr>
      </w:pPr>
    </w:p>
    <w:p>
      <w:pPr>
        <w:ind w:left="920" w:hanging="257"/>
        <w:spacing w:after="0"/>
        <w:tabs>
          <w:tab w:leader="none" w:pos="9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concentration of ownership of our common stock;</w:t>
      </w:r>
    </w:p>
    <w:p>
      <w:pPr>
        <w:spacing w:after="0" w:line="9" w:lineRule="exact"/>
        <w:rPr>
          <w:rFonts w:ascii="Times New Roman" w:cs="Times New Roman" w:eastAsia="Times New Roman" w:hAnsi="Times New Roman"/>
          <w:sz w:val="11"/>
          <w:szCs w:val="11"/>
          <w:color w:val="auto"/>
        </w:rPr>
      </w:pPr>
    </w:p>
    <w:p>
      <w:pPr>
        <w:ind w:left="920" w:hanging="257"/>
        <w:spacing w:after="0"/>
        <w:tabs>
          <w:tab w:leader="none" w:pos="9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fluctuations in the price of our common stock;</w:t>
      </w:r>
    </w:p>
    <w:p>
      <w:pPr>
        <w:spacing w:after="0" w:line="4" w:lineRule="exact"/>
        <w:rPr>
          <w:rFonts w:ascii="Times New Roman" w:cs="Times New Roman" w:eastAsia="Times New Roman" w:hAnsi="Times New Roman"/>
          <w:sz w:val="11"/>
          <w:szCs w:val="11"/>
          <w:color w:val="auto"/>
        </w:rPr>
      </w:pPr>
    </w:p>
    <w:p>
      <w:pPr>
        <w:ind w:left="920" w:right="679" w:hanging="257"/>
        <w:spacing w:after="0" w:line="250" w:lineRule="auto"/>
        <w:tabs>
          <w:tab w:leader="none" w:pos="9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ability to fund or access the capital markets at attractive rates and terms and manage our growth, both organic growth as well as growth through other means, such as future acquisitions;</w:t>
      </w:r>
    </w:p>
    <w:p>
      <w:pPr>
        <w:ind w:left="920" w:hanging="257"/>
        <w:spacing w:after="0"/>
        <w:tabs>
          <w:tab w:leader="none" w:pos="9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inflation, interest rate, unemployment rate, and market and monetary fluctuations;</w:t>
      </w:r>
    </w:p>
    <w:p>
      <w:pPr>
        <w:spacing w:after="0" w:line="4" w:lineRule="exact"/>
        <w:rPr>
          <w:rFonts w:ascii="Times New Roman" w:cs="Times New Roman" w:eastAsia="Times New Roman" w:hAnsi="Times New Roman"/>
          <w:sz w:val="11"/>
          <w:szCs w:val="11"/>
          <w:color w:val="auto"/>
        </w:rPr>
      </w:pPr>
    </w:p>
    <w:p>
      <w:pPr>
        <w:ind w:left="920" w:hanging="257"/>
        <w:spacing w:after="0"/>
        <w:tabs>
          <w:tab w:leader="none" w:pos="9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impacts of international hostilities and geopolitical events;</w:t>
      </w:r>
    </w:p>
    <w:p>
      <w:pPr>
        <w:spacing w:after="0" w:line="2"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increased competition and its effect on the pricing of our products and services as well as our interest rate spread and net interest margin;</w:t>
      </w:r>
    </w:p>
    <w:p>
      <w:pPr>
        <w:spacing w:after="0" w:line="2" w:lineRule="exact"/>
        <w:rPr>
          <w:sz w:val="20"/>
          <w:szCs w:val="20"/>
          <w:color w:val="auto"/>
        </w:rPr>
      </w:pPr>
    </w:p>
    <w:p>
      <w:pPr>
        <w:ind w:left="920" w:hanging="257"/>
        <w:spacing w:after="0"/>
        <w:tabs>
          <w:tab w:leader="none" w:pos="9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loss of key employees;</w:t>
      </w:r>
    </w:p>
    <w:p>
      <w:pPr>
        <w:spacing w:after="0" w:line="9" w:lineRule="exact"/>
        <w:rPr>
          <w:rFonts w:ascii="Times New Roman" w:cs="Times New Roman" w:eastAsia="Times New Roman" w:hAnsi="Times New Roman"/>
          <w:sz w:val="11"/>
          <w:szCs w:val="11"/>
          <w:color w:val="auto"/>
        </w:rPr>
      </w:pPr>
    </w:p>
    <w:p>
      <w:pPr>
        <w:ind w:left="920" w:right="679" w:hanging="257"/>
        <w:spacing w:after="0" w:line="245" w:lineRule="auto"/>
        <w:tabs>
          <w:tab w:leader="none" w:pos="9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effectiveness of our risk management strategies, including operational risks, including, but not limited to, client, employee, or third-party fraud and security breaches; and</w:t>
      </w:r>
    </w:p>
    <w:p>
      <w:pPr>
        <w:ind w:left="920" w:hanging="257"/>
        <w:spacing w:after="0"/>
        <w:tabs>
          <w:tab w:leader="none" w:pos="9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risks described in this earnings release and other filings we make with the Securities and Exchange Commission (“SEC”).</w:t>
      </w:r>
    </w:p>
    <w:p>
      <w:pPr>
        <w:spacing w:after="0" w:line="128" w:lineRule="exact"/>
        <w:rPr>
          <w:sz w:val="20"/>
          <w:szCs w:val="20"/>
          <w:color w:val="auto"/>
        </w:rPr>
      </w:pPr>
    </w:p>
    <w:p>
      <w:pPr>
        <w:jc w:val="both"/>
        <w:ind w:left="660" w:right="659"/>
        <w:spacing w:after="0" w:line="258" w:lineRule="auto"/>
        <w:rPr>
          <w:sz w:val="20"/>
          <w:szCs w:val="20"/>
          <w:color w:val="auto"/>
        </w:rPr>
      </w:pPr>
      <w:r>
        <w:rPr>
          <w:rFonts w:ascii="Times New Roman" w:cs="Times New Roman" w:eastAsia="Times New Roman" w:hAnsi="Times New Roman"/>
          <w:sz w:val="11"/>
          <w:szCs w:val="11"/>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earnings release are made only as of the date hereof, and we undertake no obligation to update or revise any forward-looking statement to reflect events or circumstances after the date on which the statements are made or to reflect the occurrence of unanticipated events, unless required to do so under the federal securities laws. You should also review the risk factors described in the reports the Company filed or will file with the SEC.</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Non-GAAP Financial Measures</w:t>
      </w:r>
    </w:p>
    <w:p>
      <w:pPr>
        <w:spacing w:after="0" w:line="142" w:lineRule="exact"/>
        <w:rPr>
          <w:sz w:val="20"/>
          <w:szCs w:val="20"/>
          <w:color w:val="auto"/>
        </w:rPr>
      </w:pPr>
    </w:p>
    <w:p>
      <w:pPr>
        <w:jc w:val="both"/>
        <w:ind w:left="660" w:right="659"/>
        <w:spacing w:after="0" w:line="256" w:lineRule="auto"/>
        <w:rPr>
          <w:sz w:val="20"/>
          <w:szCs w:val="20"/>
          <w:color w:val="auto"/>
        </w:rPr>
      </w:pPr>
      <w:r>
        <w:rPr>
          <w:rFonts w:ascii="Times New Roman" w:cs="Times New Roman" w:eastAsia="Times New Roman" w:hAnsi="Times New Roman"/>
          <w:sz w:val="11"/>
          <w:szCs w:val="11"/>
          <w:color w:val="auto"/>
        </w:rPr>
        <w:t>This earnings release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operations and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Reconciliations of these non-GAAP measures to the most directly comparable GAAP measures can be found in the ‘Non-GAAP Reconciliation Tables’ included in the exhibits to this earnings release.</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All numbers included in this press release are unaudited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856" w:right="1440" w:bottom="1440" w:gutter="0" w:footer="0" w:header="0"/>
          <w:type w:val="continuous"/>
        </w:sectPr>
      </w:pPr>
    </w:p>
    <w:bookmarkStart w:id="5" w:name="page6"/>
    <w:bookmarkEnd w:id="5"/>
    <w:p>
      <w:pPr>
        <w:ind w:left="66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Contacts: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Investor Relations</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0000FF"/>
        </w:rPr>
        <w:t>InvestorRelations@uscentury.com</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Media Relations</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Martha Guerra-Kattou</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0000FF"/>
        </w:rPr>
        <w:t>MGuerra@uscentury.com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jc w:val="center"/>
        <w:ind w:right="19"/>
        <w:spacing w:after="0"/>
        <w:rPr>
          <w:sz w:val="20"/>
          <w:szCs w:val="20"/>
          <w:color w:val="auto"/>
        </w:rPr>
      </w:pPr>
      <w:r>
        <w:rPr>
          <w:rFonts w:ascii="Times New Roman" w:cs="Times New Roman" w:eastAsia="Times New Roman" w:hAnsi="Times New Roman"/>
          <w:sz w:val="14"/>
          <w:szCs w:val="14"/>
          <w:color w:val="auto"/>
        </w:rPr>
        <w:t>(Dollars in thousands, except per share data)</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5"/>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gridSpan w:val="6"/>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31"/>
        </w:trPr>
        <w:tc>
          <w:tcPr>
            <w:tcW w:w="380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Interest income: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including fees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28,017</w:t>
            </w:r>
          </w:p>
        </w:tc>
        <w:tc>
          <w:tcPr>
            <w:tcW w:w="300" w:type="dxa"/>
            <w:vAlign w:val="bottom"/>
            <w:gridSpan w:val="3"/>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20,847</w:t>
            </w:r>
          </w:p>
        </w:tc>
        <w:tc>
          <w:tcPr>
            <w:tcW w:w="26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54,660</w:t>
            </w:r>
          </w:p>
        </w:tc>
        <w:tc>
          <w:tcPr>
            <w:tcW w:w="30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1,531</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32,617</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24,280</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63,504</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46,659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Savings and money market accounts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10,071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20,465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1,622</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3,294</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expense</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15,306</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10,107</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31,035</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16,489</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17,311</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14,173</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32,469</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30,170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8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1,196</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8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31,273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Non-interest income: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60"/>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803</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1,549</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Non-interest expense: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13,663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1,723</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1,908</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3,741</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3,348</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11,560</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10,452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22,734</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8,176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14,214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13,219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1,967</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1,333</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3,393</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6,209</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10,821</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10,005</w:t>
            </w:r>
          </w:p>
        </w:tc>
        <w:tc>
          <w:tcPr>
            <w:tcW w:w="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0.32</w:t>
            </w:r>
          </w:p>
        </w:tc>
        <w:tc>
          <w:tcPr>
            <w:tcW w:w="60" w:type="dxa"/>
            <w:vAlign w:val="bottom"/>
            <w:gridSpan w:val="2"/>
            <w:shd w:val="clear" w:color="auto" w:fill="CCEEFF"/>
          </w:tcPr>
          <w:p>
            <w:pPr>
              <w:spacing w:after="0"/>
              <w:rPr>
                <w:sz w:val="13"/>
                <w:szCs w:val="13"/>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60" w:type="dxa"/>
            <w:vAlign w:val="bottom"/>
            <w:gridSpan w:val="2"/>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0.55</w:t>
            </w:r>
          </w:p>
        </w:tc>
        <w:tc>
          <w:tcPr>
            <w:tcW w:w="80" w:type="dxa"/>
            <w:vAlign w:val="bottom"/>
            <w:gridSpan w:val="2"/>
            <w:shd w:val="clear" w:color="auto" w:fill="CCEEFF"/>
          </w:tcPr>
          <w:p>
            <w:pPr>
              <w:spacing w:after="0"/>
              <w:rPr>
                <w:sz w:val="13"/>
                <w:szCs w:val="13"/>
                <w:color w:val="auto"/>
              </w:rPr>
            </w:pPr>
          </w:p>
        </w:tc>
        <w:tc>
          <w:tcPr>
            <w:tcW w:w="2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0.31</w:t>
            </w:r>
          </w:p>
        </w:tc>
        <w:tc>
          <w:tcPr>
            <w:tcW w:w="300" w:type="dxa"/>
            <w:vAlign w:val="bottom"/>
            <w:gridSpan w:val="3"/>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6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0.55</w:t>
            </w:r>
          </w:p>
        </w:tc>
        <w:tc>
          <w:tcPr>
            <w:tcW w:w="300" w:type="dxa"/>
            <w:vAlign w:val="bottom"/>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Cash dividends declared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60" w:type="dxa"/>
            <w:vAlign w:val="bottom"/>
            <w:gridSpan w:val="2"/>
            <w:shd w:val="clear" w:color="auto" w:fill="CCEEFF"/>
          </w:tcPr>
          <w:p>
            <w:pPr>
              <w:spacing w:after="0"/>
              <w:rPr>
                <w:sz w:val="13"/>
                <w:szCs w:val="13"/>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gridSpan w:val="2"/>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80" w:type="dxa"/>
            <w:vAlign w:val="bottom"/>
            <w:gridSpan w:val="2"/>
            <w:shd w:val="clear" w:color="auto" w:fill="CCEEFF"/>
          </w:tcPr>
          <w:p>
            <w:pPr>
              <w:spacing w:after="0"/>
              <w:rPr>
                <w:sz w:val="13"/>
                <w:szCs w:val="13"/>
                <w:color w:val="auto"/>
              </w:rPr>
            </w:pPr>
          </w:p>
        </w:tc>
        <w:tc>
          <w:tcPr>
            <w:tcW w:w="2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Weighted average shares outstanding: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Common shares, basic</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19,650,681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19,590,359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19,642,006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19,722,152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Common shares, diluted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19,717,167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19,639,682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19,707,561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19,790,756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72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SELECTED FINANCIAL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10"/>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6/30/2024</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3/31/2024</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12/31/2023</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9/30/2023</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Income statement data: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17,311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15,158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income</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803</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746</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1,532</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240" w:type="dxa"/>
            <w:vAlign w:val="bottom"/>
            <w:tcBorders>
              <w:top w:val="single" w:sz="8" w:color="CCEEFF"/>
            </w:tcBorders>
            <w:shd w:val="clear" w:color="auto" w:fill="CCEEFF"/>
          </w:tcPr>
          <w:p>
            <w:pPr>
              <w:ind w:left="200"/>
              <w:spacing w:after="0" w:line="120" w:lineRule="exact"/>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3,211</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2,464</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1,326</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2,161</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1,846</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1,723</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1,686</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11,560</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11,174</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10,719</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10,461</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8,176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1,967</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6,209</w:t>
            </w:r>
          </w:p>
        </w:tc>
        <w:tc>
          <w:tcPr>
            <w:tcW w:w="60" w:type="dxa"/>
            <w:vAlign w:val="bottom"/>
            <w:gridSpan w:val="2"/>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80" w:type="dxa"/>
            <w:vAlign w:val="bottom"/>
            <w:gridSpan w:val="2"/>
            <w:shd w:val="clear" w:color="auto" w:fill="CCEEFF"/>
          </w:tcPr>
          <w:p>
            <w:pPr>
              <w:spacing w:after="0"/>
              <w:rPr>
                <w:sz w:val="11"/>
                <w:szCs w:val="1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 w:type="dxa"/>
            <w:vAlign w:val="bottom"/>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3,819</w:t>
            </w:r>
          </w:p>
        </w:tc>
        <w:tc>
          <w:tcPr>
            <w:tcW w:w="60" w:type="dxa"/>
            <w:vAlign w:val="bottom"/>
            <w:gridSpan w:val="2"/>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0.32</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Cash dividends declared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sheet data (at period-end):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77,261</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126,546</w:t>
            </w:r>
          </w:p>
        </w:tc>
        <w:tc>
          <w:tcPr>
            <w:tcW w:w="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41,062</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33,435</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87,280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236,444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259,992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229,329</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218,609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169,606</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173,038</w:t>
            </w:r>
          </w:p>
        </w:tc>
        <w:tc>
          <w:tcPr>
            <w:tcW w:w="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174,974</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197,311</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220,956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406,050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433,030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404,303</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415,920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1"/>
                <w:szCs w:val="11"/>
                <w:color w:val="auto"/>
              </w:rPr>
              <w:t xml:space="preserve">Loans held for investment </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1,869,249</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1,821,196</w:t>
            </w:r>
          </w:p>
        </w:tc>
        <w:tc>
          <w:tcPr>
            <w:tcW w:w="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1,780,827</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1,676,520</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1,595,959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(22,230)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(21,454)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(21,084)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(18,815)</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2,458,270</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2,489,142</w:t>
            </w:r>
          </w:p>
        </w:tc>
        <w:tc>
          <w:tcPr>
            <w:tcW w:w="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2,339,093</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2,244,602</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2,225,914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579,243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576,626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552,762</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573,546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1,477,459</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1,526,168</w:t>
            </w:r>
          </w:p>
        </w:tc>
        <w:tc>
          <w:tcPr>
            <w:tcW w:w="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1,384,377</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1,347,376</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1,348,941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2,056,702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2,102,794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1,937,139</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1,920,922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1,921,301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162,000</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162,000</w:t>
            </w:r>
          </w:p>
        </w:tc>
        <w:tc>
          <w:tcPr>
            <w:tcW w:w="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183,000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102,000</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2,257,250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2,294,131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2,147,125</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2,061,718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2,042,229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201,020</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195,011</w:t>
            </w:r>
          </w:p>
        </w:tc>
        <w:tc>
          <w:tcPr>
            <w:tcW w:w="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182,884</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183,685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Capital ratios:</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Leverage ratio</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equity tier 1 capital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Tier 1 risk-based capital</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risk-based capital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860" w:hanging="197"/>
        <w:spacing w:after="0"/>
        <w:tabs>
          <w:tab w:leader="none" w:pos="8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33" w:lineRule="exact"/>
        <w:rPr>
          <w:rFonts w:ascii="Times New Roman" w:cs="Times New Roman" w:eastAsia="Times New Roman" w:hAnsi="Times New Roman"/>
          <w:sz w:val="11"/>
          <w:szCs w:val="11"/>
          <w:color w:val="auto"/>
        </w:rPr>
      </w:pPr>
    </w:p>
    <w:p>
      <w:pPr>
        <w:ind w:left="660" w:right="759" w:firstLine="3"/>
        <w:spacing w:after="0" w:line="303" w:lineRule="auto"/>
        <w:tabs>
          <w:tab w:leader="none" w:pos="822"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Company's regulatory capital ratios which are provided for informational purposes only; as a small bank holding company, the Company is not subject to regulatory capital requirements. The Bank's total risk-based capital for second quarter 2024 was 13.01%.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760" w:right="1440" w:bottom="1440" w:gutter="0" w:footer="0" w:header="0"/>
        </w:sectPr>
      </w:pPr>
    </w:p>
    <w:bookmarkStart w:id="8" w:name="page9"/>
    <w:bookmarkEnd w:id="8"/>
    <w:p>
      <w:pPr>
        <w:ind w:left="3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1"/>
          <w:szCs w:val="11"/>
          <w:b w:val="1"/>
          <w:bCs w:val="1"/>
          <w:color w:val="auto"/>
        </w:rPr>
        <w:t>AVERAGE BALANCES, RATIOS, AND OTHER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10"/>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6/30/2024</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3/31/2024</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12/31/2023</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9/30/2023</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6/30/2023</w:t>
            </w:r>
          </w:p>
        </w:tc>
        <w:tc>
          <w:tcPr>
            <w:tcW w:w="20" w:type="dxa"/>
            <w:vAlign w:val="bottom"/>
          </w:tcPr>
          <w:p>
            <w:pPr>
              <w:spacing w:after="0"/>
              <w:rPr>
                <w:sz w:val="11"/>
                <w:szCs w:val="11"/>
                <w:color w:val="auto"/>
              </w:rPr>
            </w:pPr>
          </w:p>
        </w:tc>
      </w:tr>
      <w:tr>
        <w:trPr>
          <w:trHeight w:val="14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Average balance sheet data:</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107,831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132,266</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57,069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90,742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94,313</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263,345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239,896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215,649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222,134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224,913</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171,682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174,142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181,151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218,694</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192,628</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435,027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414,038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396,800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440,828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417,541</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Loans held for investment</w:t>
            </w:r>
            <w:r>
              <w:rPr>
                <w:rFonts w:ascii="Times New Roman" w:cs="Times New Roman" w:eastAsia="Times New Roman" w:hAnsi="Times New Roman"/>
                <w:sz w:val="14"/>
                <w:szCs w:val="14"/>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1,828,487</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1,781,528</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1,698,611</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1,610,864</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1,569,266</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2,479,222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2,436,103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2,250,258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2,183,542</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1,473,513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1,473,831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1,336,470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1,353,516</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1,270,657</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610,370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574,760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577,133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587,917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601,778</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2,083,883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2,048,591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1,913,603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1,941,433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1,872,435</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164,187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85,326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93,075</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2,281,467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2,243,011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2,085,182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2,065,357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1,999,304</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197,755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193,092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184,901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184,238</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Performance ratios: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Return on average assets </w:t>
            </w:r>
            <w:r>
              <w:rPr>
                <w:rFonts w:ascii="Times New Roman" w:cs="Times New Roman" w:eastAsia="Times New Roman" w:hAnsi="Times New Roman"/>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0.77%</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Return on average equity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Non-interest income to average assets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Efficiency ratio </w:t>
            </w:r>
            <w:r>
              <w:rPr>
                <w:rFonts w:ascii="Times New Roman" w:cs="Times New Roman" w:eastAsia="Times New Roman" w:hAnsi="Times New Roman"/>
                <w:sz w:val="14"/>
                <w:szCs w:val="14"/>
                <w:color w:val="auto"/>
                <w:vertAlign w:val="superscript"/>
              </w:rPr>
              <w:t>(3)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65.25%</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Loans by type (at period end): </w:t>
            </w:r>
            <w:r>
              <w:rPr>
                <w:rFonts w:ascii="Times New Roman" w:cs="Times New Roman" w:eastAsia="Times New Roman" w:hAnsi="Times New Roman"/>
                <w:sz w:val="14"/>
                <w:szCs w:val="14"/>
                <w:color w:val="auto"/>
                <w:vertAlign w:val="superscript"/>
              </w:rPr>
              <w:t>(4)</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256,807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237,906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204,419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188,880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183,093</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1,053,030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1,057,800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1,047,593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1,005,280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989,401</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228,045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219,757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212,975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169,401</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Correspondent banks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112,510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100,182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114,945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94,640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85,409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194,644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194,325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173,096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167,845</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 quality data:</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total loans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non-performing loans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3,871%</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non-performing loans</w:t>
            </w:r>
            <w:r>
              <w:rPr>
                <w:rFonts w:ascii="Times New Roman" w:cs="Times New Roman" w:eastAsia="Times New Roman" w:hAnsi="Times New Roman"/>
                <w:sz w:val="14"/>
                <w:szCs w:val="14"/>
                <w:color w:val="auto"/>
                <w:vertAlign w:val="superscript"/>
              </w:rPr>
              <w:t>(5)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Non-performing loans to total loans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1"/>
                <w:szCs w:val="11"/>
                <w:color w:val="auto"/>
              </w:rPr>
              <w:t>Non-performing assets to total assets</w:t>
            </w:r>
            <w:r>
              <w:rPr>
                <w:rFonts w:ascii="Times New Roman" w:cs="Times New Roman" w:eastAsia="Times New Roman" w:hAnsi="Times New Roman"/>
                <w:sz w:val="14"/>
                <w:szCs w:val="14"/>
                <w:color w:val="auto"/>
                <w:vertAlign w:val="superscript"/>
              </w:rPr>
              <w:t>(5)</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Net charge-offs (recoveries of) to average loans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charge-offs (recovery) of credit losses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rates and yields:</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Deposits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3"/>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Full-time equivalent employees</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20" w:type="dxa"/>
            <w:vAlign w:val="bottom"/>
          </w:tcPr>
          <w:p>
            <w:pPr>
              <w:spacing w:after="0"/>
              <w:rPr>
                <w:sz w:val="15"/>
                <w:szCs w:val="15"/>
                <w:color w:val="auto"/>
              </w:rPr>
            </w:pPr>
          </w:p>
        </w:tc>
      </w:tr>
    </w:tbl>
    <w:p>
      <w:pPr>
        <w:spacing w:after="0" w:line="151" w:lineRule="exact"/>
        <w:rPr>
          <w:sz w:val="20"/>
          <w:szCs w:val="20"/>
          <w:color w:val="auto"/>
        </w:rPr>
      </w:pPr>
    </w:p>
    <w:p>
      <w:pPr>
        <w:ind w:left="860" w:hanging="197"/>
        <w:spacing w:after="0"/>
        <w:tabs>
          <w:tab w:leader="none" w:pos="8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Efficiency ratio is defined as total non-interest expense divided by sum of net interest income and total non-interest income.</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exclude deferred fees/costs.</w:t>
      </w:r>
    </w:p>
    <w:p>
      <w:pPr>
        <w:spacing w:after="0" w:line="22" w:lineRule="exact"/>
        <w:rPr>
          <w:rFonts w:ascii="Times New Roman" w:cs="Times New Roman" w:eastAsia="Times New Roman" w:hAnsi="Times New Roman"/>
          <w:sz w:val="11"/>
          <w:szCs w:val="11"/>
          <w:color w:val="auto"/>
        </w:rPr>
      </w:pPr>
    </w:p>
    <w:p>
      <w:pPr>
        <w:ind w:left="660" w:right="699" w:firstLine="3"/>
        <w:spacing w:after="0" w:line="303" w:lineRule="auto"/>
        <w:tabs>
          <w:tab w:leader="none" w:pos="851"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for total non-performing loans and total non-performingassets are the same at the dates presented since there were no other real estate owned (OREO)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76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NET INTEREST MARGIN (UNAUDITED)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0"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0"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6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Loans </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1,828,487</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28,017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1,569,266</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20,847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Investment securities </w:t>
            </w:r>
            <w:r>
              <w:rPr>
                <w:rFonts w:ascii="Times New Roman" w:cs="Times New Roman" w:eastAsia="Times New Roman" w:hAnsi="Times New Roman"/>
                <w:sz w:val="14"/>
                <w:szCs w:val="14"/>
                <w:color w:val="auto"/>
                <w:vertAlign w:val="superscript"/>
              </w:rPr>
              <w:t>(3)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440,559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3,069</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422,544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2,382</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100,371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87,536</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2,369,417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32,617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2,079,346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24,280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109,805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104,196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2,479,222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2,183,542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62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53,561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 and money market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1,101,272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10,071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940,095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315,872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277,001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1,473,513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13,684</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1,270,657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9,313</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93,075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1,635,513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15,306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1,363,732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610,370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601,778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non-interest-bearing liabilities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35,584</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33,794</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2,281,467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1,999,304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Stockholders' equity</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197,755</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184,238</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2,479,222</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2,183,542</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62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 xml:space="preserve">Net interest spread </w:t>
            </w:r>
            <w:r>
              <w:rPr>
                <w:rFonts w:ascii="Times New Roman" w:cs="Times New Roman" w:eastAsia="Times New Roman" w:hAnsi="Times New Roman"/>
                <w:sz w:val="12"/>
                <w:szCs w:val="12"/>
                <w:color w:val="auto"/>
                <w:vertAlign w:val="superscript"/>
              </w:rPr>
              <w:t>(4)</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1.78%</w:t>
            </w: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1.71%</w:t>
            </w: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860" w:hanging="197"/>
        <w:spacing w:after="0"/>
        <w:tabs>
          <w:tab w:leader="none" w:pos="8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 balances include non-accrual loans. Interest income on loans includes accretion of deferred loan fees, net of deferred loan 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fair value except for securities held to maturity. This amount includes FHLB stock.</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spread is the average yield earned on total interest-earning assets minus the average rate paid on total interest-bearingliabilities.</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is the ratio of net interest income to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781"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1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3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6/30/2024</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3/31/2024</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12/31/2023</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9/30/2023</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6/30/2023</w:t>
            </w:r>
          </w:p>
        </w:tc>
        <w:tc>
          <w:tcPr>
            <w:tcW w:w="20" w:type="dxa"/>
            <w:vAlign w:val="bottom"/>
          </w:tcPr>
          <w:p>
            <w:pPr>
              <w:spacing w:after="0"/>
              <w:rPr>
                <w:sz w:val="12"/>
                <w:szCs w:val="12"/>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Pre-tax pre-provision ("PTPP") income:</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Plus: Provision for income taxes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1,333</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Plus: Provision for credit losses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0" w:type="dxa"/>
            <w:vAlign w:val="bottom"/>
          </w:tcPr>
          <w:p>
            <w:pPr>
              <w:spacing w:after="0"/>
              <w:rPr>
                <w:sz w:val="13"/>
                <w:szCs w:val="13"/>
                <w:color w:val="auto"/>
              </w:rPr>
            </w:pPr>
          </w:p>
        </w:tc>
      </w:tr>
      <w:tr>
        <w:trPr>
          <w:trHeight w:val="151"/>
        </w:trPr>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8,962</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6,448</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4,983</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5,722</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PTPP return on average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4,983</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2,479,222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2,436,103</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2,250,258</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2,183,542</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 xml:space="preserve">PTPP return on average assets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net income: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6,209</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3,819</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(955)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Less: Tax effect on sale of securities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r>
      <w:tr>
        <w:trPr>
          <w:trHeight w:val="191"/>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6,199</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 w:type="dxa"/>
            <w:vAlign w:val="bottom"/>
          </w:tcPr>
          <w:p>
            <w:pPr>
              <w:spacing w:after="0"/>
              <w:rPr>
                <w:sz w:val="16"/>
                <w:szCs w:val="16"/>
                <w:color w:val="auto"/>
              </w:rPr>
            </w:pPr>
          </w:p>
        </w:tc>
      </w:tr>
      <w:tr>
        <w:trPr>
          <w:trHeight w:val="100"/>
        </w:trPr>
        <w:tc>
          <w:tcPr>
            <w:tcW w:w="3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PTPP income: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8,962</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6,448</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4,983</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5,722</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(955)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51"/>
        </w:trPr>
        <w:tc>
          <w:tcPr>
            <w:tcW w:w="32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Operating PTPP income</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8,948</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6,448</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5,866</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6,677</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PTPP return on average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8,948</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6,448</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5,866</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6,677</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2,479,222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2,436,103</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2,250,258</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2,183,542</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 xml:space="preserve">Operating PTPP return on average assets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assets:</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6,199</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2,479,222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2,436,103</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2,268,811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2,250,258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2,183,542</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 xml:space="preserve">Operating return on average assets </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0.77%</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equity:</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equity</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197,755</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193,092</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183,629</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184,901</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184,238</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 xml:space="preserve">Operating return on average equity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Revenue: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interest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17,311</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15,158</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14,376</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14,022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14,173</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Non-interest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1,846</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(955)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r>
      <w:tr>
        <w:trPr>
          <w:trHeight w:val="211"/>
        </w:trPr>
        <w:tc>
          <w:tcPr>
            <w:tcW w:w="32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Operating revenue</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16,019</w:t>
            </w:r>
          </w:p>
        </w:tc>
        <w:tc>
          <w:tcPr>
            <w:tcW w:w="20" w:type="dxa"/>
            <w:vAlign w:val="bottom"/>
          </w:tcPr>
          <w:p>
            <w:pPr>
              <w:spacing w:after="0"/>
              <w:rPr>
                <w:sz w:val="18"/>
                <w:szCs w:val="18"/>
                <w:color w:val="auto"/>
              </w:rPr>
            </w:pPr>
          </w:p>
        </w:tc>
      </w:tr>
      <w:tr>
        <w:trPr>
          <w:trHeight w:val="123"/>
        </w:trPr>
        <w:tc>
          <w:tcPr>
            <w:tcW w:w="3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Efficiency Ratio:</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11,560</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11,174</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10,719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10,461</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10,452</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revenue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20,508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17,622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16,585</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16,019</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Operating efficiency ratio</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64.63%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65.25%</w:t>
            </w:r>
          </w:p>
        </w:tc>
        <w:tc>
          <w:tcPr>
            <w:tcW w:w="20" w:type="dxa"/>
            <w:vAlign w:val="bottom"/>
            <w:shd w:val="clear" w:color="auto" w:fill="CCEEFF"/>
          </w:tcPr>
          <w:p>
            <w:pPr>
              <w:spacing w:after="0"/>
              <w:rPr>
                <w:sz w:val="13"/>
                <w:szCs w:val="13"/>
                <w:color w:val="auto"/>
              </w:rPr>
            </w:pPr>
          </w:p>
        </w:tc>
      </w:tr>
    </w:tbl>
    <w:p>
      <w:pPr>
        <w:spacing w:after="0" w:line="185" w:lineRule="exact"/>
        <w:rPr>
          <w:sz w:val="20"/>
          <w:szCs w:val="20"/>
          <w:color w:val="auto"/>
        </w:rPr>
      </w:pPr>
    </w:p>
    <w:p>
      <w:pPr>
        <w:ind w:left="820" w:hanging="157"/>
        <w:spacing w:after="0"/>
        <w:tabs>
          <w:tab w:leader="none" w:pos="8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measurements are key indicators of the ongoing earnings power of the Company.</w:t>
      </w:r>
    </w:p>
    <w:p>
      <w:pPr>
        <w:spacing w:after="0" w:line="54"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760"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8"/>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00" w:type="dxa"/>
            <w:vAlign w:val="bottom"/>
            <w:tcBorders>
              <w:bottom w:val="single" w:sz="8" w:color="CCEEFF"/>
            </w:tcBorders>
          </w:tcPr>
          <w:p>
            <w:pPr>
              <w:spacing w:after="0"/>
              <w:rPr>
                <w:sz w:val="11"/>
                <w:szCs w:val="11"/>
                <w:color w:val="auto"/>
              </w:rPr>
            </w:pPr>
          </w:p>
        </w:tc>
        <w:tc>
          <w:tcPr>
            <w:tcW w:w="30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6/30/2024</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3/31/2024</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12/31/2023</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9/30/2023</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Tangible book value per common share (at period-end):</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201,020</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182,884</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Less: Intangible assets</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3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201,020</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182,884</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 shares issued and outstanding (at period-end):</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common shares issued and outstanding</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19,630,632</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19,650,463</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19,575,435</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19,542,290</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19,544,777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Tangible book value per common share</w:t>
            </w:r>
            <w:r>
              <w:rPr>
                <w:rFonts w:ascii="Times New Roman" w:cs="Times New Roman" w:eastAsia="Times New Roman" w:hAnsi="Times New Roman"/>
                <w:sz w:val="14"/>
                <w:szCs w:val="14"/>
                <w:color w:val="auto"/>
                <w:vertAlign w:val="superscript"/>
              </w:rPr>
              <w:t>(2)</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9.40</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Operating diluted net income per common share:</w:t>
            </w:r>
            <w:r>
              <w:rPr>
                <w:rFonts w:ascii="Times New Roman" w:cs="Times New Roman" w:eastAsia="Times New Roman" w:hAnsi="Times New Roman"/>
                <w:sz w:val="14"/>
                <w:szCs w:val="14"/>
                <w:color w:val="auto"/>
                <w:vertAlign w:val="superscript"/>
              </w:rPr>
              <w:t>(1)</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32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Operating net income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6,199</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3,380</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weighted average diluted shares of common stock</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19,717,167</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19,698,258</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19,573,350</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19,611,897</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19,639,682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diluted net income per common share:</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0.31</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Tangible Common Equity/Tangible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201,020</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182,884</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Tangible total assets</w:t>
            </w:r>
            <w:r>
              <w:rPr>
                <w:rFonts w:ascii="Times New Roman" w:cs="Times New Roman" w:eastAsia="Times New Roman" w:hAnsi="Times New Roman"/>
                <w:sz w:val="14"/>
                <w:szCs w:val="14"/>
                <w:color w:val="auto"/>
                <w:vertAlign w:val="superscript"/>
              </w:rPr>
              <w:t>(3)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2,458,270</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2,489,142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2,339,093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2,244,602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2,225,914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Tangible Common Equity/Tangible Assets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 w:type="dxa"/>
            <w:vAlign w:val="bottom"/>
            <w:tcBorders>
              <w:bottom w:val="single" w:sz="8" w:color="auto"/>
            </w:tcBorders>
            <w:shd w:val="clear" w:color="auto" w:fill="CCEEFF"/>
          </w:tcPr>
          <w:p>
            <w:pPr>
              <w:spacing w:after="0"/>
              <w:rPr>
                <w:sz w:val="15"/>
                <w:szCs w:val="15"/>
                <w:color w:val="auto"/>
              </w:rPr>
            </w:pPr>
          </w:p>
        </w:tc>
        <w:tc>
          <w:tcPr>
            <w:tcW w:w="30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860" w:hanging="197"/>
        <w:spacing w:after="0"/>
        <w:tabs>
          <w:tab w:leader="none" w:pos="8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measurements are key indicators of the ongoing earnings power of the Company.</w:t>
      </w:r>
    </w:p>
    <w:p>
      <w:pPr>
        <w:spacing w:after="0" w:line="26"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the dilutive effect, if any, of shares of common stock issuable upon exercise of outstanding stock options.</w:t>
      </w:r>
    </w:p>
    <w:p>
      <w:pPr>
        <w:spacing w:after="0" w:line="33" w:lineRule="exact"/>
        <w:rPr>
          <w:rFonts w:ascii="Times New Roman" w:cs="Times New Roman" w:eastAsia="Times New Roman" w:hAnsi="Times New Roman"/>
          <w:sz w:val="11"/>
          <w:szCs w:val="11"/>
          <w:color w:val="auto"/>
        </w:rPr>
      </w:pPr>
    </w:p>
    <w:p>
      <w:pPr>
        <w:ind w:left="820" w:hanging="157"/>
        <w:spacing w:after="0"/>
        <w:tabs>
          <w:tab w:leader="none" w:pos="82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Since the Company has no intangible assets, tangible total assets is the same amount as total assets calculated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760" w:right="1440" w:bottom="1440" w:gutter="0" w:footer="0" w:header="0"/>
        </w:sectPr>
      </w:pPr>
    </w:p>
    <w:bookmarkStart w:id="12" w:name="page13"/>
    <w:bookmarkEnd w:id="12"/>
    <w:p>
      <w:pPr>
        <w:ind w:left="822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Exhibit 99.2</w:t>
      </w:r>
    </w:p>
    <w:p>
      <w:pPr>
        <w:sectPr>
          <w:pgSz w:w="11900" w:h="16838" w:orient="portrait"/>
          <w:cols w:equalWidth="0" w:num="1">
            <w:col w:w="9620"/>
          </w:cols>
          <w:pgMar w:left="1440" w:top="418" w:right="839" w:bottom="144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2024-07-25T15:08:54Z</dcterms:created>
  <dcterms:modified xsi:type="dcterms:W3CDTF">2024-07-25T15:08:54Z</dcterms:modified>
</cp:coreProperties>
</file>