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948 shares of restricted stock from a grant of 2,846 shares which commenced vesting at a rate of one-third per year on January 22, 2025, 1,763 shares of restricted stock from a grant of 5,289 shares which commenced vesting at a rate of one-third per year on March 8, 2024, 10,000 shares of restricted stock from a grant of 15,000 shares which commenced vesting at a rate of one-third per year on October 28, 2025 and 4,042 shares of restricted stock from a grant of 6,064 shares which commenced vesting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the rate of one-third per year commencing on September 27,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April 25, 2017.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2026-01-26T13:45:01Z</dcterms:created>
  <dcterms:modified xsi:type="dcterms:W3CDTF">2026-01-26T13:45:01Z</dcterms:modified>
</cp:coreProperties>
</file>