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scb20231102_8k.htm"/>
      <w:bookmarkStart w:id="1" w:name="ksuscb20231102_8k"/>
      <w:bookmarkEnd w:id="0"/>
      <w:bookmarkEnd w:id="1"/>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2965"/>
        <w:gridCol w:w="2965"/>
      </w:tblGrid>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AND EXCHANGE COMMISSION</w:t>
            </w:r>
          </w:p>
        </w:tc>
      </w:tr>
      <w:tr>
        <w:trPr/>
        <w:tc>
          <w:tcPr>
            <w:tcW w:w="2965" w:type="dxa"/>
            <w:tcBorders/>
            <w:vAlign w:val="center"/>
          </w:tcPr>
          <w:p>
            <w:pPr>
              <w:pStyle w:val="TableContents"/>
              <w:bidi w:val="0"/>
              <w:spacing w:before="0" w:after="283"/>
              <w:jc w:val="left"/>
              <w:rPr/>
            </w:pPr>
            <w:r>
              <w:rPr/>
              <w:t> </w:t>
            </w:r>
          </w:p>
        </w:tc>
        <w:tc>
          <w:tcPr>
            <w:tcW w:w="2965" w:type="dxa"/>
            <w:tcBorders/>
            <w:vAlign w:val="center"/>
          </w:tcPr>
          <w:p>
            <w:pPr>
              <w:pStyle w:val="TableContents"/>
              <w:bidi w:val="0"/>
              <w:spacing w:before="0" w:after="283"/>
              <w:jc w:val="left"/>
              <w:rPr/>
            </w:pPr>
            <w:r>
              <w:rPr/>
              <w:t> </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Washington, D.C. 20549</w:t>
            </w:r>
          </w:p>
        </w:tc>
      </w:tr>
      <w:tr>
        <w:trPr/>
        <w:tc>
          <w:tcPr>
            <w:tcW w:w="5930" w:type="dxa"/>
            <w:gridSpan w:val="2"/>
            <w:tcBorders/>
            <w:vAlign w:val="center"/>
          </w:tcPr>
          <w:p>
            <w:pPr>
              <w:pStyle w:val="TableContents"/>
              <w:bidi w:val="0"/>
              <w:spacing w:before="0" w:after="283"/>
              <w:jc w:val="left"/>
              <w:rPr/>
            </w:pPr>
            <w:r>
              <w:rPr/>
              <w:t> </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 8-K</w:t>
            </w:r>
          </w:p>
        </w:tc>
      </w:tr>
      <w:tr>
        <w:trPr/>
        <w:tc>
          <w:tcPr>
            <w:tcW w:w="5930" w:type="dxa"/>
            <w:gridSpan w:val="2"/>
            <w:tcBorders/>
            <w:vAlign w:val="center"/>
          </w:tcPr>
          <w:p>
            <w:pPr>
              <w:pStyle w:val="TableContents"/>
              <w:bidi w:val="0"/>
              <w:spacing w:before="0" w:after="283"/>
              <w:jc w:val="left"/>
              <w:rPr/>
            </w:pPr>
            <w:r>
              <w:rPr/>
              <w:t> </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REPORT</w:t>
            </w:r>
          </w:p>
        </w:tc>
      </w:tr>
      <w:tr>
        <w:trPr/>
        <w:tc>
          <w:tcPr>
            <w:tcW w:w="59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Pursuant to Section 13 or 15(d) of the Securities Exchange Act of 1934</w:t>
            </w:r>
          </w:p>
        </w:tc>
      </w:tr>
      <w:tr>
        <w:trPr/>
        <w:tc>
          <w:tcPr>
            <w:tcW w:w="2965" w:type="dxa"/>
            <w:tcBorders/>
            <w:vAlign w:val="center"/>
          </w:tcPr>
          <w:p>
            <w:pPr>
              <w:pStyle w:val="TableContents"/>
              <w:bidi w:val="0"/>
              <w:spacing w:before="0" w:after="283"/>
              <w:jc w:val="left"/>
              <w:rPr/>
            </w:pPr>
            <w:r>
              <w:rPr/>
              <w:t> </w:t>
            </w:r>
          </w:p>
        </w:tc>
        <w:tc>
          <w:tcPr>
            <w:tcW w:w="29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815"/>
        <w:gridCol w:w="1445"/>
      </w:tblGrid>
      <w:tr>
        <w:trPr/>
        <w:tc>
          <w:tcPr>
            <w:tcW w:w="3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of Report (Date of earliest event reported)</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October 30, 2023</w:t>
            </w:r>
          </w:p>
        </w:tc>
      </w:tr>
    </w:tbl>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USCB Financial Holdings, Inc.</w:t>
            </w:r>
          </w:p>
        </w:tc>
      </w:tr>
      <w:tr>
        <w:trPr/>
        <w:tc>
          <w:tcPr>
            <w:tcW w:w="41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28" w:type="dxa"/>
          <w:right w:w="0" w:type="dxa"/>
        </w:tblCellMar>
      </w:tblPr>
      <w:tblGrid>
        <w:gridCol w:w="2165"/>
        <w:gridCol w:w="2210"/>
        <w:gridCol w:w="1535"/>
      </w:tblGrid>
      <w:tr>
        <w:trPr/>
        <w:tc>
          <w:tcPr>
            <w:tcW w:w="216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001-41196</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87-4070846</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221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4" w:type="dxa"/>
        <w:jc w:val="left"/>
        <w:tblInd w:w="0" w:type="dxa"/>
        <w:tblLayout w:type="fixed"/>
        <w:tblCellMar>
          <w:top w:w="0" w:type="dxa"/>
          <w:left w:w="0" w:type="dxa"/>
          <w:bottom w:w="28" w:type="dxa"/>
          <w:right w:w="0" w:type="dxa"/>
        </w:tblCellMar>
      </w:tblPr>
      <w:tblGrid>
        <w:gridCol w:w="3215"/>
        <w:gridCol w:w="60"/>
        <w:gridCol w:w="808"/>
        <w:gridCol w:w="111"/>
      </w:tblGrid>
      <w:tr>
        <w:trPr/>
        <w:tc>
          <w:tcPr>
            <w:tcW w:w="3215" w:type="dxa"/>
            <w:tcBorders>
              <w:bottom w:val="single" w:sz="2" w:space="0" w:color="000000"/>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2301 N.W. 87th Avenue, Doral, Florida</w:t>
            </w:r>
          </w:p>
        </w:tc>
        <w:tc>
          <w:tcPr>
            <w:tcW w:w="60" w:type="dxa"/>
            <w:tcBorders>
              <w:bottom w:val="single" w:sz="2" w:space="0" w:color="000000"/>
            </w:tcBorders>
            <w:vAlign w:val="center"/>
          </w:tcPr>
          <w:p>
            <w:pPr>
              <w:pStyle w:val="TableContents"/>
              <w:bidi w:val="0"/>
              <w:spacing w:before="0" w:after="283"/>
              <w:jc w:val="left"/>
              <w:rPr/>
            </w:pPr>
            <w:r>
              <w:rPr/>
              <w:t> </w:t>
            </w:r>
          </w:p>
        </w:tc>
        <w:tc>
          <w:tcPr>
            <w:tcW w:w="80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33172</w:t>
            </w:r>
          </w:p>
        </w:tc>
        <w:tc>
          <w:tcPr>
            <w:tcW w:w="111" w:type="dxa"/>
            <w:tcBorders>
              <w:bottom w:val="single" w:sz="2" w:space="0" w:color="000000"/>
            </w:tcBorders>
            <w:vAlign w:val="center"/>
          </w:tcPr>
          <w:p>
            <w:pPr>
              <w:pStyle w:val="TableContents"/>
              <w:bidi w:val="0"/>
              <w:spacing w:before="0" w:after="283"/>
              <w:jc w:val="left"/>
              <w:rPr/>
            </w:pPr>
            <w:r>
              <w:rPr/>
              <w:t> </w:t>
            </w:r>
          </w:p>
        </w:tc>
      </w:tr>
      <w:tr>
        <w:trPr/>
        <w:tc>
          <w:tcPr>
            <w:tcW w:w="321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4220"/>
        <w:gridCol w:w="1310"/>
      </w:tblGrid>
      <w:tr>
        <w:trPr/>
        <w:tc>
          <w:tcPr>
            <w:tcW w:w="4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(305) 715-5200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74"/>
        <w:gridCol w:w="5031"/>
      </w:tblGrid>
      <w:tr>
        <w:trPr/>
        <w:tc>
          <w:tcPr>
            <w:tcW w:w="102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1020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(Former name or former address, if changed since last report)</w:t>
            </w:r>
          </w:p>
        </w:tc>
      </w:tr>
      <w:tr>
        <w:trPr/>
        <w:tc>
          <w:tcPr>
            <w:tcW w:w="5174" w:type="dxa"/>
            <w:tcBorders/>
            <w:tcMar>
              <w:bottom w:w="0" w:type="dxa"/>
            </w:tcMar>
            <w:vAlign w:val="center"/>
          </w:tcPr>
          <w:p>
            <w:pPr>
              <w:pStyle w:val="TableContents"/>
              <w:bidi w:val="0"/>
              <w:spacing w:before="0" w:after="283"/>
              <w:jc w:val="left"/>
              <w:rPr/>
            </w:pPr>
            <w:r>
              <w:rPr/>
              <w:t> </w:t>
            </w:r>
          </w:p>
        </w:tc>
        <w:tc>
          <w:tcPr>
            <w:tcW w:w="5031" w:type="dxa"/>
            <w:tcBorders/>
            <w:tcMar>
              <w:bottom w:w="0" w:type="dxa"/>
            </w:tcMar>
            <w:vAlign w:val="center"/>
          </w:tcPr>
          <w:p>
            <w:pPr>
              <w:pStyle w:val="TableContents"/>
              <w:bidi w:val="0"/>
              <w:spacing w:before="0" w:after="283"/>
              <w:jc w:val="left"/>
              <w:rPr/>
            </w:pPr>
            <w:r>
              <w:rPr/>
              <w:t> </w:t>
            </w:r>
          </w:p>
        </w:tc>
      </w:tr>
      <w:tr>
        <w:trPr/>
        <w:tc>
          <w:tcPr>
            <w:tcW w:w="1020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Check the appropriate box below if the Form 8-K filing is intended to simultaneously satisfy the filing obligation of the registrant under any of the following provisions (see General Instruction A.2 below):</w:t>
            </w:r>
          </w:p>
        </w:tc>
      </w:tr>
    </w:tbl>
    <w:p>
      <w:pPr>
        <w:pStyle w:val="TextBody"/>
        <w:bidi w:val="0"/>
        <w:spacing w:before="0" w:after="0"/>
        <w:ind w:left="0" w:right="0" w:hanging="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bl>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28" w:type="dxa"/>
          <w:left w:w="28" w:type="dxa"/>
          <w:bottom w:w="28" w:type="dxa"/>
          <w:right w:w="0" w:type="dxa"/>
        </w:tblCellMar>
      </w:tblPr>
      <w:tblGrid>
        <w:gridCol w:w="1520"/>
        <w:gridCol w:w="845"/>
        <w:gridCol w:w="3575"/>
      </w:tblGrid>
      <w:tr>
        <w:trPr/>
        <w:tc>
          <w:tcPr>
            <w:tcW w:w="152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8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5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 ☒</w:t>
            </w:r>
          </w:p>
        </w:tc>
      </w:tr>
      <w:tr>
        <w:trPr/>
        <w:tc>
          <w:tcPr>
            <w:tcW w:w="10205" w:type="dxa"/>
            <w:tcBorders/>
            <w:vAlign w:val="center"/>
          </w:tcPr>
          <w:p>
            <w:pPr>
              <w:pStyle w:val="TableContents"/>
              <w:bidi w:val="0"/>
              <w:spacing w:before="0" w:after="283"/>
              <w:jc w:val="right"/>
              <w:rPr/>
            </w:pPr>
            <w:r>
              <w:rPr/>
              <w:t> </w:t>
            </w:r>
          </w:p>
        </w:tc>
      </w:tr>
      <w:tr>
        <w:trPr/>
        <w:tc>
          <w:tcPr>
            <w:tcW w:w="10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3"/>
        <w:gridCol w:w="380"/>
        <w:gridCol w:w="9392"/>
      </w:tblGrid>
      <w:tr>
        <w:trPr/>
        <w:tc>
          <w:tcPr>
            <w:tcW w:w="433"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w:t>
            </w:r>
          </w:p>
        </w:tc>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5.02</w:t>
            </w:r>
          </w:p>
        </w:tc>
        <w:tc>
          <w:tcPr>
            <w:tcW w:w="93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Departure of Directors or Certain Officers; Election of Directors; Appointment of Certain Officers; Compensatory Arrangements of Certain Officers</w:t>
            </w:r>
            <w:r>
              <w:rPr>
                <w:rFonts w:ascii="Times New Roman;Times;serif" w:hAnsi="Times New Roman;Times;serif"/>
                <w:b/>
                <w:caps w:val="false"/>
                <w:smallCaps w:val="false"/>
                <w:sz w:val="20"/>
              </w:rPr>
              <w:t>.</w:t>
            </w:r>
          </w:p>
        </w:tc>
      </w:tr>
      <w:tr>
        <w:trPr/>
        <w:tc>
          <w:tcPr>
            <w:tcW w:w="433"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392" w:type="dxa"/>
            <w:tcBorders/>
            <w:vAlign w:val="center"/>
          </w:tcPr>
          <w:p>
            <w:pPr>
              <w:pStyle w:val="TableContents"/>
              <w:bidi w:val="0"/>
              <w:spacing w:before="0" w:after="283"/>
              <w:jc w:val="left"/>
              <w:rPr/>
            </w:pPr>
            <w:r>
              <w:rPr/>
              <w:t> </w:t>
            </w:r>
          </w:p>
        </w:tc>
      </w:tr>
      <w:tr>
        <w:trPr/>
        <w:tc>
          <w:tcPr>
            <w:tcW w:w="433"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3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33"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3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October 30, 2023, Benigno Pazos, Executive Vice President and Chief Credit Officer, notified USCB Financial Holdings, Inc. (the “Company”) of his decision to retire, effective December 31, 2023, after having served in such position for the last eight years. Mr. Pazos will continue to serve as Executive Vice President and Chief Credit Officer until his retirement date.</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on October 30, 2023, Jalal “Jay” Shehadeh, Executive Vice President and General Counsel, notified the Company of his decision to resign, effective December 31, 2023, to pursue personal opportunities. Mr. Shehadeh will continue to serve as Executive Vice President and General Counsel until December 31, 2023. It is expected that subsequent to his resignation Mr. Shehadeh will continue his association with the Company and its wholly owned subsidiary, U.S. Century Bank (the “Bank”) through his law firm, Shehadeh Giannamore, PLLC.</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November 2, 2023, the Company issued a press release announcing Mr. Pazos’ impending retirement and Mr. Shehadeh’s impending resignation. The press release is attached hereto as Exhibit 99.1 and is incorporated herein by reference thereto.</w:t>
            </w:r>
          </w:p>
        </w:tc>
      </w:tr>
      <w:tr>
        <w:trPr/>
        <w:tc>
          <w:tcPr>
            <w:tcW w:w="433"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3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33"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3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33"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3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6"/>
        <w:gridCol w:w="380"/>
        <w:gridCol w:w="9389"/>
      </w:tblGrid>
      <w:tr>
        <w:trPr/>
        <w:tc>
          <w:tcPr>
            <w:tcW w:w="43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w:t>
            </w:r>
          </w:p>
        </w:tc>
        <w:tc>
          <w:tcPr>
            <w:tcW w:w="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8.01</w:t>
            </w:r>
          </w:p>
        </w:tc>
        <w:tc>
          <w:tcPr>
            <w:tcW w:w="9389"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Other Events.</w:t>
            </w:r>
          </w:p>
        </w:tc>
      </w:tr>
      <w:tr>
        <w:trPr/>
        <w:tc>
          <w:tcPr>
            <w:tcW w:w="436"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3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November 2, 2023, the Company also announced that effective as of October 30, 2023, Maricarmen Logrono was promoted to Executive Vice President and Chief Risk Officer. The press release announcing Ms. Logrono’s promotion as well as the impending retirement of Mr. Pazos and impending resignation of Mr. Shehadeh is attached hereto as Exhibit 99.1 and is incorporated herein by reference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425"/>
        <w:gridCol w:w="380"/>
        <w:gridCol w:w="60"/>
        <w:gridCol w:w="2900"/>
        <w:gridCol w:w="75"/>
      </w:tblGrid>
      <w:tr>
        <w:trPr/>
        <w:tc>
          <w:tcPr>
            <w:tcW w:w="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9.01</w:t>
            </w:r>
          </w:p>
        </w:tc>
        <w:tc>
          <w:tcPr>
            <w:tcW w:w="60" w:type="dxa"/>
            <w:tcBorders/>
            <w:vAlign w:val="center"/>
          </w:tcPr>
          <w:p>
            <w:pPr>
              <w:pStyle w:val="TableContents"/>
              <w:bidi w:val="0"/>
              <w:spacing w:before="0" w:after="283"/>
              <w:jc w:val="left"/>
              <w:rPr/>
            </w:pPr>
            <w:r>
              <w:rPr/>
              <w:t> </w:t>
            </w:r>
          </w:p>
        </w:tc>
        <w:tc>
          <w:tcPr>
            <w:tcW w:w="29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vAlign w:val="center"/>
          </w:tcPr>
          <w:p>
            <w:pPr>
              <w:pStyle w:val="TableContents"/>
              <w:bidi w:val="0"/>
              <w:spacing w:before="0" w:after="283"/>
              <w:jc w:val="left"/>
              <w:rPr/>
            </w:pPr>
            <w:r>
              <w:rPr/>
              <w:t> </w:t>
            </w:r>
          </w:p>
        </w:tc>
        <w:tc>
          <w:tcPr>
            <w:tcW w:w="2975"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179" w:type="dxa"/>
        <w:jc w:val="left"/>
        <w:tblInd w:w="0" w:type="dxa"/>
        <w:tblLayout w:type="fixed"/>
        <w:tblCellMar>
          <w:top w:w="0" w:type="dxa"/>
          <w:left w:w="0" w:type="dxa"/>
          <w:bottom w:w="28" w:type="dxa"/>
          <w:right w:w="0" w:type="dxa"/>
        </w:tblCellMar>
      </w:tblPr>
      <w:tblGrid>
        <w:gridCol w:w="995"/>
        <w:gridCol w:w="60"/>
        <w:gridCol w:w="5695"/>
        <w:gridCol w:w="429"/>
      </w:tblGrid>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69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429"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124" w:type="dxa"/>
            <w:gridSpan w:val="2"/>
            <w:tcBorders/>
            <w:tcMar>
              <w:bottom w:w="0" w:type="dxa"/>
            </w:tcMar>
            <w:vAlign w:val="center"/>
          </w:tcPr>
          <w:p>
            <w:pPr>
              <w:pStyle w:val="TableContents"/>
              <w:bidi w:val="0"/>
              <w:spacing w:before="0" w:after="283"/>
              <w:jc w:val="left"/>
              <w:rPr/>
            </w:pPr>
            <w:hyperlink w:anchor="ex_590255.htm">
              <w:r>
                <w:rPr>
                  <w:rStyle w:val="InternetLink"/>
                  <w:rFonts w:ascii="Times New Roman;Times;serif" w:hAnsi="Times New Roman;Times;serif"/>
                  <w:sz w:val="20"/>
                </w:rPr>
                <w:t>Press release dated November 2, 2023.</w:t>
              </w:r>
            </w:hyperlink>
          </w:p>
        </w:tc>
      </w:tr>
      <w:tr>
        <w:trPr/>
        <w:tc>
          <w:tcPr>
            <w:tcW w:w="99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124"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(embedded within the Inline XBRL document)</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pPr>
      <w:r>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54" w:type="dxa"/>
        <w:jc w:val="left"/>
        <w:tblInd w:w="0" w:type="dxa"/>
        <w:tblLayout w:type="fixed"/>
        <w:tblCellMar>
          <w:top w:w="0" w:type="dxa"/>
          <w:left w:w="0" w:type="dxa"/>
          <w:bottom w:w="0" w:type="dxa"/>
          <w:right w:w="0" w:type="dxa"/>
        </w:tblCellMar>
      </w:tblPr>
      <w:tblGrid>
        <w:gridCol w:w="1118"/>
        <w:gridCol w:w="896"/>
        <w:gridCol w:w="2726"/>
        <w:gridCol w:w="2306"/>
        <w:gridCol w:w="1508"/>
      </w:tblGrid>
      <w:tr>
        <w:trPr/>
        <w:tc>
          <w:tcPr>
            <w:tcW w:w="1118"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5032"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USCB FINANCIAL HOLDINGS, INC.</w:t>
            </w:r>
          </w:p>
        </w:tc>
        <w:tc>
          <w:tcPr>
            <w:tcW w:w="1508"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 </w:t>
            </w:r>
          </w:p>
        </w:tc>
        <w:tc>
          <w:tcPr>
            <w:tcW w:w="1508"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 </w:t>
            </w:r>
          </w:p>
        </w:tc>
        <w:tc>
          <w:tcPr>
            <w:tcW w:w="1508"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814" w:type="dxa"/>
            <w:gridSpan w:val="2"/>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Jalal Shehadeh, Esq.</w:t>
            </w:r>
          </w:p>
        </w:tc>
      </w:tr>
      <w:tr>
        <w:trPr/>
        <w:tc>
          <w:tcPr>
            <w:tcW w:w="1118"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381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Jalal Shehadeh, Esq.</w:t>
            </w:r>
          </w:p>
        </w:tc>
      </w:tr>
      <w:tr>
        <w:trPr/>
        <w:tc>
          <w:tcPr>
            <w:tcW w:w="1118"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381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General Counsel</w:t>
            </w:r>
          </w:p>
        </w:tc>
      </w:tr>
      <w:tr>
        <w:trPr/>
        <w:tc>
          <w:tcPr>
            <w:tcW w:w="1118"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pPr>
            <w:r>
              <w:rPr/>
              <w:t> </w:t>
            </w:r>
          </w:p>
        </w:tc>
        <w:tc>
          <w:tcPr>
            <w:tcW w:w="2726"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 </w:t>
            </w:r>
          </w:p>
        </w:tc>
      </w:tr>
      <w:tr>
        <w:trPr/>
        <w:tc>
          <w:tcPr>
            <w:tcW w:w="201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November 2, 2023</w:t>
            </w:r>
          </w:p>
        </w:tc>
        <w:tc>
          <w:tcPr>
            <w:tcW w:w="2726"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590255.htm"/>
      <w:bookmarkStart w:id="3" w:name="ksex_590255"/>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65" w:type="dxa"/>
        <w:jc w:val="left"/>
        <w:tblInd w:w="0" w:type="dxa"/>
        <w:tblLayout w:type="fixed"/>
        <w:tblCellMar>
          <w:top w:w="0" w:type="dxa"/>
          <w:left w:w="0" w:type="dxa"/>
          <w:bottom w:w="0" w:type="dxa"/>
          <w:right w:w="0" w:type="dxa"/>
        </w:tblCellMar>
      </w:tblPr>
      <w:tblGrid>
        <w:gridCol w:w="4965"/>
        <w:gridCol w:w="2825"/>
        <w:gridCol w:w="75"/>
      </w:tblGrid>
      <w:tr>
        <w:trPr/>
        <w:tc>
          <w:tcPr>
            <w:tcW w:w="4965" w:type="dxa"/>
            <w:tcBorders/>
            <w:vAlign w:val="center"/>
          </w:tcPr>
          <w:p>
            <w:pPr>
              <w:pStyle w:val="TableContents"/>
              <w:bidi w:val="0"/>
              <w:spacing w:before="0" w:after="283"/>
              <w:jc w:val="left"/>
              <w:rPr/>
            </w:pPr>
            <w:r>
              <w:rPr/>
              <w:drawing>
                <wp:inline distT="0" distB="0" distL="0" distR="0">
                  <wp:extent cx="31432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390525"/>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Contacts:</w:t>
            </w:r>
          </w:p>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Investor Relations</w:t>
              <w:br/>
              <w:t>InvestorRelations@uscentury.com</w:t>
              <w:br/>
              <w:t>Martha Guerra-Kattou</w:t>
              <w:br/>
              <w:t>(305) 715-5141</w:t>
              <w:br/>
              <w:t>MGuerra@uscentury.com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USCB FINANCIAL HOLDINGS, INC. ANNOUNCES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RETIREMENT OF CHIEF CREDIT OFFICER, BENIGNO PAZOS;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ANNOUNCES THE DEPARTURE OF JAY SHEHADEH, GENERAL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COUNSEL; PROMOTES MARICARMEN LOGRO</w:t>
      </w:r>
      <w:r>
        <w:rPr>
          <w:rFonts w:ascii="Times New Roman" w:hAnsi="Times New Roman"/>
          <w:caps w:val="false"/>
          <w:smallCaps w:val="false"/>
          <w:sz w:val="24"/>
        </w:rPr>
        <w:t>Ñ</w:t>
      </w:r>
      <w:r>
        <w:rPr>
          <w:rFonts w:ascii="Times New Roman" w:hAnsi="Times New Roman"/>
          <w:b/>
          <w:caps w:val="false"/>
          <w:smallCaps w:val="false"/>
          <w:sz w:val="24"/>
        </w:rPr>
        <w:t>O</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TO CHIEF RISK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MIAMI </w:t>
      </w:r>
      <w:r>
        <w:rPr>
          <w:rFonts w:ascii="Times New Roman" w:hAnsi="Times New Roman"/>
          <w:caps w:val="false"/>
          <w:smallCaps w:val="false"/>
          <w:sz w:val="20"/>
        </w:rPr>
        <w:t xml:space="preserve">– </w:t>
      </w:r>
      <w:r>
        <w:rPr>
          <w:rFonts w:ascii="Times New Roman" w:hAnsi="Times New Roman"/>
          <w:b/>
          <w:caps w:val="false"/>
          <w:smallCaps w:val="false"/>
          <w:sz w:val="20"/>
        </w:rPr>
        <w:t>November 2, 2023</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USCB Financial Holdings, Inc. (the </w:t>
      </w: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w:t>
      </w:r>
      <w:r>
        <w:rPr>
          <w:rFonts w:ascii="Times New Roman" w:hAnsi="Times New Roman"/>
          <w:b/>
          <w:caps w:val="false"/>
          <w:smallCaps w:val="false"/>
          <w:sz w:val="20"/>
        </w:rPr>
        <w:t>) (NASDAQ: USCB)</w:t>
      </w:r>
      <w:r>
        <w:rPr>
          <w:rFonts w:ascii="Times New Roman" w:hAnsi="Times New Roman"/>
          <w:caps w:val="false"/>
          <w:smallCaps w:val="false"/>
          <w:sz w:val="20"/>
        </w:rPr>
        <w:t>, the holding company for U.S. Century Bank (the “Bank”), announced today key transitions and promotion of new chief risk and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Benigno “Ben” Pazos, CPA, Executive Vice President and Chief Credit Officer, will be retiring effective December 31, 2023. Pazos joined the Bank in 2015 and has been instrumental in the Bank’s growth and expansion over the last eight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Ben’s contribution to the dynamic growth and success of U.S. Century Bank cannot be overstated,” said Luis de la Aguilera, Chairman, President, and CEO. “While he will be sorely missed, his legacy will continue to inspire us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expects to announce Ben’s successor shortly.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Jalal “Jay” Shehadeh, Executive Vice President and General Counsel, has decided to leave the Company to pursue personal opportunities. He will remain in his position until December 31, 2023. After his departure, he is expected to continue his relationship with the Bank through his law firm, Shehadeh Giannamore, PLLC.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Jay has been a valued member of the team for the past ten years and played a key role in taking our Bank public in 2021. On behalf of the Company and the Bank, I want to extend a heartfelt thanks to both Ben and Jay for their outstanding contributions to the Bank and wish them the very best in their future endeavors,” added de la Aguilera.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Maricarmen Logroño, currently Senior Vice President and Director of Enterprise Risk Management, has been named Executive Vice President, Chief Risk Officer. She will lead the newly combined risk management and compliance divisions. She has more than 20 years of experience in banking risk management covering financial, credit, and operational risk, as well as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"Maricarmen has been invaluable in leading our risk management efforts within today’s complex regulatory environment,” said de la Aguilera. "We are confident her leadership will further strengthen the Bank’s risk management philosophy and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Logroño will work closely with the executive management team in her new role to provide risk management and compliance oversight for the Company and the Bank, and will support the execution of the Bank's strategic plan. Since joining the Bank in 2014, she has collaborated with the Compliance Department as an advisor and has led numerous cross-functional task forces and joint strategic initiatives to manage risk. Most recently, she assumed interim duties as Chief Compliance Officer in July.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She graduated from the University of Puerto Rico with a bachelor’s degree in business administration and a Master of Business Administration (MBA).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USCB Financial Holdings, Inc.</w:t>
      </w:r>
      <w:r>
        <w:rPr>
          <w:rFonts w:ascii="Times New Roman" w:hAnsi="Times New Roman"/>
          <w:caps w:val="false"/>
          <w:smallCaps w:val="false"/>
          <w:sz w:val="20"/>
        </w:rPr>
        <w:b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banking center near you, please call (305) 715-5200 or visit www.uscentury.com.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1250</Words>
  <Characters>6966</Characters>
  <CharactersWithSpaces>8341</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