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jc w:val="center"/>
        <w:spacing w:after="0" w:line="239" w:lineRule="auto"/>
        <w:rPr>
          <w:sz w:val="20"/>
          <w:szCs w:val="20"/>
          <w:color w:val="auto"/>
        </w:rPr>
      </w:pPr>
      <w:r>
        <w:rPr>
          <w:rFonts w:ascii="Times New Roman" w:cs="Times New Roman" w:eastAsia="Times New Roman" w:hAnsi="Times New Roman"/>
          <w:sz w:val="26"/>
          <w:szCs w:val="26"/>
          <w:b w:val="1"/>
          <w:bCs w:val="1"/>
          <w:color w:val="auto"/>
        </w:rPr>
        <w:t>FORM 8-K</w:t>
      </w: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23, 2025</w:t>
      </w:r>
    </w:p>
    <w:p>
      <w:pPr>
        <w:spacing w:after="0" w:line="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USCB Financial Holdings,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327"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252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001-41196</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87-4070846</w:t>
            </w:r>
          </w:p>
        </w:tc>
      </w:tr>
      <w:tr>
        <w:trPr>
          <w:trHeight w:val="160"/>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5"/>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33172</w:t>
            </w:r>
          </w:p>
        </w:tc>
      </w:tr>
      <w:tr>
        <w:trPr>
          <w:trHeight w:val="171"/>
        </w:trPr>
        <w:tc>
          <w:tcPr>
            <w:tcW w:w="26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Doral,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6"/>
        </w:trPr>
        <w:tc>
          <w:tcPr>
            <w:tcW w:w="26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(305) 715-5200</w:t>
      </w:r>
    </w:p>
    <w:p>
      <w:pPr>
        <w:spacing w:after="0" w:line="1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138" w:lineRule="exact"/>
        <w:rPr>
          <w:sz w:val="24"/>
          <w:szCs w:val="24"/>
          <w:color w:val="auto"/>
        </w:rPr>
      </w:pPr>
    </w:p>
    <w:p>
      <w:pPr>
        <w:ind w:left="660" w:right="679"/>
        <w:spacing w:after="0" w:line="27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6"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7"/>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5"/>
        </w:trPr>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$1.00 par value per share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USCB</w:t>
            </w:r>
          </w:p>
        </w:tc>
        <w:tc>
          <w:tcPr>
            <w:tcW w:w="20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32" w:lineRule="exact"/>
        <w:rPr>
          <w:sz w:val="24"/>
          <w:szCs w:val="24"/>
          <w:color w:val="auto"/>
        </w:rPr>
      </w:pPr>
    </w:p>
    <w:p>
      <w:pPr>
        <w:jc w:val="both"/>
        <w:ind w:left="660" w:right="699"/>
        <w:spacing w:after="0" w:line="27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3" w:lineRule="exact"/>
        <w:rPr>
          <w:sz w:val="24"/>
          <w:szCs w:val="24"/>
          <w:color w:val="auto"/>
        </w:rPr>
      </w:pPr>
    </w:p>
    <w:p>
      <w:pPr>
        <w:ind w:left="6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ind w:left="660" w:right="699"/>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95" w:right="1440"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2" w:lineRule="exact"/>
        <w:rPr>
          <w:sz w:val="20"/>
          <w:szCs w:val="20"/>
          <w:color w:val="auto"/>
        </w:rPr>
      </w:pPr>
    </w:p>
    <w:p>
      <w:pPr>
        <w:jc w:val="both"/>
        <w:ind w:left="660" w:right="679" w:firstLine="512"/>
        <w:spacing w:after="0" w:line="263" w:lineRule="auto"/>
        <w:rPr>
          <w:sz w:val="20"/>
          <w:szCs w:val="20"/>
          <w:color w:val="auto"/>
        </w:rPr>
      </w:pPr>
      <w:r>
        <w:rPr>
          <w:rFonts w:ascii="Times New Roman" w:cs="Times New Roman" w:eastAsia="Times New Roman" w:hAnsi="Times New Roman"/>
          <w:sz w:val="14"/>
          <w:szCs w:val="14"/>
          <w:color w:val="auto"/>
        </w:rPr>
        <w:t>On October 23, 2025, USCB Financial Holdings, Inc. (the “Company”) issued a press release announcing its financial results for the quarter ended September 30, 2025. A copy of the press release is furnished as Exhibit 99.1 to this Current Report on Form 8-K (“Form 8-K”) and is incorporated herein by reference.</w:t>
      </w:r>
    </w:p>
    <w:p>
      <w:pPr>
        <w:spacing w:after="0" w:line="12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thisItem 2.02, including Exhibit 99.1 hereto, is being furnished and shall not be deemed “filed” for purposes of Section 18 of the Securities Exchange Act of 1934 (the “Exchange Act”), or otherwise be subject to the liability of that section, and shall not be deemed to be incorporated by reference into any filing under the Securities Act of 1933 (the “Securities Act”) or the Exchange Act except as expressly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72"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As previously announced, at 11:00 a.m. ET on October 24, 2025, the Company will hold an earnings conference call to discuss its financial performance for the quarter ended September 30, 2025. A copy of the slides forming the basis of the presentation is being furnished as Exhibit 99.2 to this Form 8-K and is incorporated herein by reference. A copy of the slides has also been posted to the Company’s investor relations website, located at investors.uscenturybank.com.</w:t>
      </w:r>
    </w:p>
    <w:p>
      <w:pPr>
        <w:spacing w:after="0" w:line="127" w:lineRule="exact"/>
        <w:rPr>
          <w:sz w:val="20"/>
          <w:szCs w:val="20"/>
          <w:color w:val="auto"/>
        </w:rPr>
      </w:pPr>
    </w:p>
    <w:p>
      <w:pPr>
        <w:jc w:val="both"/>
        <w:ind w:left="660" w:right="679" w:firstLine="512"/>
        <w:spacing w:after="0" w:line="255" w:lineRule="auto"/>
        <w:rPr>
          <w:sz w:val="20"/>
          <w:szCs w:val="20"/>
          <w:color w:val="auto"/>
        </w:rPr>
      </w:pPr>
      <w:r>
        <w:rPr>
          <w:rFonts w:ascii="Times New Roman" w:cs="Times New Roman" w:eastAsia="Times New Roman" w:hAnsi="Times New Roman"/>
          <w:sz w:val="14"/>
          <w:szCs w:val="14"/>
          <w:color w:val="auto"/>
        </w:rPr>
        <w:t>The information in thisItem 7.01, including Exhibit 99.2 hereto, is being furnished and shall not be deemed “filed” for purposes of Section 18 of the Exchange Act, or otherwise be subject to the liability of that section, and shall not be deemed to be incorporated by reference into any filing under the Securities Act or the Exchange Act except as set forth by specific reference in such filing to this Form 8-K.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86"/>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10"/>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29"/>
        </w:trPr>
        <w:tc>
          <w:tcPr>
            <w:tcW w:w="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99.1</w:t>
            </w:r>
          </w:p>
        </w:tc>
        <w:tc>
          <w:tcPr>
            <w:tcW w:w="3980" w:type="dxa"/>
            <w:vAlign w:val="bottom"/>
            <w:tcBorders>
              <w:bottom w:val="single" w:sz="8" w:color="0563C1"/>
            </w:tcBorders>
            <w:gridSpan w:val="2"/>
          </w:tcPr>
          <w:p>
            <w:pPr>
              <w:spacing w:after="0" w:line="129" w:lineRule="exact"/>
              <w:rPr>
                <w:sz w:val="20"/>
                <w:szCs w:val="20"/>
                <w:color w:val="auto"/>
              </w:rPr>
            </w:pPr>
            <w:r>
              <w:rPr>
                <w:rFonts w:ascii="Times New Roman" w:cs="Times New Roman" w:eastAsia="Times New Roman" w:hAnsi="Times New Roman"/>
                <w:sz w:val="14"/>
                <w:szCs w:val="14"/>
                <w:color w:val="0563C1"/>
              </w:rPr>
              <w:t>USCB Financial Holdings, Inc. Press Release, dated October 23, 2025</w:t>
            </w:r>
          </w:p>
        </w:tc>
        <w:tc>
          <w:tcPr>
            <w:tcW w:w="2280" w:type="dxa"/>
            <w:vAlign w:val="bottom"/>
          </w:tcPr>
          <w:p>
            <w:pPr>
              <w:spacing w:after="0"/>
              <w:rPr>
                <w:sz w:val="11"/>
                <w:szCs w:val="11"/>
                <w:color w:val="auto"/>
              </w:rPr>
            </w:pPr>
          </w:p>
        </w:tc>
      </w:tr>
      <w:tr>
        <w:trPr>
          <w:trHeight w:val="151"/>
        </w:trPr>
        <w:tc>
          <w:tcPr>
            <w:tcW w:w="9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99.2</w:t>
            </w:r>
          </w:p>
        </w:tc>
        <w:tc>
          <w:tcPr>
            <w:tcW w:w="62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color w:val="0563C1"/>
              </w:rPr>
              <w:t>Earnings Presentation, dated October 23, 2025</w:t>
            </w:r>
          </w:p>
        </w:tc>
      </w:tr>
      <w:tr>
        <w:trPr>
          <w:trHeight w:val="175"/>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2620" w:type="dxa"/>
            <w:vAlign w:val="bottom"/>
            <w:tcBorders>
              <w:top w:val="single" w:sz="8" w:color="0563C1"/>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w:t>
            </w: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2" w:lineRule="exact"/>
        <w:rPr>
          <w:sz w:val="20"/>
          <w:szCs w:val="20"/>
          <w:color w:val="auto"/>
        </w:rPr>
      </w:pPr>
    </w:p>
    <w:p>
      <w:pPr>
        <w:ind w:left="660" w:right="679" w:firstLine="512"/>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USCB Financial Holdings, Inc.</w:t>
      </w:r>
    </w:p>
    <w:p>
      <w:pPr>
        <w:spacing w:after="0" w:line="332" w:lineRule="exact"/>
        <w:rPr>
          <w:sz w:val="20"/>
          <w:szCs w:val="20"/>
          <w:color w:val="auto"/>
        </w:rPr>
      </w:pPr>
    </w:p>
    <w:tbl>
      <w:tblPr>
        <w:tblLayout w:type="fixed"/>
        <w:tblInd w:w="5200" w:type="dxa"/>
        <w:tblCellMar>
          <w:top w:w="0" w:type="dxa"/>
          <w:left w:w="0" w:type="dxa"/>
          <w:bottom w:w="0" w:type="dxa"/>
          <w:right w:w="0" w:type="dxa"/>
        </w:tblCellMar>
      </w:tblPr>
      <w:tr>
        <w:trPr>
          <w:trHeight w:val="17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Anderson</w:t>
            </w:r>
          </w:p>
        </w:tc>
      </w:tr>
      <w:tr>
        <w:trPr>
          <w:trHeight w:val="136"/>
        </w:trPr>
        <w:tc>
          <w:tcPr>
            <w:tcW w:w="5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Name:</w:t>
            </w:r>
          </w:p>
        </w:tc>
        <w:tc>
          <w:tcPr>
            <w:tcW w:w="256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721" w:right="1440" w:bottom="1440" w:gutter="0" w:footer="0" w:header="0"/>
        </w:sectPr>
      </w:pPr>
    </w:p>
    <w:bookmarkStart w:id="3" w:name="page4"/>
    <w:bookmarkEnd w:id="3"/>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660" w:right="679"/>
        <w:spacing w:after="0" w:line="267" w:lineRule="auto"/>
        <w:rPr>
          <w:sz w:val="20"/>
          <w:szCs w:val="20"/>
          <w:color w:val="auto"/>
        </w:rPr>
      </w:pPr>
      <w:r>
        <w:rPr>
          <w:rFonts w:ascii="Times New Roman" w:cs="Times New Roman" w:eastAsia="Times New Roman" w:hAnsi="Times New Roman"/>
          <w:sz w:val="16"/>
          <w:szCs w:val="16"/>
          <w:b w:val="1"/>
          <w:bCs w:val="1"/>
          <w:color w:val="auto"/>
        </w:rPr>
        <w:t>USCB Financial Holdings, Inc. Reports Record Fully Diluted EPS of $0.45 for Q3 2025; ROAA of 1.27% and ROAE of 15.74%</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MIAMI, FL – October 23, 2025 – USCB Financial Holdings, Inc. (the “Company”) (NASDAQ: USCB) </w:t>
      </w:r>
      <w:r>
        <w:rPr>
          <w:rFonts w:ascii="Times New Roman" w:cs="Times New Roman" w:eastAsia="Times New Roman" w:hAnsi="Times New Roman"/>
          <w:sz w:val="14"/>
          <w:szCs w:val="14"/>
          <w:color w:val="auto"/>
        </w:rPr>
        <w:t>, the holding company for</w:t>
      </w:r>
    </w:p>
    <w:p>
      <w:pPr>
        <w:spacing w:after="0" w:line="25" w:lineRule="exact"/>
        <w:rPr>
          <w:sz w:val="20"/>
          <w:szCs w:val="20"/>
          <w:color w:val="auto"/>
        </w:rPr>
      </w:pPr>
    </w:p>
    <w:p>
      <w:pPr>
        <w:jc w:val="both"/>
        <w:ind w:left="660" w:right="679"/>
        <w:spacing w:after="0" w:line="253" w:lineRule="auto"/>
        <w:rPr>
          <w:sz w:val="20"/>
          <w:szCs w:val="20"/>
          <w:color w:val="auto"/>
        </w:rPr>
      </w:pPr>
      <w:r>
        <w:rPr>
          <w:rFonts w:ascii="Times New Roman" w:cs="Times New Roman" w:eastAsia="Times New Roman" w:hAnsi="Times New Roman"/>
          <w:sz w:val="14"/>
          <w:szCs w:val="14"/>
          <w:color w:val="auto"/>
        </w:rPr>
        <w:t>U.S. Century Bank (the “Bank”), reported net income of $8.9 million or $0.45 per fully diluted share for the three months ended September 30, 2025, compared with net income of $6.9 million or $0.35 per fully diluted share for the same period in 2024.</w:t>
      </w:r>
    </w:p>
    <w:p>
      <w:pPr>
        <w:spacing w:after="0" w:line="138" w:lineRule="exact"/>
        <w:rPr>
          <w:sz w:val="20"/>
          <w:szCs w:val="20"/>
          <w:color w:val="auto"/>
        </w:rPr>
      </w:pPr>
    </w:p>
    <w:p>
      <w:pPr>
        <w:jc w:val="both"/>
        <w:ind w:left="660" w:right="679"/>
        <w:spacing w:after="0" w:line="255" w:lineRule="auto"/>
        <w:rPr>
          <w:sz w:val="20"/>
          <w:szCs w:val="20"/>
          <w:color w:val="auto"/>
        </w:rPr>
      </w:pPr>
      <w:r>
        <w:rPr>
          <w:rFonts w:ascii="Times New Roman" w:cs="Times New Roman" w:eastAsia="Times New Roman" w:hAnsi="Times New Roman"/>
          <w:sz w:val="14"/>
          <w:szCs w:val="14"/>
          <w:color w:val="auto"/>
        </w:rPr>
        <w:t>“This marks our third consecutive quarter of record fully diluted earnings per share, reflecting the consistency and resilience of our operating model,” said Luis de la Aguilera, Chairman, President and CEO. “Our profitability ratios place us among the top performing peers in the industry, while our credit metrics and efficiency continue to compare favorably to peers. These results reflect disciplined execution and a continued focus on long-term value creation.”</w:t>
      </w:r>
    </w:p>
    <w:p>
      <w:pPr>
        <w:spacing w:after="0" w:line="127" w:lineRule="exact"/>
        <w:rPr>
          <w:sz w:val="20"/>
          <w:szCs w:val="20"/>
          <w:color w:val="auto"/>
        </w:rPr>
      </w:pPr>
    </w:p>
    <w:p>
      <w:pPr>
        <w:jc w:val="both"/>
        <w:ind w:left="660" w:right="679"/>
        <w:spacing w:after="0" w:line="289" w:lineRule="auto"/>
        <w:rPr>
          <w:sz w:val="20"/>
          <w:szCs w:val="20"/>
          <w:color w:val="auto"/>
        </w:rPr>
      </w:pPr>
      <w:r>
        <w:rPr>
          <w:rFonts w:ascii="Times New Roman" w:cs="Times New Roman" w:eastAsia="Times New Roman" w:hAnsi="Times New Roman"/>
          <w:sz w:val="14"/>
          <w:szCs w:val="14"/>
          <w:color w:val="auto"/>
        </w:rPr>
        <w:t>Unless otherwise stated, all percentage comparisons in the bullet points below are calculated at or for the quarter ended September 30, 2025 compared to at or for the quarter ended September 30, 2024 and annualized where appropriate.</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Profitability</w:t>
      </w:r>
    </w:p>
    <w:p>
      <w:pPr>
        <w:spacing w:after="0" w:line="172" w:lineRule="exact"/>
        <w:rPr>
          <w:sz w:val="20"/>
          <w:szCs w:val="20"/>
          <w:color w:val="auto"/>
        </w:rPr>
      </w:pPr>
    </w:p>
    <w:p>
      <w:pPr>
        <w:ind w:left="920" w:right="67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assets for the quarter ended September 30, 2025 was 1.27% compared to 1.11% for the third quarter of 2024.</w:t>
      </w:r>
    </w:p>
    <w:p>
      <w:pPr>
        <w:spacing w:after="0" w:line="124" w:lineRule="exact"/>
        <w:rPr>
          <w:rFonts w:ascii="Times New Roman" w:cs="Times New Roman" w:eastAsia="Times New Roman" w:hAnsi="Times New Roman"/>
          <w:sz w:val="14"/>
          <w:szCs w:val="14"/>
          <w:color w:val="auto"/>
        </w:rPr>
      </w:pPr>
    </w:p>
    <w:p>
      <w:pPr>
        <w:ind w:left="920" w:right="699" w:hanging="257"/>
        <w:spacing w:after="0" w:line="289"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return on average stockholders’ equity for the quarter ended September 30, 2025 was 15.74% compared to 13.38% for the third quarter of 2024.</w:t>
      </w:r>
    </w:p>
    <w:p>
      <w:pPr>
        <w:spacing w:after="0" w:line="103"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ratio for the quarter ended September 30, 2025 was 52.28% compared to 53.16% for the third quarter of 2024.</w:t>
      </w:r>
    </w:p>
    <w:p>
      <w:pPr>
        <w:spacing w:after="0" w:line="169"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for the quarter ended September 30, 2025 was 3.14% compared to 3.03% for the third quarter of 2024.</w:t>
      </w:r>
    </w:p>
    <w:p>
      <w:pPr>
        <w:spacing w:after="0" w:line="169"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income before provision for credit losses was $21.3 million for the quarter ended September 30, 2025, an increase of $3.2 million or 17.5% compared to $18.1 million for the same period in 2024.</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Balance Sheet</w:t>
      </w:r>
    </w:p>
    <w:p>
      <w:pPr>
        <w:spacing w:after="0" w:line="172" w:lineRule="exact"/>
        <w:rPr>
          <w:sz w:val="20"/>
          <w:szCs w:val="20"/>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were $2.8 billion at September 30, 2025, representing an increase of $264.0 million or 10.5% from $2.5 billion at September 30, 2024.</w:t>
      </w:r>
    </w:p>
    <w:p>
      <w:pPr>
        <w:spacing w:after="0" w:line="103"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loans held for investment were $2.1 billion at September 30, 2025, representing an increase of $199.6 million or 10.3% from $1.9 billion at September 30, 2024.</w:t>
      </w:r>
    </w:p>
    <w:p>
      <w:pPr>
        <w:spacing w:after="0" w:line="124"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deposits were $2.5 billion at September 30, 2025, representing an increase of $329.0 million or 15.5% from $2.1 billion at September 30, 2024.</w:t>
      </w:r>
    </w:p>
    <w:p>
      <w:pPr>
        <w:spacing w:after="0" w:line="103" w:lineRule="exact"/>
        <w:rPr>
          <w:rFonts w:ascii="Times New Roman" w:cs="Times New Roman" w:eastAsia="Times New Roman" w:hAnsi="Times New Roman"/>
          <w:sz w:val="14"/>
          <w:szCs w:val="14"/>
          <w:color w:val="auto"/>
        </w:rPr>
      </w:pPr>
    </w:p>
    <w:p>
      <w:pPr>
        <w:jc w:val="both"/>
        <w:ind w:left="920" w:right="679" w:hanging="257"/>
        <w:spacing w:after="0" w:line="263"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highlight w:val="white"/>
        </w:rPr>
        <w:t>Total stockholders’ equity was $</w:t>
      </w:r>
      <w:r>
        <w:rPr>
          <w:rFonts w:ascii="Times New Roman" w:cs="Times New Roman" w:eastAsia="Times New Roman" w:hAnsi="Times New Roman"/>
          <w:sz w:val="14"/>
          <w:szCs w:val="14"/>
          <w:color w:val="auto"/>
        </w:rPr>
        <w:t>209.1</w:t>
      </w:r>
      <w:r>
        <w:rPr>
          <w:rFonts w:ascii="Times New Roman" w:cs="Times New Roman" w:eastAsia="Times New Roman" w:hAnsi="Times New Roman"/>
          <w:sz w:val="14"/>
          <w:szCs w:val="14"/>
          <w:color w:val="auto"/>
          <w:highlight w:val="white"/>
        </w:rPr>
        <w:t xml:space="preserve"> million at September 30, 2025, representing </w:t>
      </w:r>
      <w:r>
        <w:rPr>
          <w:rFonts w:ascii="Times New Roman" w:cs="Times New Roman" w:eastAsia="Times New Roman" w:hAnsi="Times New Roman"/>
          <w:sz w:val="14"/>
          <w:szCs w:val="14"/>
          <w:color w:val="auto"/>
        </w:rPr>
        <w:t>a decrease of $4.8</w:t>
      </w:r>
      <w:r>
        <w:rPr>
          <w:rFonts w:ascii="Times New Roman" w:cs="Times New Roman" w:eastAsia="Times New Roman" w:hAnsi="Times New Roman"/>
          <w:sz w:val="14"/>
          <w:szCs w:val="14"/>
          <w:color w:val="auto"/>
          <w:highlight w:val="white"/>
        </w:rPr>
        <w:t xml:space="preserve"> million or </w:t>
      </w:r>
      <w:r>
        <w:rPr>
          <w:rFonts w:ascii="Times New Roman" w:cs="Times New Roman" w:eastAsia="Times New Roman" w:hAnsi="Times New Roman"/>
          <w:sz w:val="14"/>
          <w:szCs w:val="14"/>
          <w:color w:val="auto"/>
        </w:rPr>
        <w:t>2.3%</w:t>
      </w:r>
      <w:r>
        <w:rPr>
          <w:rFonts w:ascii="Times New Roman" w:cs="Times New Roman" w:eastAsia="Times New Roman" w:hAnsi="Times New Roman"/>
          <w:sz w:val="14"/>
          <w:szCs w:val="14"/>
          <w:color w:val="auto"/>
          <w:highlight w:val="white"/>
        </w:rPr>
        <w:t xml:space="preserve"> from $</w:t>
      </w:r>
      <w:r>
        <w:rPr>
          <w:rFonts w:ascii="Times New Roman" w:cs="Times New Roman" w:eastAsia="Times New Roman" w:hAnsi="Times New Roman"/>
          <w:sz w:val="14"/>
          <w:szCs w:val="14"/>
          <w:color w:val="auto"/>
        </w:rPr>
        <w:t>213.9</w:t>
      </w:r>
      <w:r>
        <w:rPr>
          <w:rFonts w:ascii="Times New Roman" w:cs="Times New Roman" w:eastAsia="Times New Roman" w:hAnsi="Times New Roman"/>
          <w:sz w:val="14"/>
          <w:szCs w:val="14"/>
          <w:color w:val="auto"/>
          <w:highlight w:val="white"/>
        </w:rPr>
        <w:t xml:space="preserve"> million at </w:t>
      </w:r>
      <w:r>
        <w:rPr>
          <w:rFonts w:ascii="Times New Roman" w:cs="Times New Roman" w:eastAsia="Times New Roman" w:hAnsi="Times New Roman"/>
          <w:sz w:val="14"/>
          <w:szCs w:val="14"/>
          <w:color w:val="auto"/>
        </w:rPr>
        <w:t>September 30, 2024. Total stockholders’ equity included accumulated other comprehensive loss of $37.8 million at</w:t>
      </w:r>
      <w:r>
        <w:rPr>
          <w:rFonts w:ascii="Times New Roman" w:cs="Times New Roman" w:eastAsia="Times New Roman" w:hAnsi="Times New Roman"/>
          <w:sz w:val="14"/>
          <w:szCs w:val="14"/>
          <w:color w:val="auto"/>
          <w:highlight w:val="white"/>
        </w:rPr>
        <w:t xml:space="preserve"> </w:t>
      </w:r>
      <w:r>
        <w:rPr>
          <w:rFonts w:ascii="Times New Roman" w:cs="Times New Roman" w:eastAsia="Times New Roman" w:hAnsi="Times New Roman"/>
          <w:sz w:val="14"/>
          <w:szCs w:val="14"/>
          <w:color w:val="auto"/>
        </w:rPr>
        <w:t>September 30, 2025 compared to accumulated other comprehensive loss of $38.0 million at September 30, 2024.</w:t>
      </w:r>
    </w:p>
    <w:p>
      <w:pPr>
        <w:spacing w:after="0" w:line="132" w:lineRule="exact"/>
        <w:rPr>
          <w:rFonts w:ascii="Times New Roman" w:cs="Times New Roman" w:eastAsia="Times New Roman" w:hAnsi="Times New Roman"/>
          <w:sz w:val="14"/>
          <w:szCs w:val="14"/>
          <w:color w:val="auto"/>
        </w:rPr>
      </w:pPr>
    </w:p>
    <w:p>
      <w:pPr>
        <w:jc w:val="both"/>
        <w:ind w:left="920" w:right="679" w:hanging="257"/>
        <w:spacing w:after="0" w:line="251" w:lineRule="auto"/>
        <w:tabs>
          <w:tab w:leader="none" w:pos="9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2025, the Company entered into a Subordinated Note Purchase Agreement with certain qualified institutional buyers pursuant to which the Company sold and issued $40.0 million in aggregate principal amount of its 7.625% fixed-to-floating rate subordinated notes due August 15, 2035 in a private placement transaction. This transaction was conducted under the provisions of Regulation D promulgated under the Securities Act 1933. The subordinated notes were issued by the Company to the purchasers at a price equal to 100% of their face amount.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721" w:right="1440"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Asset Quality</w:t>
      </w:r>
    </w:p>
    <w:p>
      <w:pPr>
        <w:spacing w:after="0" w:line="172" w:lineRule="exact"/>
        <w:rPr>
          <w:sz w:val="20"/>
          <w:szCs w:val="20"/>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allowance for credit losses (“ACL”) increased by $1.9 million to $25.0 million at September 30, 2025 from $23.1 million at September 30, 2024.</w:t>
      </w:r>
    </w:p>
    <w:p>
      <w:pPr>
        <w:spacing w:after="0" w:line="124"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ACL represented 1.17% of total loans at September 30, 2025 and 1.19% at September 30, 2024.</w:t>
      </w:r>
    </w:p>
    <w:p>
      <w:pPr>
        <w:spacing w:after="0" w:line="169"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credit loss was $105 thousand for the quarter ended September 30, 2025, a decrease of $826 thousand compared to $931 thousand for the same period in 2024.</w:t>
      </w:r>
    </w:p>
    <w:p>
      <w:pPr>
        <w:spacing w:after="0" w:line="124" w:lineRule="exact"/>
        <w:rPr>
          <w:rFonts w:ascii="Times New Roman" w:cs="Times New Roman" w:eastAsia="Times New Roman" w:hAnsi="Times New Roman"/>
          <w:sz w:val="14"/>
          <w:szCs w:val="14"/>
          <w:color w:val="auto"/>
        </w:rPr>
      </w:pPr>
    </w:p>
    <w:p>
      <w:pPr>
        <w:ind w:left="920" w:right="679" w:hanging="257"/>
        <w:spacing w:after="0" w:line="273" w:lineRule="auto"/>
        <w:tabs>
          <w:tab w:leader="none" w:pos="9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non-performing loans to total loans was 0.06% at September 30, 2025 and 0.14% at September 30, 2024. Non-performing loans totaled $1.3 million at September 30, 2025 and $2.7 million at September 30, 2024.</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61" w:lineRule="exact"/>
        <w:rPr>
          <w:sz w:val="20"/>
          <w:szCs w:val="20"/>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was $3.7 million for the three months ended September 30, 2025, an increase of $246 thousand or 7.2% compared to $3.4 million for the same period in 2024.</w:t>
      </w:r>
    </w:p>
    <w:p>
      <w:pPr>
        <w:spacing w:after="0" w:line="103" w:lineRule="exact"/>
        <w:rPr>
          <w:rFonts w:ascii="Times New Roman" w:cs="Times New Roman" w:eastAsia="Times New Roman" w:hAnsi="Times New Roman"/>
          <w:sz w:val="14"/>
          <w:szCs w:val="14"/>
          <w:color w:val="auto"/>
        </w:rPr>
      </w:pPr>
    </w:p>
    <w:p>
      <w:pPr>
        <w:ind w:left="920" w:right="679" w:hanging="257"/>
        <w:spacing w:after="0" w:line="289"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expense was $13.0 million for the three months ended September 30, 2025, an increase of $1.6 million or 13.9% compared to $11.5 million for the same period in 2024.</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72" w:lineRule="exact"/>
        <w:rPr>
          <w:sz w:val="20"/>
          <w:szCs w:val="20"/>
          <w:color w:val="auto"/>
        </w:rPr>
      </w:pPr>
    </w:p>
    <w:p>
      <w:pPr>
        <w:jc w:val="both"/>
        <w:ind w:left="920" w:right="659" w:hanging="257"/>
        <w:spacing w:after="0" w:line="251"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2025, the Company entered into a Subordinated Note Purchase Agreement pursuant to which the Company sold and issued an aggregate of $40.0 million of subordinated notes. The majority of the proceeds were used to repurchase 2.0 million shares of Class A common stock from certain institutional shareholders through a privately negotiated transaction, at a weighted average price per share of $17.19. The aggregate purchase price for these transactions was approximately $34.4 million. The repurchases were supplemental and not part of the Company’s two previously announced stock repurchase programs. As of September 30, 2025, 528,309 shares remain authorized for repurchase under the Company’s two share repurchase programs.</w:t>
      </w:r>
    </w:p>
    <w:p>
      <w:pPr>
        <w:spacing w:after="0" w:line="131" w:lineRule="exact"/>
        <w:rPr>
          <w:rFonts w:ascii="Times New Roman" w:cs="Times New Roman" w:eastAsia="Times New Roman" w:hAnsi="Times New Roman"/>
          <w:sz w:val="14"/>
          <w:szCs w:val="14"/>
          <w:color w:val="auto"/>
        </w:rPr>
      </w:pPr>
    </w:p>
    <w:p>
      <w:pPr>
        <w:jc w:val="both"/>
        <w:ind w:left="920" w:right="679" w:hanging="257"/>
        <w:spacing w:after="0" w:line="26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20, 2025, the Company’s Board of Directors declared a quarterly cash dividend of $0.10 per share of the Company’s Class A common stock. The dividend will be paid on December 5, 2025 to shareholders of record at the close of business on November 14, 2025.</w:t>
      </w:r>
    </w:p>
    <w:p>
      <w:pPr>
        <w:spacing w:after="0" w:line="132" w:lineRule="exact"/>
        <w:rPr>
          <w:rFonts w:ascii="Times New Roman" w:cs="Times New Roman" w:eastAsia="Times New Roman" w:hAnsi="Times New Roman"/>
          <w:sz w:val="14"/>
          <w:szCs w:val="14"/>
          <w:color w:val="auto"/>
        </w:rPr>
      </w:pPr>
    </w:p>
    <w:p>
      <w:pPr>
        <w:ind w:left="920" w:right="699" w:hanging="257"/>
        <w:spacing w:after="0" w:line="27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2025, total risk-based capital ratios for the Company and the Bank were 14.20% and 13.93%, respectively, well in excess of regulatory requirements.</w:t>
      </w:r>
    </w:p>
    <w:p>
      <w:pPr>
        <w:spacing w:after="0" w:line="124" w:lineRule="exact"/>
        <w:rPr>
          <w:rFonts w:ascii="Times New Roman" w:cs="Times New Roman" w:eastAsia="Times New Roman" w:hAnsi="Times New Roman"/>
          <w:sz w:val="14"/>
          <w:szCs w:val="14"/>
          <w:color w:val="auto"/>
        </w:rPr>
      </w:pPr>
    </w:p>
    <w:p>
      <w:pPr>
        <w:jc w:val="both"/>
        <w:ind w:left="920" w:right="679" w:hanging="257"/>
        <w:spacing w:after="0" w:line="249"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per common share (a non-GAAP measure) was $11.55 at September 30, 2025, representing an increase of $0.65 or 5.9% from $10.90 at September 30, 2024. At September 30, 2025, tangible book value per common share was negatively affected by ($2.09) per share due to an accumulated other comprehensive loss of $37.8 million mostly due to changes in the market value of the Company’s available for sale securities. At September 30, 2024, tangible book value per common share was negatively affected by ($1.94) per share due to an accumulated other comprehensive loss of $38.0 million. The increases in the per share effect of the accumulated other comprehensive loss reflected the reduction in the number of shares of Class A common stock outstanding as a result of the share repurchases conducted in September 2025.</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Conference Call and Webcast</w:t>
      </w:r>
    </w:p>
    <w:p>
      <w:pPr>
        <w:spacing w:after="0" w:line="172" w:lineRule="exact"/>
        <w:rPr>
          <w:sz w:val="20"/>
          <w:szCs w:val="20"/>
          <w:color w:val="auto"/>
        </w:rPr>
      </w:pPr>
    </w:p>
    <w:p>
      <w:pPr>
        <w:jc w:val="both"/>
        <w:ind w:left="660" w:right="679"/>
        <w:spacing w:after="0" w:line="263" w:lineRule="auto"/>
        <w:rPr>
          <w:sz w:val="20"/>
          <w:szCs w:val="20"/>
          <w:color w:val="auto"/>
        </w:rPr>
      </w:pPr>
      <w:r>
        <w:rPr>
          <w:rFonts w:ascii="Times New Roman" w:cs="Times New Roman" w:eastAsia="Times New Roman" w:hAnsi="Times New Roman"/>
          <w:sz w:val="14"/>
          <w:szCs w:val="14"/>
          <w:color w:val="auto"/>
        </w:rPr>
        <w:t>The Company will host a conference call on Friday, October 24, 2025, at 11:00 a.m. Eastern Time to discuss the Company’s unaudited financial results for the quarter ended September 30, 2025. To access the conference call, dial (833) 816-1416 (U.S. toll-free) and ask to join the USCB Financial Holdings Call.</w:t>
      </w:r>
    </w:p>
    <w:p>
      <w:pPr>
        <w:spacing w:after="0" w:line="122" w:lineRule="exact"/>
        <w:rPr>
          <w:sz w:val="20"/>
          <w:szCs w:val="20"/>
          <w:color w:val="auto"/>
        </w:rPr>
      </w:pPr>
    </w:p>
    <w:p>
      <w:pPr>
        <w:jc w:val="both"/>
        <w:ind w:left="660" w:right="679"/>
        <w:spacing w:after="0" w:line="289" w:lineRule="auto"/>
        <w:rPr>
          <w:sz w:val="20"/>
          <w:szCs w:val="20"/>
          <w:color w:val="auto"/>
        </w:rPr>
      </w:pPr>
      <w:r>
        <w:rPr>
          <w:rFonts w:ascii="Times New Roman" w:cs="Times New Roman" w:eastAsia="Times New Roman" w:hAnsi="Times New Roman"/>
          <w:sz w:val="14"/>
          <w:szCs w:val="14"/>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About USCB Financial Holdings, Inc.</w:t>
      </w:r>
    </w:p>
    <w:p>
      <w:pPr>
        <w:spacing w:after="0" w:line="172"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about us or to find a banking center near you, please call (305) 715-5200 or visit www.uscentury.com.</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721" w:right="1440"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Forward-Looking Statements</w:t>
      </w:r>
    </w:p>
    <w:p>
      <w:pPr>
        <w:spacing w:after="0" w:line="161" w:lineRule="exact"/>
        <w:rPr>
          <w:sz w:val="20"/>
          <w:szCs w:val="20"/>
          <w:color w:val="auto"/>
        </w:rPr>
      </w:pPr>
    </w:p>
    <w:p>
      <w:pPr>
        <w:jc w:val="both"/>
        <w:ind w:left="660" w:right="659"/>
        <w:spacing w:after="0" w:line="248" w:lineRule="auto"/>
        <w:rPr>
          <w:sz w:val="20"/>
          <w:szCs w:val="20"/>
          <w:color w:val="auto"/>
        </w:rPr>
      </w:pPr>
      <w:r>
        <w:rPr>
          <w:rFonts w:ascii="Times New Roman" w:cs="Times New Roman" w:eastAsia="Times New Roman" w:hAnsi="Times New Roman"/>
          <w:sz w:val="14"/>
          <w:szCs w:val="14"/>
          <w:color w:val="auto"/>
        </w:rPr>
        <w:t>This earnings release may contain statements that are nothistorical in nature and are intended to be, and are hereby identified as, forward-looking statements for purposes of the safe harbor provided by Section 21E of the Securities Exchange Act of 1934, as amended. Forward-looking statements are those that are not historical facts. The words “may,” “will,” “anticipate,” “could,” “should,” “would,” “believe,” “contemplate,” “expect,” “aim,” “plan,” “estimate,” “seek,” “continue,” and “intend,”, the negative of these terms,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our results of operations and financial condition from expected or potential developments or events, or business and growth strategies, including anticipated internal growth and potential balance sheet restructuring.</w:t>
      </w:r>
    </w:p>
    <w:p>
      <w:pPr>
        <w:spacing w:after="0" w:line="146" w:lineRule="exact"/>
        <w:rPr>
          <w:sz w:val="20"/>
          <w:szCs w:val="20"/>
          <w:color w:val="auto"/>
        </w:rPr>
      </w:pPr>
    </w:p>
    <w:p>
      <w:pPr>
        <w:jc w:val="both"/>
        <w:ind w:left="660" w:right="679"/>
        <w:spacing w:after="0" w:line="273" w:lineRule="auto"/>
        <w:rPr>
          <w:sz w:val="20"/>
          <w:szCs w:val="20"/>
          <w:color w:val="auto"/>
        </w:rPr>
      </w:pPr>
      <w:r>
        <w:rPr>
          <w:rFonts w:ascii="Times New Roman" w:cs="Times New Roman" w:eastAsia="Times New Roman" w:hAnsi="Times New Roman"/>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25" w:lineRule="exact"/>
        <w:rPr>
          <w:sz w:val="20"/>
          <w:szCs w:val="20"/>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 general and the strength of the local economies in which we conduct operations;</w:t>
      </w:r>
    </w:p>
    <w:p>
      <w:pPr>
        <w:spacing w:after="0" w:line="15"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manage interest rate risk, credit risk, liquidity risk, and other risks inherent to our industry;</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efficiency and effectiveness of our internal control procedures and processes;</w:t>
      </w:r>
    </w:p>
    <w:p>
      <w:pPr>
        <w:ind w:left="920" w:right="67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extensive laws and regulations to which we are subject, including the laws for each jurisdiction where we operate;</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or conditions in capital and financial markets, including actual or potential stresses in the banking industry;</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attrition and the level of our uninsured deposits;</w:t>
      </w:r>
    </w:p>
    <w:p>
      <w:pPr>
        <w:spacing w:after="0" w:line="7" w:lineRule="exact"/>
        <w:rPr>
          <w:rFonts w:ascii="Times New Roman" w:cs="Times New Roman" w:eastAsia="Times New Roman" w:hAnsi="Times New Roman"/>
          <w:sz w:val="14"/>
          <w:szCs w:val="14"/>
          <w:color w:val="auto"/>
        </w:rPr>
      </w:pPr>
    </w:p>
    <w:p>
      <w:pPr>
        <w:ind w:left="920" w:right="699"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or regulatory changes, including the enactment of the Big Beautiful Bill and changes in accounting principles, policies, practices or guidelines, including the on-going effects of the Current Expected Credit Losses (“CECL”) standard;</w:t>
      </w:r>
    </w:p>
    <w:p>
      <w:pPr>
        <w:jc w:val="both"/>
        <w:ind w:left="920" w:right="679" w:hanging="257"/>
        <w:spacing w:after="0" w:line="243"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 significantly diversified loan portfolio and our concentration in the South Florida market, including the risks of geographic, depositor, and industry concentrations, including our concentration in loans secured by real estate, in particular, commercial real estate;</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climate change;</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ownership of our common stock;</w:t>
      </w:r>
    </w:p>
    <w:p>
      <w:pPr>
        <w:spacing w:after="0" w:line="1"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common stock;</w:t>
      </w:r>
    </w:p>
    <w:p>
      <w:pPr>
        <w:ind w:left="920" w:right="699" w:hanging="257"/>
        <w:spacing w:after="0" w:line="246"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interest rate, unemployment rate, and market and monetary fluctuations;</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potential new or increased tariffs, retaliatory tariffs and trade restrictions;</w:t>
      </w:r>
    </w:p>
    <w:p>
      <w:pPr>
        <w:spacing w:after="0" w:line="7" w:lineRule="exact"/>
        <w:rPr>
          <w:rFonts w:ascii="Times New Roman" w:cs="Times New Roman" w:eastAsia="Times New Roman" w:hAnsi="Times New Roman"/>
          <w:sz w:val="14"/>
          <w:szCs w:val="14"/>
          <w:color w:val="auto"/>
        </w:rPr>
      </w:pP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international hostilities and geopolitical events;</w:t>
      </w:r>
    </w:p>
    <w:p>
      <w:pPr>
        <w:spacing w:after="0" w:line="1" w:lineRule="exact"/>
        <w:rPr>
          <w:rFonts w:ascii="Times New Roman" w:cs="Times New Roman" w:eastAsia="Times New Roman" w:hAnsi="Times New Roman"/>
          <w:sz w:val="14"/>
          <w:szCs w:val="14"/>
          <w:color w:val="auto"/>
        </w:rPr>
      </w:pPr>
    </w:p>
    <w:p>
      <w:pPr>
        <w:ind w:left="920" w:right="699" w:hanging="257"/>
        <w:spacing w:after="0" w:line="244"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and its effect on the pricing of our products and services as well as our interest rate spread and net interest margin;</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employees;</w:t>
      </w:r>
    </w:p>
    <w:p>
      <w:pPr>
        <w:spacing w:after="0" w:line="1" w:lineRule="exact"/>
        <w:rPr>
          <w:rFonts w:ascii="Times New Roman" w:cs="Times New Roman" w:eastAsia="Times New Roman" w:hAnsi="Times New Roman"/>
          <w:sz w:val="14"/>
          <w:szCs w:val="14"/>
          <w:color w:val="auto"/>
        </w:rPr>
      </w:pPr>
    </w:p>
    <w:p>
      <w:pPr>
        <w:ind w:left="920" w:right="679" w:hanging="257"/>
        <w:spacing w:after="0" w:line="244" w:lineRule="auto"/>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described in this earnings release and other filings we make with the Securities and Exchange Commission (“SEC”).</w:t>
      </w:r>
    </w:p>
    <w:p>
      <w:pPr>
        <w:spacing w:after="0" w:line="146" w:lineRule="exact"/>
        <w:rPr>
          <w:sz w:val="20"/>
          <w:szCs w:val="20"/>
          <w:color w:val="auto"/>
        </w:rPr>
      </w:pPr>
    </w:p>
    <w:p>
      <w:pPr>
        <w:jc w:val="both"/>
        <w:ind w:left="660" w:right="679"/>
        <w:spacing w:after="0" w:line="251" w:lineRule="auto"/>
        <w:rPr>
          <w:sz w:val="20"/>
          <w:szCs w:val="20"/>
          <w:color w:val="auto"/>
        </w:rPr>
      </w:pPr>
      <w:r>
        <w:rPr>
          <w:rFonts w:ascii="Times New Roman" w:cs="Times New Roman" w:eastAsia="Times New Roman" w:hAnsi="Times New Roman"/>
          <w:sz w:val="14"/>
          <w:szCs w:val="14"/>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statements are made or to reflect the occurrence of unanticipated events, unless required to do so under the federal securities laws. You should also review the risk factors described in the reports the Company has filed or will file with the SEC.</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61" w:lineRule="exact"/>
        <w:rPr>
          <w:sz w:val="20"/>
          <w:szCs w:val="20"/>
          <w:color w:val="auto"/>
        </w:rPr>
      </w:pPr>
    </w:p>
    <w:p>
      <w:pPr>
        <w:jc w:val="both"/>
        <w:ind w:left="660" w:right="659"/>
        <w:spacing w:after="0" w:line="249" w:lineRule="auto"/>
        <w:rPr>
          <w:sz w:val="20"/>
          <w:szCs w:val="20"/>
          <w:color w:val="auto"/>
        </w:rPr>
      </w:pPr>
      <w:r>
        <w:rPr>
          <w:rFonts w:ascii="Times New Roman" w:cs="Times New Roman" w:eastAsia="Times New Roman" w:hAnsi="Times New Roman"/>
          <w:sz w:val="14"/>
          <w:szCs w:val="14"/>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operations and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Reconciliations of these non-GAAP</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891" w:right="1440" w:bottom="1440" w:gutter="0" w:footer="0" w:header="0"/>
        </w:sectPr>
      </w:pPr>
    </w:p>
    <w:bookmarkStart w:id="6" w:name="page7"/>
    <w:bookmarkEnd w:id="6"/>
    <w:p>
      <w:pPr>
        <w:ind w:left="660" w:right="699"/>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measures to the most directly comparable GAAP measures can be found in the ‘Non-GAAP Reconciliation Tables’ included in the exhibits to this earnings release.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numbers included in this press release are unaudited unless otherwise noted.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0000FF"/>
        </w:rPr>
        <w:t>InvestorRelations@uscentury.com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Media Relations</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Martha Guerra-Kattou</w:t>
      </w:r>
    </w:p>
    <w:p>
      <w:pPr>
        <w:ind w:left="660"/>
        <w:spacing w:after="0"/>
        <w:rPr>
          <w:sz w:val="20"/>
          <w:szCs w:val="20"/>
          <w:color w:val="auto"/>
        </w:rPr>
      </w:pPr>
      <w:r>
        <w:rPr>
          <w:rFonts w:ascii="Times New Roman" w:cs="Times New Roman" w:eastAsia="Times New Roman" w:hAnsi="Times New Roman"/>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723" w:right="144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 (UNAUDITED)</w:t>
      </w:r>
    </w:p>
    <w:p>
      <w:pPr>
        <w:jc w:val="center"/>
        <w:ind w:right="19"/>
        <w:spacing w:after="0"/>
        <w:rPr>
          <w:sz w:val="20"/>
          <w:szCs w:val="20"/>
          <w:color w:val="auto"/>
        </w:rPr>
      </w:pPr>
      <w:r>
        <w:rPr>
          <w:rFonts w:ascii="Times New Roman" w:cs="Times New Roman" w:eastAsia="Times New Roman" w:hAnsi="Times New Roman"/>
          <w:sz w:val="14"/>
          <w:szCs w:val="14"/>
          <w:color w:val="auto"/>
        </w:rPr>
        <w:t>(Dollars in thousands, except per share data)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7"/>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0" w:type="dxa"/>
            <w:vAlign w:val="bottom"/>
          </w:tcPr>
          <w:p>
            <w:pPr>
              <w:spacing w:after="0"/>
              <w:rPr>
                <w:sz w:val="11"/>
                <w:szCs w:val="11"/>
                <w:color w:val="auto"/>
              </w:rPr>
            </w:pPr>
          </w:p>
        </w:tc>
      </w:tr>
      <w:tr>
        <w:trPr>
          <w:trHeight w:val="131"/>
        </w:trPr>
        <w:tc>
          <w:tcPr>
            <w:tcW w:w="35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1"/>
                <w:szCs w:val="11"/>
                <w:color w:val="auto"/>
              </w:rPr>
            </w:pPr>
          </w:p>
        </w:tc>
      </w:tr>
      <w:tr>
        <w:trPr>
          <w:trHeight w:val="14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including fees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32,866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29,819</w:t>
            </w:r>
          </w:p>
        </w:tc>
        <w:tc>
          <w:tcPr>
            <w:tcW w:w="180" w:type="dxa"/>
            <w:vAlign w:val="bottom"/>
            <w:gridSpan w:val="4"/>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95,057</w:t>
            </w:r>
          </w:p>
        </w:tc>
        <w:tc>
          <w:tcPr>
            <w:tcW w:w="20" w:type="dxa"/>
            <w:vAlign w:val="bottom"/>
          </w:tcPr>
          <w:p>
            <w:pPr>
              <w:spacing w:after="0"/>
              <w:rPr>
                <w:sz w:val="12"/>
                <w:szCs w:val="12"/>
                <w:color w:val="auto"/>
              </w:rPr>
            </w:pPr>
          </w:p>
        </w:tc>
        <w:tc>
          <w:tcPr>
            <w:tcW w:w="160" w:type="dxa"/>
            <w:vAlign w:val="bottom"/>
            <w:gridSpan w:val="3"/>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84,479</w:t>
            </w:r>
          </w:p>
        </w:tc>
        <w:tc>
          <w:tcPr>
            <w:tcW w:w="20" w:type="dxa"/>
            <w:vAlign w:val="bottom"/>
          </w:tcPr>
          <w:p>
            <w:pPr>
              <w:spacing w:after="0"/>
              <w:rPr>
                <w:sz w:val="12"/>
                <w:szCs w:val="12"/>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8,634</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Interest-bearing deposits in financial institutions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2,817</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3,953</w:t>
            </w:r>
          </w:p>
        </w:tc>
        <w:tc>
          <w:tcPr>
            <w:tcW w:w="20" w:type="dxa"/>
            <w:vAlign w:val="bottom"/>
          </w:tcPr>
          <w:p>
            <w:pPr>
              <w:spacing w:after="0"/>
              <w:rPr>
                <w:sz w:val="13"/>
                <w:szCs w:val="13"/>
                <w:color w:val="auto"/>
              </w:rPr>
            </w:pPr>
          </w:p>
        </w:tc>
      </w:tr>
      <w:tr>
        <w:trPr>
          <w:trHeight w:val="14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107,852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97,066</w:t>
            </w:r>
          </w:p>
        </w:tc>
        <w:tc>
          <w:tcPr>
            <w:tcW w:w="20" w:type="dxa"/>
            <w:vAlign w:val="bottom"/>
            <w:shd w:val="clear" w:color="auto" w:fill="CCEEFF"/>
          </w:tcPr>
          <w:p>
            <w:pPr>
              <w:spacing w:after="0"/>
              <w:rPr>
                <w:sz w:val="12"/>
                <w:szCs w:val="12"/>
                <w:color w:val="auto"/>
              </w:rPr>
            </w:pPr>
          </w:p>
        </w:tc>
      </w:tr>
      <w:tr>
        <w:trPr>
          <w:trHeight w:val="160"/>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w:t>
            </w:r>
          </w:p>
        </w:tc>
        <w:tc>
          <w:tcPr>
            <w:tcW w:w="20" w:type="dxa"/>
            <w:vAlign w:val="bottom"/>
            <w:shd w:val="clear" w:color="auto" w:fill="CCEEFF"/>
          </w:tcPr>
          <w:p>
            <w:pPr>
              <w:spacing w:after="0"/>
              <w:rPr>
                <w:sz w:val="12"/>
                <w:szCs w:val="12"/>
                <w:color w:val="auto"/>
              </w:rPr>
            </w:pPr>
          </w:p>
        </w:tc>
      </w:tr>
      <w:tr>
        <w:trPr>
          <w:trHeight w:val="160"/>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Savings and money market 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30,529</w:t>
            </w: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9,907</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4,881</w:t>
            </w:r>
          </w:p>
        </w:tc>
        <w:tc>
          <w:tcPr>
            <w:tcW w:w="20" w:type="dxa"/>
            <w:vAlign w:val="bottom"/>
          </w:tcPr>
          <w:p>
            <w:pPr>
              <w:spacing w:after="0"/>
              <w:rPr>
                <w:sz w:val="13"/>
                <w:szCs w:val="13"/>
                <w:color w:val="auto"/>
              </w:rPr>
            </w:pPr>
          </w:p>
        </w:tc>
      </w:tr>
      <w:tr>
        <w:trPr>
          <w:trHeight w:val="149"/>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 expense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16,446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46,429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46,488</w:t>
            </w:r>
          </w:p>
        </w:tc>
        <w:tc>
          <w:tcPr>
            <w:tcW w:w="20" w:type="dxa"/>
            <w:vAlign w:val="bottom"/>
          </w:tcPr>
          <w:p>
            <w:pPr>
              <w:spacing w:after="0"/>
              <w:rPr>
                <w:sz w:val="13"/>
                <w:szCs w:val="13"/>
                <w:color w:val="auto"/>
              </w:rPr>
            </w:pPr>
          </w:p>
        </w:tc>
      </w:tr>
      <w:tr>
        <w:trPr>
          <w:trHeight w:val="120"/>
        </w:trPr>
        <w:tc>
          <w:tcPr>
            <w:tcW w:w="3500" w:type="dxa"/>
            <w:vAlign w:val="bottom"/>
            <w:tcBorders>
              <w:top w:val="single" w:sz="8" w:color="CCEEFF"/>
            </w:tcBorders>
            <w:shd w:val="clear" w:color="auto" w:fill="CCEEFF"/>
          </w:tcPr>
          <w:p>
            <w:pPr>
              <w:ind w:left="200"/>
              <w:spacing w:after="0" w:line="120" w:lineRule="exact"/>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21,274</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18,109</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61,423</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50,578</w:t>
            </w:r>
          </w:p>
        </w:tc>
        <w:tc>
          <w:tcPr>
            <w:tcW w:w="20" w:type="dxa"/>
            <w:vAlign w:val="bottom"/>
            <w:shd w:val="clear" w:color="auto" w:fill="CCEEFF"/>
          </w:tcPr>
          <w:p>
            <w:pPr>
              <w:spacing w:after="0"/>
              <w:rPr>
                <w:sz w:val="10"/>
                <w:szCs w:val="10"/>
                <w:color w:val="auto"/>
              </w:rPr>
            </w:pPr>
          </w:p>
        </w:tc>
      </w:tr>
      <w:tr>
        <w:trPr>
          <w:trHeight w:val="140"/>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1,817</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2,127</w:t>
            </w:r>
          </w:p>
        </w:tc>
        <w:tc>
          <w:tcPr>
            <w:tcW w:w="20" w:type="dxa"/>
            <w:vAlign w:val="bottom"/>
          </w:tcPr>
          <w:p>
            <w:pPr>
              <w:spacing w:after="0"/>
              <w:rPr>
                <w:sz w:val="12"/>
                <w:szCs w:val="12"/>
                <w:color w:val="auto"/>
              </w:rPr>
            </w:pPr>
          </w:p>
        </w:tc>
      </w:tr>
      <w:tr>
        <w:trPr>
          <w:trHeight w:val="14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21,169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17,178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59,606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48,451</w:t>
            </w:r>
          </w:p>
        </w:tc>
        <w:tc>
          <w:tcPr>
            <w:tcW w:w="20" w:type="dxa"/>
            <w:vAlign w:val="bottom"/>
            <w:shd w:val="clear" w:color="auto" w:fill="CCEEFF"/>
          </w:tcPr>
          <w:p>
            <w:pPr>
              <w:spacing w:after="0"/>
              <w:rPr>
                <w:sz w:val="12"/>
                <w:szCs w:val="12"/>
                <w:color w:val="auto"/>
              </w:rPr>
            </w:pPr>
          </w:p>
        </w:tc>
      </w:tr>
      <w:tr>
        <w:trPr>
          <w:trHeight w:val="160"/>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6,172</w:t>
            </w:r>
          </w:p>
        </w:tc>
        <w:tc>
          <w:tcPr>
            <w:tcW w:w="20" w:type="dxa"/>
            <w:vAlign w:val="bottom"/>
            <w:shd w:val="clear" w:color="auto" w:fill="CCEEFF"/>
          </w:tcPr>
          <w:p>
            <w:pPr>
              <w:spacing w:after="0"/>
              <w:rPr>
                <w:sz w:val="13"/>
                <w:szCs w:val="13"/>
                <w:color w:val="auto"/>
              </w:rPr>
            </w:pPr>
          </w:p>
        </w:tc>
      </w:tr>
      <w:tr>
        <w:trPr>
          <w:trHeight w:val="149"/>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(Loss) gain on sale of securities available for sale,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2"/>
                <w:szCs w:val="12"/>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2,334</w:t>
            </w:r>
          </w:p>
        </w:tc>
        <w:tc>
          <w:tcPr>
            <w:tcW w:w="20" w:type="dxa"/>
            <w:vAlign w:val="bottom"/>
          </w:tcPr>
          <w:p>
            <w:pPr>
              <w:spacing w:after="0"/>
              <w:rPr>
                <w:sz w:val="13"/>
                <w:szCs w:val="13"/>
                <w:color w:val="auto"/>
              </w:rPr>
            </w:pPr>
          </w:p>
        </w:tc>
      </w:tr>
      <w:tr>
        <w:trPr>
          <w:trHeight w:val="14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9,113</w:t>
            </w:r>
          </w:p>
        </w:tc>
        <w:tc>
          <w:tcPr>
            <w:tcW w:w="20" w:type="dxa"/>
            <w:vAlign w:val="bottom"/>
            <w:shd w:val="clear" w:color="auto" w:fill="CCEEFF"/>
          </w:tcPr>
          <w:p>
            <w:pPr>
              <w:spacing w:after="0"/>
              <w:rPr>
                <w:sz w:val="12"/>
                <w:szCs w:val="12"/>
                <w:color w:val="auto"/>
              </w:rPr>
            </w:pPr>
          </w:p>
        </w:tc>
      </w:tr>
      <w:tr>
        <w:trPr>
          <w:trHeight w:val="160"/>
        </w:trPr>
        <w:tc>
          <w:tcPr>
            <w:tcW w:w="35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20,863</w:t>
            </w:r>
          </w:p>
        </w:tc>
        <w:tc>
          <w:tcPr>
            <w:tcW w:w="20" w:type="dxa"/>
            <w:vAlign w:val="bottom"/>
            <w:shd w:val="clear" w:color="auto" w:fill="CCEEFF"/>
          </w:tcPr>
          <w:p>
            <w:pPr>
              <w:spacing w:after="0"/>
              <w:rPr>
                <w:sz w:val="12"/>
                <w:szCs w:val="12"/>
                <w:color w:val="auto"/>
              </w:rPr>
            </w:pPr>
          </w:p>
        </w:tc>
      </w:tr>
      <w:tr>
        <w:trPr>
          <w:trHeight w:val="160"/>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3,921</w:t>
            </w: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1,361</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w:t>
            </w: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20" w:type="dxa"/>
            <w:vAlign w:val="bottom"/>
            <w:shd w:val="clear" w:color="auto" w:fill="CCEEFF"/>
          </w:tcPr>
          <w:p>
            <w:pPr>
              <w:spacing w:after="0"/>
              <w:rPr>
                <w:sz w:val="13"/>
                <w:szCs w:val="13"/>
                <w:color w:val="auto"/>
              </w:rPr>
            </w:pPr>
          </w:p>
        </w:tc>
      </w:tr>
      <w:tr>
        <w:trPr>
          <w:trHeight w:val="149"/>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6,272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5,528</w:t>
            </w:r>
          </w:p>
        </w:tc>
        <w:tc>
          <w:tcPr>
            <w:tcW w:w="20" w:type="dxa"/>
            <w:vAlign w:val="bottom"/>
          </w:tcPr>
          <w:p>
            <w:pPr>
              <w:spacing w:after="0"/>
              <w:rPr>
                <w:sz w:val="12"/>
                <w:szCs w:val="12"/>
                <w:color w:val="auto"/>
              </w:rPr>
            </w:pPr>
          </w:p>
        </w:tc>
      </w:tr>
      <w:tr>
        <w:trPr>
          <w:trHeight w:val="14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34,188</w:t>
            </w:r>
          </w:p>
        </w:tc>
        <w:tc>
          <w:tcPr>
            <w:tcW w:w="20" w:type="dxa"/>
            <w:vAlign w:val="bottom"/>
            <w:shd w:val="clear" w:color="auto" w:fill="CCEEFF"/>
          </w:tcPr>
          <w:p>
            <w:pPr>
              <w:spacing w:after="0"/>
              <w:rPr>
                <w:sz w:val="12"/>
                <w:szCs w:val="12"/>
                <w:color w:val="auto"/>
              </w:rPr>
            </w:pPr>
          </w:p>
        </w:tc>
      </w:tr>
      <w:tr>
        <w:trPr>
          <w:trHeight w:val="140"/>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32,642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23,376</w:t>
            </w:r>
          </w:p>
        </w:tc>
        <w:tc>
          <w:tcPr>
            <w:tcW w:w="20" w:type="dxa"/>
            <w:vAlign w:val="bottom"/>
          </w:tcPr>
          <w:p>
            <w:pPr>
              <w:spacing w:after="0"/>
              <w:rPr>
                <w:sz w:val="12"/>
                <w:szCs w:val="12"/>
                <w:color w:val="auto"/>
              </w:rPr>
            </w:pPr>
          </w:p>
        </w:tc>
      </w:tr>
      <w:tr>
        <w:trPr>
          <w:trHeight w:val="149"/>
        </w:trPr>
        <w:tc>
          <w:tcPr>
            <w:tcW w:w="3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7,905</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5,606</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2"/>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24,737</w:t>
            </w:r>
          </w:p>
        </w:tc>
        <w:tc>
          <w:tcPr>
            <w:tcW w:w="20" w:type="dxa"/>
            <w:vAlign w:val="bottom"/>
          </w:tcPr>
          <w:p>
            <w:pPr>
              <w:spacing w:after="0"/>
              <w:rPr>
                <w:sz w:val="13"/>
                <w:szCs w:val="13"/>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17,770</w:t>
            </w:r>
          </w:p>
        </w:tc>
        <w:tc>
          <w:tcPr>
            <w:tcW w:w="20" w:type="dxa"/>
            <w:vAlign w:val="bottom"/>
          </w:tcPr>
          <w:p>
            <w:pPr>
              <w:spacing w:after="0"/>
              <w:rPr>
                <w:sz w:val="13"/>
                <w:szCs w:val="13"/>
                <w:color w:val="auto"/>
              </w:rPr>
            </w:pPr>
          </w:p>
        </w:tc>
      </w:tr>
      <w:tr>
        <w:trPr>
          <w:trHeight w:val="128"/>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60"/>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180" w:type="dxa"/>
            <w:vAlign w:val="bottom"/>
            <w:gridSpan w:val="4"/>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0" w:type="dxa"/>
            <w:vAlign w:val="bottom"/>
          </w:tcPr>
          <w:p>
            <w:pPr>
              <w:spacing w:after="0"/>
              <w:rPr>
                <w:sz w:val="13"/>
                <w:szCs w:val="13"/>
                <w:color w:val="auto"/>
              </w:rPr>
            </w:pPr>
          </w:p>
        </w:tc>
        <w:tc>
          <w:tcPr>
            <w:tcW w:w="160" w:type="dxa"/>
            <w:vAlign w:val="bottom"/>
            <w:gridSpan w:val="3"/>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6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0.90</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Cash dividends declared</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80" w:type="dxa"/>
            <w:vAlign w:val="bottom"/>
            <w:gridSpan w:val="4"/>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20" w:type="dxa"/>
            <w:vAlign w:val="bottom"/>
          </w:tcPr>
          <w:p>
            <w:pPr>
              <w:spacing w:after="0"/>
              <w:rPr>
                <w:sz w:val="13"/>
                <w:szCs w:val="13"/>
                <w:color w:val="auto"/>
              </w:rPr>
            </w:pPr>
          </w:p>
        </w:tc>
        <w:tc>
          <w:tcPr>
            <w:tcW w:w="160" w:type="dxa"/>
            <w:vAlign w:val="bottom"/>
            <w:gridSpan w:val="3"/>
          </w:tcPr>
          <w:p>
            <w:pPr>
              <w:jc w:val="right"/>
              <w:ind w:right="37"/>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20" w:type="dxa"/>
            <w:vAlign w:val="bottom"/>
          </w:tcPr>
          <w:p>
            <w:pPr>
              <w:spacing w:after="0"/>
              <w:rPr>
                <w:sz w:val="13"/>
                <w:szCs w:val="13"/>
                <w:color w:val="auto"/>
              </w:rPr>
            </w:pPr>
          </w:p>
        </w:tc>
      </w:tr>
      <w:tr>
        <w:trPr>
          <w:trHeight w:val="16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49"/>
        </w:trPr>
        <w:tc>
          <w:tcPr>
            <w:tcW w:w="35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Common shares, basic</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19,524,798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19,621,447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19,866,514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19,653,103</w:t>
            </w:r>
          </w:p>
        </w:tc>
        <w:tc>
          <w:tcPr>
            <w:tcW w:w="20" w:type="dxa"/>
            <w:vAlign w:val="bottom"/>
          </w:tcPr>
          <w:p>
            <w:pPr>
              <w:spacing w:after="0"/>
              <w:rPr>
                <w:sz w:val="12"/>
                <w:szCs w:val="12"/>
                <w:color w:val="auto"/>
              </w:rPr>
            </w:pPr>
          </w:p>
        </w:tc>
      </w:tr>
      <w:tr>
        <w:trPr>
          <w:trHeight w:val="16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Common shares, 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19,755,820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19,825,211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20,106,050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19,761,242</w:t>
            </w:r>
          </w:p>
        </w:tc>
        <w:tc>
          <w:tcPr>
            <w:tcW w:w="20" w:type="dxa"/>
            <w:vAlign w:val="bottom"/>
            <w:shd w:val="clear" w:color="auto" w:fill="CCEEFF"/>
          </w:tcPr>
          <w:p>
            <w:pPr>
              <w:spacing w:after="0"/>
              <w:rPr>
                <w:sz w:val="13"/>
                <w:szCs w:val="13"/>
                <w:color w:val="auto"/>
              </w:rPr>
            </w:pPr>
          </w:p>
        </w:tc>
      </w:tr>
      <w:tr>
        <w:trPr>
          <w:trHeight w:val="160"/>
        </w:trPr>
        <w:tc>
          <w:tcPr>
            <w:tcW w:w="35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72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SELECTED FINANCIAL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0"/>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interest income before provision for credit losses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21,034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19,115</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1,031</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21,169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Service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Loss on sale of securities available for sale,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non-interest income</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817</w:t>
            </w: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Borders>
              <w:top w:val="single" w:sz="8" w:color="CCEEFF"/>
            </w:tcBorders>
            <w:shd w:val="clear" w:color="auto" w:fill="CCEEFF"/>
          </w:tcPr>
          <w:p>
            <w:pPr>
              <w:spacing w:after="0"/>
              <w:rPr>
                <w:sz w:val="10"/>
                <w:szCs w:val="10"/>
                <w:color w:val="auto"/>
              </w:rPr>
            </w:pPr>
          </w:p>
        </w:tc>
        <w:tc>
          <w:tcPr>
            <w:tcW w:w="3140" w:type="dxa"/>
            <w:vAlign w:val="bottom"/>
            <w:tcBorders>
              <w:top w:val="single" w:sz="8" w:color="CCEEFF"/>
            </w:tcBorders>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3,684</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3,370</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3,716</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3,627</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rPr>
              <w:t>3,438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Salaries and employee benefits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7,909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7,954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Occupancy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Regulatory assessments and fees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Network and information technology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2,139</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2,136</w:t>
            </w: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12,634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12,854</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11,805</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10,098</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9,162</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shd w:val="clear" w:color="auto" w:fill="CCEEFF"/>
          </w:tcPr>
          <w:p>
            <w:pPr>
              <w:spacing w:after="0"/>
              <w:rPr>
                <w:sz w:val="11"/>
                <w:szCs w:val="11"/>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8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60" w:type="dxa"/>
            <w:vAlign w:val="bottom"/>
            <w:gridSpan w:val="2"/>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Per share information: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basic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0.41</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per common share, diluted</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dividends declared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period-end):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56,811</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54,819</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97,984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77,035</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38,486</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324,179</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285,382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275,139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260,221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held-to-maturity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156,365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158,740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161,790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164,694</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167,001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480,544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444,122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436,929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424,915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426,528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1"/>
                <w:szCs w:val="11"/>
                <w:color w:val="auto"/>
              </w:rPr>
              <w:t xml:space="preserve">Loans held for investment </w:t>
            </w:r>
            <w:r>
              <w:rPr>
                <w:rFonts w:ascii="Times New Roman" w:cs="Times New Roman" w:eastAsia="Times New Roman" w:hAnsi="Times New Roman"/>
                <w:sz w:val="14"/>
                <w:szCs w:val="14"/>
                <w:color w:val="auto"/>
                <w:vertAlign w:val="superscript"/>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2,130,966</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2,113,318</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2,036,212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1,972,848</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1,931,362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(24,964)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(24,933)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(24,740)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(24,070)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(23,067)</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2,767,945</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2,719,474</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2,677,382</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2,581,216</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2,503,954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584,240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584,895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605,489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575,159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1,871,374</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1,750,766</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1,704,080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1,598,845</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1,489,304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2,455,614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2,335,661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2,309,569</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2,174,004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FHLB advances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163,000</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118,000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39,262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2,558,850</w:t>
            </w: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2,487,891</w:t>
            </w:r>
          </w:p>
        </w:tc>
        <w:tc>
          <w:tcPr>
            <w:tcW w:w="8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2,452,294</w:t>
            </w:r>
          </w:p>
        </w:tc>
        <w:tc>
          <w:tcPr>
            <w:tcW w:w="2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2,365,828</w:t>
            </w:r>
          </w:p>
        </w:tc>
        <w:tc>
          <w:tcPr>
            <w:tcW w:w="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2,290,038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2"/>
                <w:szCs w:val="12"/>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Capital ratios:</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Leverage ratio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Tier 1 risk-based 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860" w:hanging="197"/>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660" w:right="719" w:firstLine="3"/>
        <w:spacing w:after="0" w:line="283" w:lineRule="auto"/>
        <w:tabs>
          <w:tab w:leader="none" w:pos="851"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Company's regulatory capital ratios which are provided for informational purposes only; as a small bank holding company, the Company is not subject to regulatory capital requirements. The Bank's total risk-based capital at September 30, 2025 was 13.93%.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760" w:right="1440" w:bottom="1440" w:gutter="0" w:footer="0" w:header="0"/>
        </w:sectPr>
      </w:pPr>
    </w:p>
    <w:bookmarkStart w:id="9" w:name="page10"/>
    <w:bookmarkEnd w:id="9"/>
    <w:p>
      <w:pPr>
        <w:ind w:left="3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1"/>
          <w:szCs w:val="11"/>
          <w:b w:val="1"/>
          <w:bCs w:val="1"/>
          <w:color w:val="auto"/>
        </w:rPr>
        <w:t>AVERAGE BALANCES, RATIOS, AND OTHER DATA (UNAUDITED)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12/31/2024</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139,389</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71,388</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82,610</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56,937</w:t>
            </w:r>
          </w:p>
        </w:tc>
        <w:tc>
          <w:tcPr>
            <w:tcW w:w="20" w:type="dxa"/>
            <w:vAlign w:val="bottom"/>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87,937</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299,892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281,840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265,154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255,786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244,882</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Securities held-to-maturity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157,702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160,443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163,510</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168,632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457,594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442,283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428,664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421,617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413,514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2,099,043</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2,057,445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1,986,856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1,958,566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1,878,230</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2,677,198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Interest-bearing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1,887,545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1,710,568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1,652,147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1,547,789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1,468,067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569,522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580,121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563,040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590,829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609,456</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2,457,067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2,290,689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2,215,187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2,138,618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2,077,523</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40,065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138,944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156,043</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26,029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2,572,799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2,448,706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2,387,088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2,328,877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2,278,793</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225,316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228,492</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219,505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215,715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206,641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Return on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1.11%</w:t>
            </w:r>
          </w:p>
        </w:tc>
      </w:tr>
      <w:tr>
        <w:trPr>
          <w:trHeight w:val="160"/>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Return on average equity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13.38%</w:t>
            </w:r>
          </w:p>
        </w:tc>
      </w:tr>
      <w:tr>
        <w:trPr>
          <w:trHeight w:val="149"/>
        </w:trPr>
        <w:tc>
          <w:tcPr>
            <w:tcW w:w="3140" w:type="dxa"/>
            <w:vAlign w:val="bottom"/>
          </w:tcPr>
          <w:p>
            <w:pPr>
              <w:ind w:left="100"/>
              <w:spacing w:after="0" w:line="149"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income to average assets </w:t>
            </w:r>
            <w:r>
              <w:rPr>
                <w:rFonts w:ascii="Times New Roman" w:cs="Times New Roman" w:eastAsia="Times New Roman" w:hAnsi="Times New Roman"/>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0.50%</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0.55%</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Non-interest expense to average assets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1.83%</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53.16%</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 xml:space="preserve">Loans by type (at period end): </w:t>
            </w:r>
            <w:r>
              <w:rPr>
                <w:rFonts w:ascii="Times New Roman" w:cs="Times New Roman" w:eastAsia="Times New Roman" w:hAnsi="Times New Roman"/>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316,557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301,164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289,961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283,477</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1,226,121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1,206,621</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1,150,129</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1,136,417</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1,095,112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269,430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263,966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256,326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258,311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246,539</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Correspondent banks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104,598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110,155</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103,026</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82,438</w:t>
            </w:r>
          </w:p>
        </w:tc>
        <w:tc>
          <w:tcPr>
            <w:tcW w:w="2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103,815</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207,939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218,426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218,711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198,091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198,604</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Allowance for credit losses to non-performing loans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1825%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846%</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non-performing loans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Non-performing loans to total loans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0.14%</w:t>
            </w:r>
          </w:p>
        </w:tc>
      </w:tr>
      <w:tr>
        <w:trPr>
          <w:trHeight w:val="149"/>
        </w:trPr>
        <w:tc>
          <w:tcPr>
            <w:tcW w:w="3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1"/>
                <w:szCs w:val="11"/>
                <w:color w:val="auto"/>
              </w:rPr>
              <w:t>Non-performing assets to total assets</w:t>
            </w:r>
            <w:r>
              <w:rPr>
                <w:rFonts w:ascii="Times New Roman" w:cs="Times New Roman" w:eastAsia="Times New Roman" w:hAnsi="Times New Roman"/>
                <w:sz w:val="14"/>
                <w:szCs w:val="14"/>
                <w:color w:val="auto"/>
                <w:vertAlign w:val="superscript"/>
              </w:rPr>
              <w:t>(5)</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0.11%</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Net charge-offs (recoveries of) to average loans </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charge-offs (recovery) of credit losses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 rates and yields:</w:t>
            </w:r>
            <w:r>
              <w:rPr>
                <w:rFonts w:ascii="Times New Roman" w:cs="Times New Roman" w:eastAsia="Times New Roman" w:hAnsi="Times New Roman"/>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r>
      <w:tr>
        <w:trPr>
          <w:trHeight w:val="149"/>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Investment securities</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Deposits</w:t>
            </w:r>
            <w:r>
              <w:rPr>
                <w:rFonts w:ascii="Times New Roman" w:cs="Times New Roman" w:eastAsia="Times New Roman" w:hAnsi="Times New Roman"/>
                <w:sz w:val="14"/>
                <w:szCs w:val="14"/>
                <w:color w:val="auto"/>
                <w:vertAlign w:val="superscript"/>
              </w:rPr>
              <w:t>(6)</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w:t>
            </w: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w:t>
            </w:r>
          </w:p>
        </w:tc>
      </w:tr>
      <w:tr>
        <w:trPr>
          <w:trHeight w:val="160"/>
        </w:trPr>
        <w:tc>
          <w:tcPr>
            <w:tcW w:w="31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r>
      <w:tr>
        <w:trPr>
          <w:trHeight w:val="160"/>
        </w:trPr>
        <w:tc>
          <w:tcPr>
            <w:tcW w:w="31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information: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Full-time equivalent employees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20" w:type="dxa"/>
            <w:vAlign w:val="bottom"/>
            <w:shd w:val="clear" w:color="auto" w:fill="CCEEFF"/>
          </w:tcPr>
          <w:p>
            <w:pPr>
              <w:spacing w:after="0"/>
              <w:rPr>
                <w:sz w:val="13"/>
                <w:szCs w:val="13"/>
                <w:color w:val="auto"/>
              </w:rPr>
            </w:pPr>
          </w:p>
        </w:tc>
      </w:tr>
    </w:tbl>
    <w:p>
      <w:pPr>
        <w:spacing w:after="0" w:line="163" w:lineRule="exact"/>
        <w:rPr>
          <w:sz w:val="20"/>
          <w:szCs w:val="20"/>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include deferred fees/costs.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Efficiency ratio is defined as total non-interest expense divided by sum of net interest income and total non-interest income.</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Loan amounts exclude deferred fees/costs.</w:t>
      </w:r>
    </w:p>
    <w:p>
      <w:pPr>
        <w:spacing w:after="0" w:line="33" w:lineRule="exact"/>
        <w:rPr>
          <w:rFonts w:ascii="Times New Roman" w:cs="Times New Roman" w:eastAsia="Times New Roman" w:hAnsi="Times New Roman"/>
          <w:sz w:val="11"/>
          <w:szCs w:val="11"/>
          <w:color w:val="auto"/>
        </w:rPr>
      </w:pPr>
    </w:p>
    <w:p>
      <w:pPr>
        <w:ind w:left="660" w:right="739" w:firstLine="3"/>
        <w:spacing w:after="0" w:line="283" w:lineRule="auto"/>
        <w:tabs>
          <w:tab w:leader="none" w:pos="851"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for total non-performing loans and total non-performingassets are the same at the dates presented since there was no other real estate owned (OREO) recorded at any of the dates presented.</w:t>
      </w:r>
    </w:p>
    <w:p>
      <w:pPr>
        <w:spacing w:after="0" w:line="21" w:lineRule="exact"/>
        <w:rPr>
          <w:rFonts w:ascii="Times New Roman" w:cs="Times New Roman" w:eastAsia="Times New Roman" w:hAnsi="Times New Roman"/>
          <w:sz w:val="11"/>
          <w:szCs w:val="11"/>
          <w:color w:val="auto"/>
        </w:rPr>
      </w:pPr>
    </w:p>
    <w:p>
      <w:pPr>
        <w:ind w:left="820" w:hanging="157"/>
        <w:spacing w:after="0"/>
        <w:tabs>
          <w:tab w:leader="none" w:pos="8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effect of non-interest-bearing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76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Yield/Rate </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20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Loans held for investment</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2,099,043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32,866</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80" w:type="dxa"/>
            <w:vAlign w:val="bottom"/>
            <w:gridSpan w:val="2"/>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1,878,230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29,819</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Investment securities </w:t>
            </w:r>
            <w:r>
              <w:rPr>
                <w:rFonts w:ascii="Times New Roman" w:cs="Times New Roman" w:eastAsia="Times New Roman" w:hAnsi="Times New Roman"/>
                <w:sz w:val="14"/>
                <w:szCs w:val="14"/>
                <w:color w:val="auto"/>
                <w:vertAlign w:val="superscript"/>
              </w:rPr>
              <w:t>(3)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461,303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419,315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130,740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80,378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2,691,086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2,377,923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33,562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107,511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Interest-bearing checking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47,338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gridSpan w:val="2"/>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57,925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1,319,862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1,084,562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520,345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5,036</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325,580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3,391</w:t>
            </w: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1,887,545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1,468,067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FHLB advances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40,065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156,043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1,587</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Subordinated notes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26,029</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1,953,639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16,446</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1,624,110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15,453</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Non-interest-bearing demand deposits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569,522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609,456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non-interest-bearing liabilities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49,638</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45,227</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2,572,799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2,278,793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Stockholders' equity</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6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auto"/>
            </w:tcBorders>
            <w:shd w:val="clear" w:color="auto" w:fill="CCEEFF"/>
          </w:tcPr>
          <w:p>
            <w:pPr>
              <w:spacing w:after="0"/>
              <w:rPr>
                <w:sz w:val="12"/>
                <w:szCs w:val="12"/>
                <w:color w:val="auto"/>
              </w:rPr>
            </w:pP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21,274</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auto"/>
            </w:tcBorders>
            <w:shd w:val="clear" w:color="auto" w:fill="CCEEFF"/>
          </w:tcPr>
          <w:p>
            <w:pPr>
              <w:spacing w:after="0"/>
              <w:rPr>
                <w:sz w:val="12"/>
                <w:szCs w:val="12"/>
                <w:color w:val="auto"/>
              </w:rPr>
            </w:pPr>
          </w:p>
        </w:tc>
        <w:tc>
          <w:tcPr>
            <w:tcW w:w="6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18,109</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line="140" w:lineRule="exact"/>
              <w:rPr>
                <w:sz w:val="20"/>
                <w:szCs w:val="20"/>
                <w:color w:val="auto"/>
              </w:rPr>
            </w:pPr>
            <w:r>
              <w:rPr>
                <w:rFonts w:ascii="Times New Roman" w:cs="Times New Roman" w:eastAsia="Times New Roman" w:hAnsi="Times New Roman"/>
                <w:sz w:val="11"/>
                <w:szCs w:val="11"/>
                <w:color w:val="auto"/>
              </w:rPr>
              <w:t xml:space="preserve">Net interest spread </w:t>
            </w:r>
            <w:r>
              <w:rPr>
                <w:rFonts w:ascii="Times New Roman" w:cs="Times New Roman" w:eastAsia="Times New Roman" w:hAnsi="Times New Roman"/>
                <w:sz w:val="14"/>
                <w:szCs w:val="14"/>
                <w:color w:val="auto"/>
                <w:vertAlign w:val="superscript"/>
              </w:rPr>
              <w:t>(4)</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loan balances include non-accrual loans. Interest income on loans includes accretion of deferred loan fees, net of deferred loan costs.</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fair value except for securities held to maturity. This amount includes FHLB stock.</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spread is the average yield earned on total interest-earning assets minus the average rate paid on total interest-bearingliabilities.</w:t>
      </w:r>
    </w:p>
    <w:p>
      <w:pPr>
        <w:spacing w:after="0" w:line="33"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781"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ind w:left="24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10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99"/>
              </w:rPr>
              <w:t>12/31/2024</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2"/>
                <w:szCs w:val="12"/>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1"/>
                <w:szCs w:val="11"/>
                <w:b w:val="1"/>
                <w:bCs w:val="1"/>
                <w:color w:val="auto"/>
              </w:rPr>
              <w:t>Pre-tax pre-provision ("PTPP") income:</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Plus: Income tax expense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w:t>
            </w:r>
          </w:p>
        </w:tc>
        <w:tc>
          <w:tcPr>
            <w:tcW w:w="20" w:type="dxa"/>
            <w:vAlign w:val="bottom"/>
            <w:shd w:val="clear" w:color="auto" w:fill="CCEEFF"/>
          </w:tcPr>
          <w:p>
            <w:pPr>
              <w:spacing w:after="0"/>
              <w:rPr>
                <w:sz w:val="13"/>
                <w:szCs w:val="13"/>
                <w:color w:val="auto"/>
              </w:rPr>
            </w:pPr>
          </w:p>
        </w:tc>
      </w:tr>
      <w:tr>
        <w:trPr>
          <w:trHeight w:val="18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Plus: Provision for credit losses</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20" w:type="dxa"/>
            <w:vAlign w:val="bottom"/>
          </w:tcPr>
          <w:p>
            <w:pPr>
              <w:spacing w:after="0"/>
              <w:rPr>
                <w:sz w:val="15"/>
                <w:szCs w:val="15"/>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1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11,910</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11,770</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Borders>
              <w:bottom w:val="single" w:sz="8" w:color="auto"/>
            </w:tcBorders>
            <w:shd w:val="clear" w:color="auto" w:fill="CCEEFF"/>
          </w:tcPr>
          <w:p>
            <w:pPr>
              <w:spacing w:after="0"/>
              <w:rPr>
                <w:sz w:val="11"/>
                <w:szCs w:val="11"/>
                <w:color w:val="auto"/>
              </w:rPr>
            </w:pP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11,910</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11,770</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2,677,198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 w:type="dxa"/>
            <w:vAlign w:val="bottom"/>
          </w:tcPr>
          <w:p>
            <w:pPr>
              <w:spacing w:after="0"/>
              <w:rPr>
                <w:sz w:val="13"/>
                <w:szCs w:val="13"/>
                <w:color w:val="auto"/>
              </w:rPr>
            </w:pPr>
          </w:p>
        </w:tc>
      </w:tr>
      <w:tr>
        <w:trPr>
          <w:trHeight w:val="171"/>
        </w:trPr>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net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8,939</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Less: Net losses on sale of securities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Tax effect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r>
      <w:tr>
        <w:trPr>
          <w:trHeight w:val="191"/>
        </w:trPr>
        <w:tc>
          <w:tcPr>
            <w:tcW w:w="100" w:type="dxa"/>
            <w:vAlign w:val="bottom"/>
          </w:tcPr>
          <w:p>
            <w:pPr>
              <w:spacing w:after="0"/>
              <w:rPr>
                <w:sz w:val="16"/>
                <w:szCs w:val="16"/>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gridSpan w:val="2"/>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71"/>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PTPP income: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11,910</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Less: Net losses on sale of securities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r>
      <w:tr>
        <w:trPr>
          <w:trHeight w:val="140"/>
        </w:trPr>
        <w:tc>
          <w:tcPr>
            <w:tcW w:w="100" w:type="dxa"/>
            <w:vAlign w:val="bottom"/>
            <w:shd w:val="clear" w:color="auto" w:fill="CCEEFF"/>
          </w:tcPr>
          <w:p>
            <w:pPr>
              <w:spacing w:after="0"/>
              <w:rPr>
                <w:sz w:val="12"/>
                <w:szCs w:val="12"/>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11,770</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gridSpan w:val="2"/>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3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71"/>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PTPP return on average assets:</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PTPP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11,770</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10,779</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10,131</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10,093</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2,677,198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shd w:val="clear" w:color="auto" w:fill="CCEEFF"/>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PTPP return on average assets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1.76%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assets:</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Average assets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2,798,115</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2,677,198</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2,606,593</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2,544,592</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2,485,434</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assets </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return on average equity:</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equity</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225,316</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228,492</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219,505</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215,715</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206,641</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Operating return on average equity </w:t>
            </w:r>
            <w:r>
              <w:rPr>
                <w:rFonts w:ascii="Times New Roman" w:cs="Times New Roman" w:eastAsia="Times New Roman" w:hAnsi="Times New Roman"/>
                <w:sz w:val="14"/>
                <w:szCs w:val="14"/>
                <w:color w:val="auto"/>
                <w:vertAlign w:val="superscript"/>
              </w:rPr>
              <w:t>(2)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Revenue:</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interest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21,274</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21,034</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19,115</w:t>
            </w:r>
          </w:p>
        </w:tc>
        <w:tc>
          <w:tcPr>
            <w:tcW w:w="2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19,358</w:t>
            </w: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18,109</w:t>
            </w:r>
          </w:p>
        </w:tc>
        <w:tc>
          <w:tcPr>
            <w:tcW w:w="20" w:type="dxa"/>
            <w:vAlign w:val="bottom"/>
            <w:shd w:val="clear" w:color="auto" w:fill="CCEEFF"/>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Non-interest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3,438</w:t>
            </w:r>
          </w:p>
        </w:tc>
        <w:tc>
          <w:tcPr>
            <w:tcW w:w="20" w:type="dxa"/>
            <w:vAlign w:val="bottom"/>
          </w:tcPr>
          <w:p>
            <w:pPr>
              <w:spacing w:after="0"/>
              <w:rPr>
                <w:sz w:val="13"/>
                <w:szCs w:val="13"/>
                <w:color w:val="auto"/>
              </w:rPr>
            </w:pP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31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Less: Net losses on sale of securities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91"/>
        </w:trPr>
        <w:tc>
          <w:tcPr>
            <w:tcW w:w="100" w:type="dxa"/>
            <w:vAlign w:val="bottom"/>
          </w:tcPr>
          <w:p>
            <w:pPr>
              <w:spacing w:after="0"/>
              <w:rPr>
                <w:sz w:val="16"/>
                <w:szCs w:val="16"/>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24,986</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24,404</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22,831</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22,985</w:t>
            </w:r>
          </w:p>
        </w:tc>
        <w:tc>
          <w:tcPr>
            <w:tcW w:w="2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21,547</w:t>
            </w:r>
          </w:p>
        </w:tc>
        <w:tc>
          <w:tcPr>
            <w:tcW w:w="20" w:type="dxa"/>
            <w:vAlign w:val="bottom"/>
          </w:tcPr>
          <w:p>
            <w:pPr>
              <w:spacing w:after="0"/>
              <w:rPr>
                <w:sz w:val="16"/>
                <w:szCs w:val="16"/>
                <w:color w:val="auto"/>
              </w:rPr>
            </w:pPr>
          </w:p>
        </w:tc>
      </w:tr>
      <w:tr>
        <w:trPr>
          <w:trHeight w:val="100"/>
        </w:trPr>
        <w:tc>
          <w:tcPr>
            <w:tcW w:w="100" w:type="dxa"/>
            <w:vAlign w:val="bottom"/>
            <w:tcBorders>
              <w:top w:val="single" w:sz="8" w:color="CCEEFF"/>
            </w:tcBorders>
            <w:shd w:val="clear" w:color="auto" w:fill="CCEEFF"/>
          </w:tcPr>
          <w:p>
            <w:pPr>
              <w:spacing w:after="0"/>
              <w:rPr>
                <w:sz w:val="8"/>
                <w:szCs w:val="8"/>
                <w:color w:val="auto"/>
              </w:rPr>
            </w:pPr>
          </w:p>
        </w:tc>
        <w:tc>
          <w:tcPr>
            <w:tcW w:w="3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Operating Efficiency Ratio:</w:t>
            </w:r>
            <w:r>
              <w:rPr>
                <w:rFonts w:ascii="Times New Roman" w:cs="Times New Roman" w:eastAsia="Times New Roman" w:hAnsi="Times New Roman"/>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00" w:type="dxa"/>
            <w:vAlign w:val="bottom"/>
            <w:shd w:val="clear" w:color="auto" w:fill="CCEEFF"/>
          </w:tcPr>
          <w:p>
            <w:pPr>
              <w:spacing w:after="0"/>
              <w:rPr>
                <w:sz w:val="14"/>
                <w:szCs w:val="14"/>
                <w:color w:val="auto"/>
              </w:rPr>
            </w:pPr>
          </w:p>
        </w:tc>
        <w:tc>
          <w:tcPr>
            <w:tcW w:w="3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non-interest expense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12,634</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12,052</w:t>
            </w:r>
          </w:p>
        </w:tc>
        <w:tc>
          <w:tcPr>
            <w:tcW w:w="20" w:type="dxa"/>
            <w:vAlign w:val="bottom"/>
            <w:shd w:val="clear" w:color="auto" w:fill="CCEEFF"/>
          </w:tcPr>
          <w:p>
            <w:pPr>
              <w:spacing w:after="0"/>
              <w:rPr>
                <w:sz w:val="14"/>
                <w:szCs w:val="14"/>
                <w:color w:val="auto"/>
              </w:rPr>
            </w:pPr>
          </w:p>
        </w:tc>
        <w:tc>
          <w:tcPr>
            <w:tcW w:w="60" w:type="dxa"/>
            <w:vAlign w:val="bottom"/>
            <w:gridSpan w:val="2"/>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12,854</w:t>
            </w: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11,454</w:t>
            </w:r>
          </w:p>
        </w:tc>
        <w:tc>
          <w:tcPr>
            <w:tcW w:w="20" w:type="dxa"/>
            <w:vAlign w:val="bottom"/>
            <w:shd w:val="clear" w:color="auto" w:fill="CCEEFF"/>
          </w:tcPr>
          <w:p>
            <w:pPr>
              <w:spacing w:after="0"/>
              <w:rPr>
                <w:sz w:val="14"/>
                <w:szCs w:val="14"/>
                <w:color w:val="auto"/>
              </w:rPr>
            </w:pPr>
          </w:p>
        </w:tc>
      </w:tr>
      <w:tr>
        <w:trPr>
          <w:trHeight w:val="160"/>
        </w:trPr>
        <w:tc>
          <w:tcPr>
            <w:tcW w:w="10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Operating revenue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24,986</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24,404</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22,831</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22,985</w:t>
            </w:r>
          </w:p>
        </w:tc>
        <w:tc>
          <w:tcPr>
            <w:tcW w:w="2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21,547</w:t>
            </w:r>
          </w:p>
        </w:tc>
        <w:tc>
          <w:tcPr>
            <w:tcW w:w="20" w:type="dxa"/>
            <w:vAlign w:val="bottom"/>
          </w:tcPr>
          <w:p>
            <w:pPr>
              <w:spacing w:after="0"/>
              <w:rPr>
                <w:sz w:val="13"/>
                <w:szCs w:val="13"/>
                <w:color w:val="auto"/>
              </w:rPr>
            </w:pPr>
          </w:p>
        </w:tc>
      </w:tr>
      <w:tr>
        <w:trPr>
          <w:trHeight w:val="160"/>
        </w:trPr>
        <w:tc>
          <w:tcPr>
            <w:tcW w:w="100" w:type="dxa"/>
            <w:vAlign w:val="bottom"/>
            <w:shd w:val="clear" w:color="auto" w:fill="CCEEFF"/>
          </w:tcPr>
          <w:p>
            <w:pPr>
              <w:spacing w:after="0"/>
              <w:rPr>
                <w:sz w:val="13"/>
                <w:szCs w:val="13"/>
                <w:color w:val="auto"/>
              </w:rPr>
            </w:pPr>
          </w:p>
        </w:tc>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efficiency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53.16%</w:t>
            </w:r>
          </w:p>
        </w:tc>
        <w:tc>
          <w:tcPr>
            <w:tcW w:w="20" w:type="dxa"/>
            <w:vAlign w:val="bottom"/>
            <w:shd w:val="clear" w:color="auto" w:fill="CCEEFF"/>
          </w:tcPr>
          <w:p>
            <w:pPr>
              <w:spacing w:after="0"/>
              <w:rPr>
                <w:sz w:val="13"/>
                <w:szCs w:val="13"/>
                <w:color w:val="auto"/>
              </w:rPr>
            </w:pPr>
          </w:p>
        </w:tc>
      </w:tr>
    </w:tbl>
    <w:p>
      <w:pPr>
        <w:spacing w:after="0" w:line="185" w:lineRule="exact"/>
        <w:rPr>
          <w:sz w:val="20"/>
          <w:szCs w:val="20"/>
          <w:color w:val="auto"/>
        </w:rPr>
      </w:pPr>
    </w:p>
    <w:p>
      <w:pPr>
        <w:ind w:left="820" w:hanging="157"/>
        <w:spacing w:after="0"/>
        <w:tabs>
          <w:tab w:leader="none" w:pos="8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54"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76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0" w:type="dxa"/>
            <w:vAlign w:val="bottom"/>
            <w:tcBorders>
              <w:bottom w:val="single" w:sz="8" w:color="CCEEFF"/>
            </w:tcBorders>
          </w:tcPr>
          <w:p>
            <w:pPr>
              <w:spacing w:after="0"/>
              <w:rPr>
                <w:sz w:val="11"/>
                <w:szCs w:val="11"/>
                <w:color w:val="auto"/>
              </w:rPr>
            </w:pPr>
          </w:p>
        </w:tc>
        <w:tc>
          <w:tcPr>
            <w:tcW w:w="30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9/30/2025</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6/30/2025</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3/31/2025</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9/30/2024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1"/>
                <w:szCs w:val="11"/>
                <w:b w:val="1"/>
                <w:bCs w:val="1"/>
                <w:color w:val="auto"/>
              </w:rPr>
              <w:t>Tangible book value per common share (at period-end):</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Less: Intangible assets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shares issued and outstanding (at period-end):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1"/>
                <w:szCs w:val="11"/>
                <w:color w:val="auto"/>
              </w:rPr>
              <w:t>Total common shares issued and outstanding</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18,107,385</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20,078,385</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20,048,385</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19,924,632</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19,620,632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book value per common share</w:t>
            </w:r>
            <w:r>
              <w:rPr>
                <w:rFonts w:ascii="Times New Roman" w:cs="Times New Roman" w:eastAsia="Times New Roman" w:hAnsi="Times New Roman"/>
                <w:sz w:val="14"/>
                <w:szCs w:val="14"/>
                <w:color w:val="auto"/>
                <w:vertAlign w:val="superscript"/>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Operating diluted net income per common share:</w:t>
            </w:r>
            <w:r>
              <w:rPr>
                <w:rFonts w:ascii="Times New Roman" w:cs="Times New Roman" w:eastAsia="Times New Roman" w:hAnsi="Times New Roman"/>
                <w:sz w:val="14"/>
                <w:szCs w:val="14"/>
                <w:color w:val="auto"/>
                <w:vertAlign w:val="superscript"/>
              </w:rPr>
              <w:t>(1)</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Operating 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6,904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6,949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Total weighted average diluted shares of common stock</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19,755,820</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20,295,794</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20,319,535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20,183,731</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19,825,211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diluted net income per common share:</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0.38</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0.35</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 xml:space="preserve">Tangible Common Equity/Tangible Assets </w:t>
            </w:r>
            <w:r>
              <w:rPr>
                <w:rFonts w:ascii="Times New Roman" w:cs="Times New Roman" w:eastAsia="Times New Roman" w:hAnsi="Times New Roman"/>
                <w:sz w:val="14"/>
                <w:szCs w:val="14"/>
                <w:color w:val="auto"/>
                <w:vertAlign w:val="superscript"/>
              </w:rPr>
              <w:t>(1)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Tangible stockholders' equity</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209,095</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225,088</w:t>
            </w:r>
          </w:p>
        </w:tc>
        <w:tc>
          <w:tcPr>
            <w:tcW w:w="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215,388</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213,916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Tangible total assets</w:t>
            </w:r>
            <w:r>
              <w:rPr>
                <w:rFonts w:ascii="Times New Roman" w:cs="Times New Roman" w:eastAsia="Times New Roman" w:hAnsi="Times New Roman"/>
                <w:sz w:val="14"/>
                <w:szCs w:val="14"/>
                <w:color w:val="auto"/>
                <w:vertAlign w:val="superscript"/>
              </w:rPr>
              <w:t>(3)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2,767,945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2,719,474</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2,677,382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2,581,216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2,503,954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Tangible Common Equity/Tangible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shd w:val="clear" w:color="auto" w:fill="CCEEFF"/>
          </w:tcPr>
          <w:p>
            <w:pPr>
              <w:spacing w:after="0"/>
              <w:rPr>
                <w:sz w:val="14"/>
                <w:szCs w:val="14"/>
                <w:color w:val="auto"/>
              </w:rPr>
            </w:pPr>
          </w:p>
        </w:tc>
        <w:tc>
          <w:tcPr>
            <w:tcW w:w="30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believes these non-GAAP measurements are key indicators of the ongoing earnings power of the Company.</w:t>
      </w:r>
    </w:p>
    <w:p>
      <w:pPr>
        <w:spacing w:after="0" w:line="22" w:lineRule="exact"/>
        <w:rPr>
          <w:rFonts w:ascii="Times New Roman" w:cs="Times New Roman" w:eastAsia="Times New Roman" w:hAnsi="Times New Roman"/>
          <w:sz w:val="11"/>
          <w:szCs w:val="11"/>
          <w:color w:val="auto"/>
        </w:rPr>
      </w:pPr>
    </w:p>
    <w:p>
      <w:pPr>
        <w:ind w:left="860" w:hanging="197"/>
        <w:spacing w:after="0"/>
        <w:tabs>
          <w:tab w:leader="none" w:pos="86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the dilutive effect, if any, of shares of common stock issuable upon exercise of outstanding stock options.</w:t>
      </w:r>
    </w:p>
    <w:p>
      <w:pPr>
        <w:spacing w:after="0" w:line="33" w:lineRule="exact"/>
        <w:rPr>
          <w:rFonts w:ascii="Times New Roman" w:cs="Times New Roman" w:eastAsia="Times New Roman" w:hAnsi="Times New Roman"/>
          <w:sz w:val="11"/>
          <w:szCs w:val="11"/>
          <w:color w:val="auto"/>
        </w:rPr>
      </w:pPr>
    </w:p>
    <w:p>
      <w:pPr>
        <w:ind w:left="660" w:right="879" w:firstLine="3"/>
        <w:spacing w:after="0" w:line="283" w:lineRule="auto"/>
        <w:tabs>
          <w:tab w:leader="none" w:pos="822"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Since the Company has no intangible assets, tangible stockholders’ equity and tangible total assets are the same amounts as stockholders’ equity and total assets, respectively, as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760" w:right="1440" w:bottom="1440" w:gutter="0" w:footer="0" w:header="0"/>
        </w:sectPr>
      </w:pPr>
    </w:p>
    <w:bookmarkStart w:id="13" w:name="page14"/>
    <w:bookmarkEnd w:id="13"/>
    <w:p>
      <w:pPr>
        <w:ind w:left="88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Exhibit 99.2</w:t>
      </w:r>
    </w:p>
    <w:p>
      <w:pPr>
        <w:sectPr>
          <w:pgSz w:w="11900" w:h="16838" w:orient="portrait"/>
          <w:cols w:equalWidth="0" w:num="1">
            <w:col w:w="9580"/>
          </w:cols>
          <w:pgMar w:left="1440" w:top="433" w:right="87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2025-10-23T15:15:27Z</dcterms:created>
  <dcterms:modified xsi:type="dcterms:W3CDTF">2025-10-23T15:15:27Z</dcterms:modified>
</cp:coreProperties>
</file>