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700" w:type="dxa"/>
            <w:vAlign w:val="bottom"/>
          </w:tcPr>
          <w:p>
            <w:pPr>
              <w:spacing w:after="0"/>
              <w:rPr>
                <w:sz w:val="20"/>
                <w:szCs w:val="20"/>
                <w:color w:val="auto"/>
              </w:rPr>
            </w:pPr>
          </w:p>
        </w:tc>
        <w:tc>
          <w:tcPr>
            <w:tcW w:w="3700" w:type="dxa"/>
            <w:vAlign w:val="bottom"/>
            <w:tcBorders>
              <w:bottom w:val="single" w:sz="8" w:color="auto"/>
            </w:tcBorders>
            <w:gridSpan w:val="2"/>
          </w:tcPr>
          <w:p>
            <w:pPr>
              <w:jc w:val="right"/>
              <w:ind w:right="2610"/>
              <w:spacing w:after="0"/>
              <w:rPr>
                <w:sz w:val="20"/>
                <w:szCs w:val="20"/>
                <w:color w:val="auto"/>
              </w:rPr>
            </w:pPr>
            <w:r>
              <w:rPr>
                <w:rFonts w:ascii="Times New Roman" w:cs="Times New Roman" w:eastAsia="Times New Roman" w:hAnsi="Times New Roman"/>
                <w:sz w:val="18"/>
                <w:szCs w:val="18"/>
                <w:color w:val="auto"/>
                <w:w w:val="97"/>
              </w:rPr>
              <w:t>May 28, 2024</w:t>
            </w:r>
          </w:p>
        </w:tc>
        <w:tc>
          <w:tcPr>
            <w:tcW w:w="3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26"/>
        </w:trPr>
        <w:tc>
          <w:tcPr>
            <w:tcW w:w="37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2"/>
          </w:tcPr>
          <w:p>
            <w:pPr>
              <w:jc w:val="center"/>
              <w:ind w:right="1230"/>
              <w:spacing w:after="0"/>
              <w:rPr>
                <w:sz w:val="20"/>
                <w:szCs w:val="20"/>
                <w:color w:val="auto"/>
              </w:rPr>
            </w:pPr>
            <w:r>
              <w:rPr>
                <w:rFonts w:ascii="Times New Roman" w:cs="Times New Roman" w:eastAsia="Times New Roman" w:hAnsi="Times New Roman"/>
                <w:sz w:val="18"/>
                <w:szCs w:val="18"/>
                <w:color w:val="auto"/>
              </w:rPr>
              <w:t>USCB Financial Holdings, Inc.</w:t>
            </w:r>
          </w:p>
        </w:tc>
        <w:tc>
          <w:tcPr>
            <w:tcW w:w="3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3740" w:type="dxa"/>
            <w:vAlign w:val="bottom"/>
          </w:tcPr>
          <w:p>
            <w:pPr>
              <w:spacing w:after="0"/>
              <w:rPr>
                <w:sz w:val="19"/>
                <w:szCs w:val="19"/>
                <w:color w:val="auto"/>
              </w:rPr>
            </w:pPr>
          </w:p>
        </w:tc>
        <w:tc>
          <w:tcPr>
            <w:tcW w:w="4400" w:type="dxa"/>
            <w:vAlign w:val="bottom"/>
            <w:gridSpan w:val="3"/>
          </w:tcPr>
          <w:p>
            <w:pPr>
              <w:jc w:val="center"/>
              <w:ind w:right="55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Florida</w:t>
            </w:r>
          </w:p>
        </w:tc>
        <w:tc>
          <w:tcPr>
            <w:tcW w:w="4400" w:type="dxa"/>
            <w:vAlign w:val="bottom"/>
            <w:tcBorders>
              <w:bottom w:val="single" w:sz="8" w:color="auto"/>
            </w:tcBorders>
            <w:gridSpan w:val="3"/>
          </w:tcPr>
          <w:p>
            <w:pPr>
              <w:jc w:val="right"/>
              <w:ind w:right="1870"/>
              <w:spacing w:after="0"/>
              <w:rPr>
                <w:sz w:val="20"/>
                <w:szCs w:val="20"/>
                <w:color w:val="auto"/>
              </w:rPr>
            </w:pPr>
            <w:r>
              <w:rPr>
                <w:rFonts w:ascii="Times New Roman" w:cs="Times New Roman" w:eastAsia="Times New Roman" w:hAnsi="Times New Roman"/>
                <w:sz w:val="18"/>
                <w:szCs w:val="18"/>
                <w:color w:val="auto"/>
              </w:rPr>
              <w:t>001-41196</w:t>
            </w:r>
          </w:p>
        </w:tc>
        <w:tc>
          <w:tcPr>
            <w:tcW w:w="310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rPr>
              <w:t>87-4070846</w:t>
            </w:r>
          </w:p>
        </w:tc>
        <w:tc>
          <w:tcPr>
            <w:tcW w:w="20" w:type="dxa"/>
            <w:vAlign w:val="bottom"/>
          </w:tcPr>
          <w:p>
            <w:pPr>
              <w:spacing w:after="0"/>
              <w:rPr>
                <w:sz w:val="24"/>
                <w:szCs w:val="24"/>
                <w:color w:val="auto"/>
              </w:rPr>
            </w:pPr>
          </w:p>
        </w:tc>
      </w:tr>
      <w:tr>
        <w:trPr>
          <w:trHeight w:val="191"/>
        </w:trPr>
        <w:tc>
          <w:tcPr>
            <w:tcW w:w="3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tcPr>
          <w:p>
            <w:pPr>
              <w:jc w:val="center"/>
              <w:ind w:right="1090"/>
              <w:spacing w:after="0" w:line="191"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3100" w:type="dxa"/>
            <w:vAlign w:val="bottom"/>
          </w:tcPr>
          <w:p>
            <w:pPr>
              <w:jc w:val="center"/>
              <w:ind w:right="370"/>
              <w:spacing w:after="0" w:line="191" w:lineRule="exact"/>
              <w:rPr>
                <w:sz w:val="20"/>
                <w:szCs w:val="20"/>
                <w:color w:val="auto"/>
              </w:rPr>
            </w:pPr>
            <w:r>
              <w:rPr>
                <w:rFonts w:ascii="Times New Roman" w:cs="Times New Roman" w:eastAsia="Times New Roman" w:hAnsi="Times New Roman"/>
                <w:sz w:val="18"/>
                <w:szCs w:val="18"/>
                <w:color w:val="auto"/>
                <w:w w:val="98"/>
              </w:rPr>
              <w:t>(IRS Employer</w:t>
            </w:r>
          </w:p>
        </w:tc>
        <w:tc>
          <w:tcPr>
            <w:tcW w:w="20" w:type="dxa"/>
            <w:vAlign w:val="bottom"/>
          </w:tcPr>
          <w:p>
            <w:pPr>
              <w:spacing w:after="0"/>
              <w:rPr>
                <w:sz w:val="16"/>
                <w:szCs w:val="16"/>
                <w:color w:val="auto"/>
              </w:rPr>
            </w:pP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of incorporation)</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1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2301 N.W. 87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 Doral, Florida</w:t>
            </w: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33172</w:t>
            </w:r>
          </w:p>
        </w:tc>
        <w:tc>
          <w:tcPr>
            <w:tcW w:w="20" w:type="dxa"/>
            <w:vAlign w:val="bottom"/>
          </w:tcPr>
          <w:p>
            <w:pPr>
              <w:spacing w:after="0"/>
              <w:rPr>
                <w:sz w:val="24"/>
                <w:szCs w:val="24"/>
                <w:color w:val="auto"/>
              </w:rPr>
            </w:pPr>
          </w:p>
        </w:tc>
      </w:tr>
      <w:tr>
        <w:trPr>
          <w:trHeight w:val="228"/>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(Zip Code)</w:t>
            </w:r>
          </w:p>
        </w:tc>
        <w:tc>
          <w:tcPr>
            <w:tcW w:w="20" w:type="dxa"/>
            <w:vAlign w:val="bottom"/>
          </w:tcPr>
          <w:p>
            <w:pPr>
              <w:spacing w:after="0"/>
              <w:rPr>
                <w:sz w:val="19"/>
                <w:szCs w:val="19"/>
                <w:color w:val="auto"/>
              </w:rPr>
            </w:pPr>
          </w:p>
        </w:tc>
      </w:tr>
      <w:tr>
        <w:trPr>
          <w:trHeight w:val="41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880" w:type="dxa"/>
            <w:vAlign w:val="bottom"/>
            <w:gridSpan w:val="2"/>
          </w:tcPr>
          <w:p>
            <w:pPr>
              <w:spacing w:after="0"/>
              <w:rPr>
                <w:sz w:val="24"/>
                <w:szCs w:val="24"/>
                <w:color w:val="auto"/>
              </w:rPr>
            </w:pPr>
          </w:p>
        </w:tc>
        <w:tc>
          <w:tcPr>
            <w:tcW w:w="3520" w:type="dxa"/>
            <w:vAlign w:val="bottom"/>
            <w:tcBorders>
              <w:bottom w:val="single" w:sz="8" w:color="auto"/>
            </w:tcBorders>
          </w:tcPr>
          <w:p>
            <w:pPr>
              <w:jc w:val="right"/>
              <w:ind w:right="2310"/>
              <w:spacing w:after="0"/>
              <w:rPr>
                <w:sz w:val="20"/>
                <w:szCs w:val="20"/>
                <w:color w:val="auto"/>
              </w:rPr>
            </w:pPr>
            <w:r>
              <w:rPr>
                <w:rFonts w:ascii="Times New Roman" w:cs="Times New Roman" w:eastAsia="Times New Roman" w:hAnsi="Times New Roman"/>
                <w:sz w:val="18"/>
                <w:szCs w:val="18"/>
                <w:color w:val="auto"/>
                <w:w w:val="97"/>
              </w:rPr>
              <w:t>(305) 715-5200</w:t>
            </w:r>
          </w:p>
        </w:tc>
        <w:tc>
          <w:tcPr>
            <w:tcW w:w="3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43"/>
          <w:szCs w:val="43"/>
          <w:color w:val="auto"/>
          <w:vertAlign w:val="subscript"/>
        </w:rPr>
      </w:pPr>
    </w:p>
    <w:p>
      <w:pPr>
        <w:ind w:left="340" w:hanging="332"/>
        <w:spacing w:after="0" w:line="183" w:lineRule="auto"/>
        <w:tabs>
          <w:tab w:leader="none" w:pos="340" w:val="left"/>
        </w:tabs>
        <w:numPr>
          <w:ilvl w:val="0"/>
          <w:numId w:val="1"/>
        </w:numPr>
        <w:rPr>
          <w:rFonts w:ascii="MS PGothic" w:cs="MS PGothic" w:eastAsia="MS PGothic" w:hAnsi="MS PGothic"/>
          <w:sz w:val="28"/>
          <w:szCs w:val="28"/>
          <w:color w:val="auto"/>
          <w:vertAlign w:val="subscript"/>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42" w:lineRule="exact"/>
        <w:rPr>
          <w:rFonts w:ascii="MS PGothic" w:cs="MS PGothic" w:eastAsia="MS PGothic" w:hAnsi="MS PGothic"/>
          <w:sz w:val="28"/>
          <w:szCs w:val="28"/>
          <w:color w:val="auto"/>
          <w:vertAlign w:val="subscript"/>
        </w:rPr>
      </w:pPr>
    </w:p>
    <w:p>
      <w:pPr>
        <w:ind w:left="340" w:hanging="332"/>
        <w:spacing w:after="0" w:line="183" w:lineRule="auto"/>
        <w:tabs>
          <w:tab w:leader="none" w:pos="340" w:val="left"/>
        </w:tabs>
        <w:numPr>
          <w:ilvl w:val="0"/>
          <w:numId w:val="1"/>
        </w:numPr>
        <w:rPr>
          <w:rFonts w:ascii="MS PGothic" w:cs="MS PGothic" w:eastAsia="MS PGothic" w:hAnsi="MS PGothic"/>
          <w:sz w:val="28"/>
          <w:szCs w:val="28"/>
          <w:color w:val="auto"/>
          <w:vertAlign w:val="subscript"/>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43" w:lineRule="exact"/>
        <w:rPr>
          <w:rFonts w:ascii="MS PGothic" w:cs="MS PGothic" w:eastAsia="MS PGothic" w:hAnsi="MS PGothic"/>
          <w:sz w:val="28"/>
          <w:szCs w:val="28"/>
          <w:color w:val="auto"/>
          <w:vertAlign w:val="subscript"/>
        </w:rPr>
      </w:pPr>
    </w:p>
    <w:p>
      <w:pPr>
        <w:ind w:left="340" w:hanging="332"/>
        <w:spacing w:after="0" w:line="183" w:lineRule="auto"/>
        <w:tabs>
          <w:tab w:leader="none" w:pos="340" w:val="left"/>
        </w:tabs>
        <w:numPr>
          <w:ilvl w:val="0"/>
          <w:numId w:val="1"/>
        </w:numPr>
        <w:rPr>
          <w:rFonts w:ascii="MS PGothic" w:cs="MS PGothic" w:eastAsia="MS PGothic" w:hAnsi="MS PGothic"/>
          <w:sz w:val="28"/>
          <w:szCs w:val="28"/>
          <w:color w:val="auto"/>
          <w:vertAlign w:val="subscript"/>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0" w:lineRule="exact"/>
        <w:rPr>
          <w:sz w:val="24"/>
          <w:szCs w:val="24"/>
          <w:color w:val="auto"/>
        </w:rPr>
      </w:pPr>
    </w:p>
    <w:tbl>
      <w:tblPr>
        <w:tblLayout w:type="fixed"/>
        <w:tblInd w:w="1390" w:type="dxa"/>
        <w:tblCellMar>
          <w:top w:w="0" w:type="dxa"/>
          <w:left w:w="0" w:type="dxa"/>
          <w:bottom w:w="0" w:type="dxa"/>
          <w:right w:w="0" w:type="dxa"/>
        </w:tblCellMar>
      </w:tblPr>
      <w:tr>
        <w:trPr>
          <w:trHeight w:val="214"/>
        </w:trPr>
        <w:tc>
          <w:tcPr>
            <w:tcW w:w="3080" w:type="dxa"/>
            <w:vAlign w:val="bottom"/>
            <w:tcBorders>
              <w:top w:val="single" w:sz="8" w:color="auto"/>
              <w:left w:val="single" w:sz="8" w:color="auto"/>
              <w:right w:val="single" w:sz="8" w:color="auto"/>
            </w:tcBorders>
          </w:tcPr>
          <w:p>
            <w:pPr>
              <w:spacing w:after="0"/>
              <w:rPr>
                <w:sz w:val="18"/>
                <w:szCs w:val="18"/>
                <w:color w:val="auto"/>
              </w:rPr>
            </w:pPr>
          </w:p>
        </w:tc>
        <w:tc>
          <w:tcPr>
            <w:tcW w:w="2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w:t>
            </w:r>
          </w:p>
        </w:tc>
        <w:tc>
          <w:tcPr>
            <w:tcW w:w="2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31"/>
        </w:trPr>
        <w:tc>
          <w:tcPr>
            <w:tcW w:w="3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Symbol(s)</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13"/>
        </w:trPr>
        <w:tc>
          <w:tcPr>
            <w:tcW w:w="3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USCB</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8" w:lineRule="exact"/>
        <w:rPr>
          <w:sz w:val="24"/>
          <w:szCs w:val="24"/>
          <w:color w:val="auto"/>
        </w:rPr>
      </w:pPr>
    </w:p>
    <w:p>
      <w:pPr>
        <w:ind w:left="9040"/>
        <w:spacing w:after="0" w:line="230"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20"/>
          <w:szCs w:val="20"/>
          <w:color w:val="auto"/>
        </w:rPr>
        <w:t>☒</w:t>
      </w:r>
    </w:p>
    <w:p>
      <w:pPr>
        <w:spacing w:after="0" w:line="286" w:lineRule="exact"/>
        <w:rPr>
          <w:sz w:val="24"/>
          <w:szCs w:val="24"/>
          <w:color w:val="auto"/>
        </w:rPr>
      </w:pPr>
    </w:p>
    <w:p>
      <w:pPr>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u w:val="single" w:color="auto"/>
          <w:color w:val="auto"/>
        </w:rPr>
        <w:t>Submission of Matters to a Vote of Security Holders</w:t>
      </w:r>
    </w:p>
    <w:p>
      <w:pPr>
        <w:spacing w:after="0" w:line="229" w:lineRule="exact"/>
        <w:rPr>
          <w:sz w:val="20"/>
          <w:szCs w:val="20"/>
          <w:color w:val="auto"/>
        </w:rPr>
      </w:pPr>
    </w:p>
    <w:p>
      <w:pPr>
        <w:ind w:left="1040" w:hanging="477"/>
        <w:spacing w:after="0"/>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Meeting of Shareholders (the “Annual Meeting”) of USCB Financial Holdings Inc. (the “Company”) was held on May 28, 2024.</w:t>
      </w:r>
    </w:p>
    <w:p>
      <w:pPr>
        <w:spacing w:after="0" w:line="225" w:lineRule="exact"/>
        <w:rPr>
          <w:rFonts w:ascii="Times New Roman" w:cs="Times New Roman" w:eastAsia="Times New Roman" w:hAnsi="Times New Roman"/>
          <w:sz w:val="18"/>
          <w:szCs w:val="18"/>
          <w:color w:val="auto"/>
        </w:rPr>
      </w:pPr>
    </w:p>
    <w:p>
      <w:pPr>
        <w:jc w:val="both"/>
        <w:ind w:left="1040" w:hanging="482"/>
        <w:spacing w:after="0" w:line="266" w:lineRule="auto"/>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19,650,463 shares of Class A common stock, par value $1.00 per share, of the Company issued and outstanding and eligible to be voted at the Annual Meeting and 18,872,382 shares were represented in person or by proxy at the Annual Meeting, which constituted a quorum to conduct business at the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items voted upon at the Annual Meeting and the votes for each proposal were as follows: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  Election of directors for a one-year term ending in 2025 and until their successors are elected and qualified:</w:t>
      </w:r>
    </w:p>
    <w:p>
      <w:pPr>
        <w:spacing w:after="0" w:line="221"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Broker</w:t>
            </w:r>
          </w:p>
        </w:tc>
        <w:tc>
          <w:tcPr>
            <w:tcW w:w="0" w:type="dxa"/>
            <w:vAlign w:val="bottom"/>
          </w:tcPr>
          <w:p>
            <w:pPr>
              <w:spacing w:after="0"/>
              <w:rPr>
                <w:sz w:val="1"/>
                <w:szCs w:val="1"/>
                <w:color w:val="auto"/>
              </w:rPr>
            </w:pPr>
          </w:p>
        </w:tc>
      </w:tr>
      <w:tr>
        <w:trPr>
          <w:trHeight w:val="238"/>
        </w:trPr>
        <w:tc>
          <w:tcPr>
            <w:tcW w:w="2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Ramon Abadin</w:t>
            </w:r>
          </w:p>
        </w:tc>
        <w:tc>
          <w:tcPr>
            <w:tcW w:w="242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For</w:t>
            </w:r>
          </w:p>
        </w:tc>
        <w:tc>
          <w:tcPr>
            <w:tcW w:w="220" w:type="dxa"/>
            <w:vAlign w:val="bottom"/>
          </w:tcPr>
          <w:p>
            <w:pPr>
              <w:spacing w:after="0"/>
              <w:rPr>
                <w:sz w:val="20"/>
                <w:szCs w:val="20"/>
                <w:color w:val="auto"/>
              </w:rPr>
            </w:pPr>
          </w:p>
        </w:tc>
        <w:tc>
          <w:tcPr>
            <w:tcW w:w="24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20" w:type="dxa"/>
            <w:vAlign w:val="bottom"/>
          </w:tcPr>
          <w:p>
            <w:pPr>
              <w:spacing w:after="0"/>
              <w:rPr>
                <w:sz w:val="20"/>
                <w:szCs w:val="20"/>
                <w:color w:val="auto"/>
              </w:rPr>
            </w:pPr>
          </w:p>
        </w:tc>
        <w:tc>
          <w:tcPr>
            <w:tcW w:w="23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Non-votes</w:t>
            </w:r>
          </w:p>
        </w:tc>
        <w:tc>
          <w:tcPr>
            <w:tcW w:w="0" w:type="dxa"/>
            <w:vAlign w:val="bottom"/>
          </w:tcPr>
          <w:p>
            <w:pPr>
              <w:spacing w:after="0"/>
              <w:rPr>
                <w:sz w:val="1"/>
                <w:szCs w:val="1"/>
                <w:color w:val="auto"/>
              </w:rPr>
            </w:pPr>
          </w:p>
        </w:tc>
      </w:tr>
      <w:tr>
        <w:trPr>
          <w:trHeight w:val="191"/>
        </w:trPr>
        <w:tc>
          <w:tcPr>
            <w:tcW w:w="2340" w:type="dxa"/>
            <w:vAlign w:val="bottom"/>
            <w:vMerge w:val="continue"/>
          </w:tcPr>
          <w:p>
            <w:pPr>
              <w:spacing w:after="0"/>
              <w:rPr>
                <w:sz w:val="16"/>
                <w:szCs w:val="16"/>
                <w:color w:val="auto"/>
              </w:rPr>
            </w:pPr>
          </w:p>
        </w:tc>
        <w:tc>
          <w:tcPr>
            <w:tcW w:w="2420" w:type="dxa"/>
            <w:vAlign w:val="bottom"/>
          </w:tcPr>
          <w:p>
            <w:pPr>
              <w:jc w:val="right"/>
              <w:ind w:right="650"/>
              <w:spacing w:after="0" w:line="191" w:lineRule="exact"/>
              <w:rPr>
                <w:sz w:val="20"/>
                <w:szCs w:val="20"/>
                <w:color w:val="auto"/>
              </w:rPr>
            </w:pPr>
            <w:r>
              <w:rPr>
                <w:rFonts w:ascii="Times New Roman" w:cs="Times New Roman" w:eastAsia="Times New Roman" w:hAnsi="Times New Roman"/>
                <w:sz w:val="18"/>
                <w:szCs w:val="18"/>
                <w:color w:val="auto"/>
              </w:rPr>
              <w:t>15,370,821</w:t>
            </w:r>
          </w:p>
        </w:tc>
        <w:tc>
          <w:tcPr>
            <w:tcW w:w="220" w:type="dxa"/>
            <w:vAlign w:val="bottom"/>
          </w:tcPr>
          <w:p>
            <w:pPr>
              <w:spacing w:after="0"/>
              <w:rPr>
                <w:sz w:val="16"/>
                <w:szCs w:val="16"/>
                <w:color w:val="auto"/>
              </w:rPr>
            </w:pPr>
          </w:p>
        </w:tc>
        <w:tc>
          <w:tcPr>
            <w:tcW w:w="2440" w:type="dxa"/>
            <w:vAlign w:val="bottom"/>
          </w:tcPr>
          <w:p>
            <w:pPr>
              <w:jc w:val="center"/>
              <w:ind w:left="30"/>
              <w:spacing w:after="0" w:line="191" w:lineRule="exact"/>
              <w:rPr>
                <w:sz w:val="20"/>
                <w:szCs w:val="20"/>
                <w:color w:val="auto"/>
              </w:rPr>
            </w:pPr>
            <w:r>
              <w:rPr>
                <w:rFonts w:ascii="Times New Roman" w:cs="Times New Roman" w:eastAsia="Times New Roman" w:hAnsi="Times New Roman"/>
                <w:sz w:val="18"/>
                <w:szCs w:val="18"/>
                <w:color w:val="auto"/>
                <w:w w:val="99"/>
              </w:rPr>
              <w:t>1,667,937</w:t>
            </w:r>
          </w:p>
        </w:tc>
        <w:tc>
          <w:tcPr>
            <w:tcW w:w="120" w:type="dxa"/>
            <w:vAlign w:val="bottom"/>
          </w:tcPr>
          <w:p>
            <w:pPr>
              <w:spacing w:after="0"/>
              <w:rPr>
                <w:sz w:val="16"/>
                <w:szCs w:val="16"/>
                <w:color w:val="auto"/>
              </w:rPr>
            </w:pPr>
          </w:p>
        </w:tc>
        <w:tc>
          <w:tcPr>
            <w:tcW w:w="2380" w:type="dxa"/>
            <w:vAlign w:val="bottom"/>
          </w:tcPr>
          <w:p>
            <w:pPr>
              <w:jc w:val="right"/>
              <w:ind w:right="710"/>
              <w:spacing w:after="0" w:line="191" w:lineRule="exact"/>
              <w:rPr>
                <w:sz w:val="20"/>
                <w:szCs w:val="20"/>
                <w:color w:val="auto"/>
              </w:rPr>
            </w:pPr>
            <w:r>
              <w:rPr>
                <w:rFonts w:ascii="Times New Roman" w:cs="Times New Roman" w:eastAsia="Times New Roman" w:hAnsi="Times New Roman"/>
                <w:sz w:val="18"/>
                <w:szCs w:val="18"/>
                <w:color w:val="auto"/>
              </w:rPr>
              <w:t>1,833,624</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Luis de la Aguilera</w:t>
            </w:r>
          </w:p>
        </w:tc>
        <w:tc>
          <w:tcPr>
            <w:tcW w:w="24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16,850,937</w:t>
            </w:r>
          </w:p>
        </w:tc>
        <w:tc>
          <w:tcPr>
            <w:tcW w:w="266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187,821</w:t>
            </w:r>
          </w:p>
        </w:tc>
        <w:tc>
          <w:tcPr>
            <w:tcW w:w="250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1,833,624</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Maria C. Alonso</w:t>
            </w:r>
          </w:p>
        </w:tc>
        <w:tc>
          <w:tcPr>
            <w:tcW w:w="24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16,306,429</w:t>
            </w:r>
          </w:p>
        </w:tc>
        <w:tc>
          <w:tcPr>
            <w:tcW w:w="266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732,329</w:t>
            </w:r>
          </w:p>
        </w:tc>
        <w:tc>
          <w:tcPr>
            <w:tcW w:w="250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1,833,624</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Howard P. Feinglass</w:t>
            </w:r>
          </w:p>
        </w:tc>
        <w:tc>
          <w:tcPr>
            <w:tcW w:w="24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16,681,118</w:t>
            </w:r>
          </w:p>
        </w:tc>
        <w:tc>
          <w:tcPr>
            <w:tcW w:w="266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357,640</w:t>
            </w:r>
          </w:p>
        </w:tc>
        <w:tc>
          <w:tcPr>
            <w:tcW w:w="250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1,833,624</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Bernardo Fernandez, M.D.</w:t>
            </w:r>
          </w:p>
        </w:tc>
        <w:tc>
          <w:tcPr>
            <w:tcW w:w="24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16,476,095</w:t>
            </w:r>
          </w:p>
        </w:tc>
        <w:tc>
          <w:tcPr>
            <w:tcW w:w="266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562,663</w:t>
            </w:r>
          </w:p>
        </w:tc>
        <w:tc>
          <w:tcPr>
            <w:tcW w:w="250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1,833,624</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Robert E. Kafafian</w:t>
            </w:r>
          </w:p>
        </w:tc>
        <w:tc>
          <w:tcPr>
            <w:tcW w:w="24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16,476,096</w:t>
            </w:r>
          </w:p>
        </w:tc>
        <w:tc>
          <w:tcPr>
            <w:tcW w:w="266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562,662</w:t>
            </w:r>
          </w:p>
        </w:tc>
        <w:tc>
          <w:tcPr>
            <w:tcW w:w="250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1,833,624</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Aida Levitan. Ph.D.</w:t>
            </w:r>
          </w:p>
        </w:tc>
        <w:tc>
          <w:tcPr>
            <w:tcW w:w="24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16,287,171</w:t>
            </w:r>
          </w:p>
        </w:tc>
        <w:tc>
          <w:tcPr>
            <w:tcW w:w="266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751,587</w:t>
            </w:r>
          </w:p>
        </w:tc>
        <w:tc>
          <w:tcPr>
            <w:tcW w:w="250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1,833,624</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Ramon A. Rodriguez</w:t>
            </w:r>
          </w:p>
        </w:tc>
        <w:tc>
          <w:tcPr>
            <w:tcW w:w="24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16,473,926</w:t>
            </w:r>
          </w:p>
        </w:tc>
        <w:tc>
          <w:tcPr>
            <w:tcW w:w="266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564,832</w:t>
            </w:r>
          </w:p>
        </w:tc>
        <w:tc>
          <w:tcPr>
            <w:tcW w:w="250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1,833,624</w:t>
            </w: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W. Kirk Wycoff</w:t>
            </w:r>
          </w:p>
        </w:tc>
        <w:tc>
          <w:tcPr>
            <w:tcW w:w="24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16,662,381</w:t>
            </w:r>
          </w:p>
        </w:tc>
        <w:tc>
          <w:tcPr>
            <w:tcW w:w="266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376,377</w:t>
            </w:r>
          </w:p>
        </w:tc>
        <w:tc>
          <w:tcPr>
            <w:tcW w:w="250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1,833,624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 To ratify the appointment of Crowe LLP as the Company’s independent registered public accounting firm for the year ending December 31, 2024.</w:t>
      </w:r>
    </w:p>
    <w:p>
      <w:pPr>
        <w:spacing w:after="0" w:line="200" w:lineRule="exact"/>
        <w:rPr>
          <w:sz w:val="20"/>
          <w:szCs w:val="20"/>
          <w:color w:val="auto"/>
        </w:rPr>
      </w:pPr>
    </w:p>
    <w:p>
      <w:pPr>
        <w:spacing w:after="0" w:line="237" w:lineRule="exact"/>
        <w:rPr>
          <w:sz w:val="20"/>
          <w:szCs w:val="20"/>
          <w:color w:val="auto"/>
        </w:rPr>
      </w:pPr>
    </w:p>
    <w:tbl>
      <w:tblPr>
        <w:tblLayout w:type="fixed"/>
        <w:tblInd w:w="680" w:type="dxa"/>
        <w:tblCellMar>
          <w:top w:w="0" w:type="dxa"/>
          <w:left w:w="0" w:type="dxa"/>
          <w:bottom w:w="0" w:type="dxa"/>
          <w:right w:w="0" w:type="dxa"/>
        </w:tblCellMar>
      </w:tblPr>
      <w:tr>
        <w:trPr>
          <w:trHeight w:val="238"/>
        </w:trPr>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0" w:type="dxa"/>
            <w:vAlign w:val="bottom"/>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00" w:type="dxa"/>
            <w:vAlign w:val="bottom"/>
          </w:tcPr>
          <w:p>
            <w:pPr>
              <w:spacing w:after="0"/>
              <w:rPr>
                <w:sz w:val="20"/>
                <w:szCs w:val="20"/>
                <w:color w:val="auto"/>
              </w:rPr>
            </w:pPr>
          </w:p>
        </w:tc>
        <w:tc>
          <w:tcPr>
            <w:tcW w:w="24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00" w:type="dxa"/>
            <w:vAlign w:val="bottom"/>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28"/>
        </w:trPr>
        <w:tc>
          <w:tcPr>
            <w:tcW w:w="248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18,685,366</w:t>
            </w:r>
          </w:p>
        </w:tc>
        <w:tc>
          <w:tcPr>
            <w:tcW w:w="120" w:type="dxa"/>
            <w:vAlign w:val="bottom"/>
          </w:tcPr>
          <w:p>
            <w:pPr>
              <w:spacing w:after="0"/>
              <w:rPr>
                <w:sz w:val="19"/>
                <w:szCs w:val="19"/>
                <w:color w:val="auto"/>
              </w:rPr>
            </w:pPr>
          </w:p>
        </w:tc>
        <w:tc>
          <w:tcPr>
            <w:tcW w:w="24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2,838</w:t>
            </w:r>
          </w:p>
        </w:tc>
        <w:tc>
          <w:tcPr>
            <w:tcW w:w="100" w:type="dxa"/>
            <w:vAlign w:val="bottom"/>
          </w:tcPr>
          <w:p>
            <w:pPr>
              <w:spacing w:after="0"/>
              <w:rPr>
                <w:sz w:val="19"/>
                <w:szCs w:val="19"/>
                <w:color w:val="auto"/>
              </w:rPr>
            </w:pPr>
          </w:p>
        </w:tc>
        <w:tc>
          <w:tcPr>
            <w:tcW w:w="24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184,178</w:t>
            </w:r>
          </w:p>
        </w:tc>
        <w:tc>
          <w:tcPr>
            <w:tcW w:w="100" w:type="dxa"/>
            <w:vAlign w:val="bottom"/>
          </w:tcPr>
          <w:p>
            <w:pPr>
              <w:spacing w:after="0"/>
              <w:rPr>
                <w:sz w:val="19"/>
                <w:szCs w:val="19"/>
                <w:color w:val="auto"/>
              </w:rPr>
            </w:pPr>
          </w:p>
        </w:tc>
        <w:tc>
          <w:tcPr>
            <w:tcW w:w="248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0</w:t>
            </w:r>
          </w:p>
        </w:tc>
      </w:tr>
    </w:tbl>
    <w:p>
      <w:pPr>
        <w:spacing w:after="0" w:line="395" w:lineRule="exact"/>
        <w:rPr>
          <w:sz w:val="20"/>
          <w:szCs w:val="20"/>
          <w:color w:val="auto"/>
        </w:rPr>
      </w:pPr>
    </w:p>
    <w:p>
      <w:pPr>
        <w:ind w:left="1060" w:hanging="517"/>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060" w:hanging="522"/>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2" w:name="page3"/>
    <w:bookmarkEnd w:id="2"/>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19685</wp:posOffset>
            </wp:positionV>
            <wp:extent cx="2434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23" w:lineRule="exact"/>
        <w:rPr>
          <w:sz w:val="20"/>
          <w:szCs w:val="20"/>
          <w:color w:val="auto"/>
        </w:rPr>
      </w:pPr>
    </w:p>
    <w:p>
      <w:pPr>
        <w:ind w:left="1060" w:hanging="497"/>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060" w:hanging="502"/>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060" w:hanging="497"/>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060" w:hanging="502"/>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740" w:type="dxa"/>
        <w:tblCellMar>
          <w:top w:w="0" w:type="dxa"/>
          <w:left w:w="0" w:type="dxa"/>
          <w:bottom w:w="0" w:type="dxa"/>
          <w:right w:w="0" w:type="dxa"/>
        </w:tblCellMar>
      </w:tblPr>
      <w:tr>
        <w:trPr>
          <w:trHeight w:val="238"/>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8"/>
        </w:trPr>
        <w:tc>
          <w:tcPr>
            <w:tcW w:w="1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9"/>
                <w:szCs w:val="19"/>
                <w:color w:val="auto"/>
              </w:rPr>
            </w:pPr>
          </w:p>
        </w:tc>
        <w:tc>
          <w:tcPr>
            <w:tcW w:w="8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Cover Page Interactive Data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ind w:right="47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0"/>
          </w:cols>
          <w:pgMar w:left="320" w:top="1008" w:right="1159" w:bottom="1440" w:gutter="0" w:footer="0" w:header="0"/>
        </w:sectPr>
      </w:pPr>
    </w:p>
    <w:bookmarkStart w:id="3" w:name="page4"/>
    <w:bookmarkEnd w:id="3"/>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USCB FINANCIAL HOLDINGS, INC.</w:t>
      </w:r>
    </w:p>
    <w:p>
      <w:pPr>
        <w:spacing w:after="0" w:line="200" w:lineRule="exact"/>
        <w:rPr>
          <w:sz w:val="20"/>
          <w:szCs w:val="20"/>
          <w:color w:val="auto"/>
        </w:rPr>
      </w:pPr>
    </w:p>
    <w:p>
      <w:pPr>
        <w:spacing w:after="0" w:line="241" w:lineRule="exact"/>
        <w:rPr>
          <w:sz w:val="20"/>
          <w:szCs w:val="20"/>
          <w:color w:val="auto"/>
        </w:rPr>
      </w:pPr>
    </w:p>
    <w:p>
      <w:pPr>
        <w:ind w:left="4600"/>
        <w:spacing w:after="0"/>
        <w:tabs>
          <w:tab w:leader="none" w:pos="5060" w:val="left"/>
        </w:tabs>
        <w:rPr>
          <w:sz w:val="20"/>
          <w:szCs w:val="20"/>
          <w:color w:val="auto"/>
        </w:rPr>
      </w:pPr>
      <w:r>
        <w:rPr>
          <w:rFonts w:ascii="Times New Roman" w:cs="Times New Roman" w:eastAsia="Times New Roman" w:hAnsi="Times New Roman"/>
          <w:sz w:val="18"/>
          <w:szCs w:val="18"/>
          <w:color w:val="auto"/>
        </w:rPr>
        <w:t>By:</w:t>
        <w:tab/>
        <w:t>/s/ Robert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9090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09060" cy="8890"/>
                    </a:xfrm>
                    <a:prstGeom prst="rect">
                      <a:avLst/>
                    </a:prstGeom>
                    <a:noFill/>
                  </pic:spPr>
                </pic:pic>
              </a:graphicData>
            </a:graphic>
          </wp:anchor>
        </w:drawing>
      </w:r>
    </w:p>
    <w:p>
      <w:pPr>
        <w:spacing w:after="0" w:line="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Name:Robert Anderson</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sectPr>
      <w:pgSz w:w="11900" w:h="16838" w:orient="portrait"/>
      <w:cols w:equalWidth="0" w:num="1">
        <w:col w:w="11240"/>
      </w:cols>
      <w:pgMar w:left="320" w:top="10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2024-05-29T05:15:37Z</dcterms:created>
  <dcterms:modified xsi:type="dcterms:W3CDTF">2024-05-29T05:15:37Z</dcterms:modified>
</cp:coreProperties>
</file>