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-234950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8"/>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-627380</wp:posOffset>
            </wp:positionV>
            <wp:extent cx="58420" cy="640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715"/>
                    </a:xfrm>
                    <a:prstGeom prst="rect">
                      <a:avLst/>
                    </a:prstGeom>
                    <a:noFill/>
                  </pic:spPr>
                </pic:pic>
              </a:graphicData>
            </a:graphic>
          </wp:anchor>
        </w:drawing>
        <w:drawing>
          <wp:anchor simplePos="0" relativeHeight="251657728" behindDoc="1" locked="0" layoutInCell="0" allowOverlap="1">
            <wp:simplePos x="0" y="0"/>
            <wp:positionH relativeFrom="column">
              <wp:posOffset>3985895</wp:posOffset>
            </wp:positionH>
            <wp:positionV relativeFrom="paragraph">
              <wp:posOffset>-627380</wp:posOffset>
            </wp:positionV>
            <wp:extent cx="58420" cy="640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71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6993255" cy="51384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5138420"/>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260" w:space="300"/>
            <w:col w:w="8520"/>
          </w:cols>
          <w:pgMar w:left="460" w:top="218"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GUERRA-KATTOU MARTHA</w:t>
        </w:r>
      </w:hyperlink>
    </w:p>
    <w:p>
      <w:pPr>
        <w:spacing w:after="0" w:line="29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USCB FINANCIAL HOLDINGS,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2301 N.W. 87TH AVENUE</w:t>
      </w:r>
    </w:p>
    <w:p>
      <w:pPr>
        <w:spacing w:after="0" w:line="283"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9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9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MIAMI</w:t>
            </w:r>
          </w:p>
        </w:tc>
        <w:tc>
          <w:tcPr>
            <w:tcW w:w="114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FL</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33172</w:t>
            </w:r>
          </w:p>
        </w:tc>
      </w:tr>
      <w:tr>
        <w:trPr>
          <w:trHeight w:val="150"/>
        </w:trPr>
        <w:tc>
          <w:tcPr>
            <w:tcW w:w="2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900" w:type="dxa"/>
            <w:vAlign w:val="bottom"/>
          </w:tcPr>
          <w:p>
            <w:pPr>
              <w:ind w:left="20"/>
              <w:spacing w:after="0"/>
              <w:rPr>
                <w:sz w:val="20"/>
                <w:szCs w:val="20"/>
                <w:color w:val="auto"/>
              </w:rPr>
            </w:pPr>
            <w:r>
              <w:rPr>
                <w:rFonts w:ascii="Arial" w:cs="Arial" w:eastAsia="Arial" w:hAnsi="Arial"/>
                <w:sz w:val="13"/>
                <w:szCs w:val="13"/>
                <w:color w:val="auto"/>
              </w:rPr>
              <w:t>(City)</w:t>
            </w:r>
          </w:p>
        </w:tc>
        <w:tc>
          <w:tcPr>
            <w:tcW w:w="1140" w:type="dxa"/>
            <w:vAlign w:val="bottom"/>
          </w:tcPr>
          <w:p>
            <w:pPr>
              <w:ind w:left="3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60" w:type="dxa"/>
            <w:vAlign w:val="bottom"/>
          </w:tcPr>
          <w:p>
            <w:pPr>
              <w:spacing w:after="0"/>
              <w:rPr>
                <w:sz w:val="13"/>
                <w:szCs w:val="13"/>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2"/>
        </w:trPr>
        <w:tc>
          <w:tcPr>
            <w:tcW w:w="60" w:type="dxa"/>
            <w:vAlign w:val="bottom"/>
          </w:tcPr>
          <w:p>
            <w:pPr>
              <w:spacing w:after="0"/>
              <w:rPr>
                <w:sz w:val="12"/>
                <w:szCs w:val="12"/>
                <w:color w:val="auto"/>
              </w:rPr>
            </w:pPr>
          </w:p>
        </w:tc>
        <w:tc>
          <w:tcPr>
            <w:tcW w:w="3760" w:type="dxa"/>
            <w:vAlign w:val="bottom"/>
            <w:gridSpan w:val="2"/>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USCB FINANCIAL HOLDINGS, INC. </w:t>
              </w:r>
            </w:hyperlink>
            <w:r>
              <w:rPr>
                <w:rFonts w:ascii="Times New Roman" w:cs="Times New Roman" w:eastAsia="Times New Roman" w:hAnsi="Times New Roman"/>
                <w:sz w:val="16"/>
                <w:szCs w:val="16"/>
                <w:color w:val="000000"/>
              </w:rPr>
              <w:t>[</w:t>
            </w:r>
          </w:p>
        </w:tc>
        <w:tc>
          <w:tcPr>
            <w:tcW w:w="184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3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
        </w:trPr>
        <w:tc>
          <w:tcPr>
            <w:tcW w:w="60" w:type="dxa"/>
            <w:vAlign w:val="bottom"/>
          </w:tcPr>
          <w:p>
            <w:pPr>
              <w:spacing w:after="0"/>
              <w:rPr>
                <w:sz w:val="3"/>
                <w:szCs w:val="3"/>
                <w:color w:val="auto"/>
              </w:rPr>
            </w:pPr>
          </w:p>
        </w:tc>
        <w:tc>
          <w:tcPr>
            <w:tcW w:w="3340" w:type="dxa"/>
            <w:vAlign w:val="bottom"/>
            <w:tcBorders>
              <w:bottom w:val="single" w:sz="8" w:color="0000EE"/>
            </w:tcBorders>
          </w:tcPr>
          <w:p>
            <w:pPr>
              <w:spacing w:after="0"/>
              <w:rPr>
                <w:sz w:val="3"/>
                <w:szCs w:val="3"/>
                <w:color w:val="auto"/>
              </w:rPr>
            </w:pPr>
          </w:p>
        </w:tc>
        <w:tc>
          <w:tcPr>
            <w:tcW w:w="4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60" w:type="dxa"/>
            <w:vAlign w:val="bottom"/>
          </w:tcPr>
          <w:p>
            <w:pPr>
              <w:spacing w:after="0"/>
              <w:rPr>
                <w:sz w:val="10"/>
                <w:szCs w:val="10"/>
                <w:color w:val="auto"/>
              </w:rPr>
            </w:pPr>
          </w:p>
        </w:tc>
        <w:tc>
          <w:tcPr>
            <w:tcW w:w="3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USCB </w:t>
            </w:r>
            <w:r>
              <w:rPr>
                <w:rFonts w:ascii="Times New Roman" w:cs="Times New Roman" w:eastAsia="Times New Roman" w:hAnsi="Times New Roman"/>
                <w:sz w:val="20"/>
                <w:szCs w:val="20"/>
                <w:color w:val="000000"/>
              </w:rPr>
              <w:t>]</w:t>
            </w:r>
          </w:p>
        </w:tc>
        <w:tc>
          <w:tcPr>
            <w:tcW w:w="50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60" w:type="dxa"/>
            <w:vAlign w:val="bottom"/>
          </w:tcPr>
          <w:p>
            <w:pPr>
              <w:spacing w:after="0"/>
              <w:rPr>
                <w:sz w:val="12"/>
                <w:szCs w:val="12"/>
                <w:color w:val="auto"/>
              </w:rPr>
            </w:pPr>
          </w:p>
        </w:tc>
        <w:tc>
          <w:tcPr>
            <w:tcW w:w="3760" w:type="dxa"/>
            <w:vAlign w:val="bottom"/>
            <w:gridSpan w:val="2"/>
            <w:vMerge w:val="continue"/>
          </w:tcPr>
          <w:p>
            <w:pPr>
              <w:spacing w:after="0"/>
              <w:rPr>
                <w:sz w:val="12"/>
                <w:szCs w:val="12"/>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60" w:type="dxa"/>
            <w:vAlign w:val="bottom"/>
          </w:tcPr>
          <w:p>
            <w:pPr>
              <w:spacing w:after="0"/>
              <w:rPr>
                <w:sz w:val="2"/>
                <w:szCs w:val="2"/>
                <w:color w:val="auto"/>
              </w:rPr>
            </w:pPr>
          </w:p>
        </w:tc>
        <w:tc>
          <w:tcPr>
            <w:tcW w:w="3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vMerge w:val="continue"/>
          </w:tcPr>
          <w:p>
            <w:pPr>
              <w:spacing w:after="0"/>
              <w:rPr>
                <w:sz w:val="2"/>
                <w:szCs w:val="2"/>
                <w:color w:val="auto"/>
              </w:rPr>
            </w:pPr>
          </w:p>
        </w:tc>
        <w:tc>
          <w:tcPr>
            <w:tcW w:w="1340" w:type="dxa"/>
            <w:vAlign w:val="bottom"/>
            <w:vMerge w:val="continue"/>
          </w:tcPr>
          <w:p>
            <w:pPr>
              <w:spacing w:after="0"/>
              <w:rPr>
                <w:sz w:val="2"/>
                <w:szCs w:val="2"/>
                <w:color w:val="auto"/>
              </w:rPr>
            </w:pPr>
          </w:p>
        </w:tc>
        <w:tc>
          <w:tcPr>
            <w:tcW w:w="14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4"/>
        </w:trPr>
        <w:tc>
          <w:tcPr>
            <w:tcW w:w="60" w:type="dxa"/>
            <w:vAlign w:val="bottom"/>
          </w:tcPr>
          <w:p>
            <w:pPr>
              <w:spacing w:after="0"/>
              <w:rPr>
                <w:sz w:val="9"/>
                <w:szCs w:val="9"/>
                <w:color w:val="auto"/>
              </w:rPr>
            </w:pPr>
          </w:p>
        </w:tc>
        <w:tc>
          <w:tcPr>
            <w:tcW w:w="3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46"/>
        </w:trPr>
        <w:tc>
          <w:tcPr>
            <w:tcW w:w="60" w:type="dxa"/>
            <w:vAlign w:val="bottom"/>
            <w:tcBorders>
              <w:bottom w:val="single" w:sz="8" w:color="2C2C2C"/>
            </w:tcBorders>
          </w:tcPr>
          <w:p>
            <w:pPr>
              <w:spacing w:after="0"/>
              <w:rPr>
                <w:sz w:val="4"/>
                <w:szCs w:val="4"/>
                <w:color w:val="auto"/>
              </w:rPr>
            </w:pPr>
          </w:p>
        </w:tc>
        <w:tc>
          <w:tcPr>
            <w:tcW w:w="3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0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60" w:type="dxa"/>
            <w:vAlign w:val="bottom"/>
          </w:tcPr>
          <w:p>
            <w:pPr>
              <w:spacing w:after="0"/>
              <w:rPr>
                <w:sz w:val="15"/>
                <w:szCs w:val="15"/>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5"/>
                <w:szCs w:val="15"/>
                <w:color w:val="auto"/>
              </w:rPr>
            </w:pPr>
          </w:p>
        </w:tc>
        <w:tc>
          <w:tcPr>
            <w:tcW w:w="2800" w:type="dxa"/>
            <w:vAlign w:val="bottom"/>
            <w:gridSpan w:val="2"/>
          </w:tcPr>
          <w:p>
            <w:pPr>
              <w:ind w:left="280"/>
              <w:spacing w:after="0" w:line="181" w:lineRule="exact"/>
              <w:rPr>
                <w:sz w:val="20"/>
                <w:szCs w:val="20"/>
                <w:color w:val="auto"/>
              </w:rPr>
            </w:pPr>
            <w:r>
              <w:rPr>
                <w:rFonts w:ascii="Times New Roman" w:cs="Times New Roman" w:eastAsia="Times New Roman" w:hAnsi="Times New Roman"/>
                <w:sz w:val="17"/>
                <w:szCs w:val="17"/>
                <w:color w:val="0000FF"/>
              </w:rPr>
              <w:t>EVP, Sales and Marketing</w:t>
            </w:r>
          </w:p>
        </w:tc>
        <w:tc>
          <w:tcPr>
            <w:tcW w:w="0" w:type="dxa"/>
            <w:vAlign w:val="bottom"/>
          </w:tcPr>
          <w:p>
            <w:pPr>
              <w:spacing w:after="0"/>
              <w:rPr>
                <w:sz w:val="1"/>
                <w:szCs w:val="1"/>
                <w:color w:val="auto"/>
              </w:rPr>
            </w:pPr>
          </w:p>
        </w:tc>
      </w:tr>
      <w:tr>
        <w:trPr>
          <w:trHeight w:val="218"/>
        </w:trPr>
        <w:tc>
          <w:tcPr>
            <w:tcW w:w="34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03/08/2023</w:t>
            </w: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60" w:type="dxa"/>
            <w:vAlign w:val="bottom"/>
            <w:tcBorders>
              <w:bottom w:val="single" w:sz="8" w:color="2C2C2C"/>
            </w:tcBorders>
          </w:tcPr>
          <w:p>
            <w:pPr>
              <w:spacing w:after="0"/>
              <w:rPr>
                <w:sz w:val="15"/>
                <w:szCs w:val="15"/>
                <w:color w:val="auto"/>
              </w:rPr>
            </w:pPr>
          </w:p>
        </w:tc>
        <w:tc>
          <w:tcPr>
            <w:tcW w:w="334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3300" w:type="dxa"/>
            <w:vAlign w:val="bottom"/>
            <w:tcBorders>
              <w:bottom w:val="single" w:sz="8" w:color="2C2C2C"/>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60" w:type="dxa"/>
            <w:vAlign w:val="bottom"/>
          </w:tcPr>
          <w:p>
            <w:pPr>
              <w:spacing w:after="0"/>
              <w:rPr>
                <w:sz w:val="16"/>
                <w:szCs w:val="16"/>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1"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94" w:lineRule="exact"/>
        <w:rPr>
          <w:sz w:val="24"/>
          <w:szCs w:val="24"/>
          <w:color w:val="auto"/>
        </w:rPr>
      </w:pPr>
    </w:p>
    <w:p>
      <w:pPr>
        <w:sectPr>
          <w:pgSz w:w="11900" w:h="16838" w:orient="portrait"/>
          <w:cols w:equalWidth="0" w:num="2">
            <w:col w:w="3760" w:space="80"/>
            <w:col w:w="7240"/>
          </w:cols>
          <w:pgMar w:left="460" w:top="218"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20" w:type="dxa"/>
            <w:vAlign w:val="bottom"/>
          </w:tcPr>
          <w:p>
            <w:pPr>
              <w:spacing w:after="0"/>
              <w:rPr>
                <w:sz w:val="13"/>
                <w:szCs w:val="13"/>
                <w:color w:val="auto"/>
              </w:rPr>
            </w:pPr>
          </w:p>
        </w:tc>
        <w:tc>
          <w:tcPr>
            <w:tcW w:w="17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10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w w:val="95"/>
              </w:rPr>
              <w:t>Disposed Of (D) (Instr. 3, 4 and</w:t>
            </w: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24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2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40" w:type="dxa"/>
            <w:vAlign w:val="bottom"/>
          </w:tcPr>
          <w:p>
            <w:pPr>
              <w:ind w:left="200"/>
              <w:spacing w:after="0" w:line="129" w:lineRule="exact"/>
              <w:rPr>
                <w:sz w:val="20"/>
                <w:szCs w:val="20"/>
                <w:color w:val="auto"/>
              </w:rPr>
            </w:pPr>
            <w:r>
              <w:rPr>
                <w:rFonts w:ascii="Arial" w:cs="Arial" w:eastAsia="Arial" w:hAnsi="Arial"/>
                <w:sz w:val="12"/>
                <w:szCs w:val="12"/>
                <w:b w:val="1"/>
                <w:bCs w:val="1"/>
                <w:color w:val="auto"/>
                <w:w w:val="99"/>
              </w:rPr>
              <w:t>(A) or</w:t>
            </w:r>
          </w:p>
        </w:tc>
        <w:tc>
          <w:tcPr>
            <w:tcW w:w="540" w:type="dxa"/>
            <w:vAlign w:val="bottom"/>
            <w:vMerge w:val="restart"/>
          </w:tcPr>
          <w:p>
            <w:pPr>
              <w:jc w:val="right"/>
              <w:ind w:right="35"/>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Voting Common Stock</w:t>
            </w:r>
          </w:p>
        </w:tc>
        <w:tc>
          <w:tcPr>
            <w:tcW w:w="186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17"/>
                <w:szCs w:val="17"/>
                <w:color w:val="0000FF"/>
              </w:rPr>
              <w:t>03/08/2023</w:t>
            </w:r>
          </w:p>
        </w:tc>
        <w:tc>
          <w:tcPr>
            <w:tcW w:w="8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7"/>
                <w:szCs w:val="17"/>
                <w:color w:val="0000FF"/>
                <w:w w:val="91"/>
              </w:rPr>
              <w:t>4,933</w:t>
            </w:r>
            <w:r>
              <w:rPr>
                <w:rFonts w:ascii="Times New Roman" w:cs="Times New Roman" w:eastAsia="Times New Roman" w:hAnsi="Times New Roman"/>
                <w:sz w:val="21"/>
                <w:szCs w:val="21"/>
                <w:color w:val="008000"/>
                <w:w w:val="91"/>
                <w:vertAlign w:val="superscript"/>
              </w:rPr>
              <w:t>(1)</w:t>
            </w:r>
          </w:p>
        </w:tc>
        <w:tc>
          <w:tcPr>
            <w:tcW w:w="5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60" w:type="dxa"/>
            <w:vAlign w:val="bottom"/>
            <w:tcBorders>
              <w:bottom w:val="single" w:sz="8" w:color="2C2C2C"/>
            </w:tcBorders>
            <w:gridSpan w:val="3"/>
          </w:tcPr>
          <w:p>
            <w:pPr>
              <w:ind w:left="540"/>
              <w:spacing w:after="0"/>
              <w:rPr>
                <w:sz w:val="20"/>
                <w:szCs w:val="20"/>
                <w:color w:val="auto"/>
              </w:rPr>
            </w:pPr>
            <w:r>
              <w:rPr>
                <w:rFonts w:ascii="Times New Roman" w:cs="Times New Roman" w:eastAsia="Times New Roman" w:hAnsi="Times New Roman"/>
                <w:sz w:val="17"/>
                <w:szCs w:val="17"/>
                <w:color w:val="0000FF"/>
              </w:rPr>
              <w:t>9,933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40" w:type="dxa"/>
            <w:vAlign w:val="bottom"/>
            <w:gridSpan w:val="10"/>
          </w:tcPr>
          <w:p>
            <w:pPr>
              <w:jc w:val="right"/>
              <w:ind w:right="35"/>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580" w:type="dxa"/>
            <w:vAlign w:val="bottom"/>
            <w:tcBorders>
              <w:bottom w:val="single" w:sz="8" w:color="2C2C2C"/>
            </w:tcBorders>
            <w:gridSpan w:val="4"/>
          </w:tcPr>
          <w:p>
            <w:pPr>
              <w:spacing w:after="0"/>
              <w:rPr>
                <w:sz w:val="2"/>
                <w:szCs w:val="2"/>
                <w:color w:val="auto"/>
              </w:rPr>
            </w:pPr>
          </w:p>
        </w:tc>
        <w:tc>
          <w:tcPr>
            <w:tcW w:w="1200" w:type="dxa"/>
            <w:vAlign w:val="bottom"/>
            <w:tcBorders>
              <w:bottom w:val="single" w:sz="8" w:color="2C2C2C"/>
            </w:tcBorders>
            <w:gridSpan w:val="3"/>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8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Expiration Date</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8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540" w:type="dxa"/>
            <w:vAlign w:val="bottom"/>
          </w:tcPr>
          <w:p>
            <w:pPr>
              <w:spacing w:after="0"/>
              <w:rPr>
                <w:sz w:val="11"/>
                <w:szCs w:val="11"/>
                <w:color w:val="auto"/>
              </w:rPr>
            </w:pPr>
          </w:p>
        </w:tc>
        <w:tc>
          <w:tcPr>
            <w:tcW w:w="6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(Instr. 3,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92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Options to</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Purchase</w:t>
            </w: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9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09/27/2022</w:t>
            </w:r>
            <w:r>
              <w:rPr>
                <w:rFonts w:ascii="Times New Roman" w:cs="Times New Roman" w:eastAsia="Times New Roman" w:hAnsi="Times New Roman"/>
                <w:sz w:val="21"/>
                <w:szCs w:val="21"/>
                <w:color w:val="008000"/>
                <w:vertAlign w:val="superscript"/>
              </w:rPr>
              <w:t>(2)</w:t>
            </w: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vMerge w:val="restart"/>
          </w:tcPr>
          <w:p>
            <w:pPr>
              <w:jc w:val="center"/>
              <w:ind w:right="114"/>
              <w:spacing w:after="0" w:line="143" w:lineRule="exact"/>
              <w:rPr>
                <w:sz w:val="20"/>
                <w:szCs w:val="20"/>
                <w:color w:val="auto"/>
              </w:rPr>
            </w:pPr>
            <w:r>
              <w:rPr>
                <w:rFonts w:ascii="Times New Roman" w:cs="Times New Roman" w:eastAsia="Times New Roman" w:hAnsi="Times New Roman"/>
                <w:sz w:val="13"/>
                <w:szCs w:val="13"/>
                <w:color w:val="0000FF"/>
                <w:w w:val="99"/>
              </w:rPr>
              <w:t>Voting</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w w:val="98"/>
              </w:rPr>
              <w:t>40,000</w:t>
            </w: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Class A</w:t>
            </w: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12.05</w:t>
            </w: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6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0000FF"/>
              </w:rPr>
              <w:t>09/27/2031</w:t>
            </w: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w w:val="94"/>
              </w:rPr>
              <w:t>40,000</w:t>
            </w:r>
          </w:p>
        </w:tc>
        <w:tc>
          <w:tcPr>
            <w:tcW w:w="280" w:type="dxa"/>
            <w:vAlign w:val="bottom"/>
          </w:tcPr>
          <w:p>
            <w:pPr>
              <w:spacing w:after="0"/>
              <w:rPr>
                <w:sz w:val="5"/>
                <w:szCs w:val="5"/>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66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Voting</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vMerge w:val="restart"/>
          </w:tcPr>
          <w:p>
            <w:pPr>
              <w:jc w:val="center"/>
              <w:ind w:right="114"/>
              <w:spacing w:after="0"/>
              <w:rPr>
                <w:sz w:val="20"/>
                <w:szCs w:val="20"/>
                <w:color w:val="auto"/>
              </w:rPr>
            </w:pPr>
            <w:r>
              <w:rPr>
                <w:rFonts w:ascii="Times New Roman" w:cs="Times New Roman" w:eastAsia="Times New Roman" w:hAnsi="Times New Roman"/>
                <w:sz w:val="13"/>
                <w:szCs w:val="13"/>
                <w:color w:val="0000FF"/>
                <w:w w:val="94"/>
              </w:rPr>
              <w:t>Stock</w:t>
            </w: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-2277110</wp:posOffset>
            </wp:positionV>
            <wp:extent cx="29210" cy="22821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28219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grant of 4,933 shares of restricted stock which vest at a rate of one-third per year commencing on the first anniversary of the date of grant, which was 3/8/2023.</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options vest at a rate of one-third per year commencing on the first anniversary of the date of grant, which was 9/27/2021.</w:t>
      </w:r>
    </w:p>
    <w:p>
      <w:pPr>
        <w:ind w:left="6600"/>
        <w:spacing w:after="0" w:line="186" w:lineRule="auto"/>
        <w:rPr>
          <w:sz w:val="20"/>
          <w:szCs w:val="20"/>
          <w:color w:val="auto"/>
        </w:rPr>
      </w:pPr>
      <w:r>
        <w:rPr>
          <w:rFonts w:ascii="Times New Roman" w:cs="Times New Roman" w:eastAsia="Times New Roman" w:hAnsi="Times New Roman"/>
          <w:sz w:val="17"/>
          <w:szCs w:val="17"/>
          <w:color w:val="0000FF"/>
        </w:rPr>
        <w:t xml:space="preserve">/s/ Jalal Shehadeh by P.O.A. for </w:t>
      </w:r>
      <w:r>
        <w:rPr>
          <w:rFonts w:ascii="Times New Roman" w:cs="Times New Roman" w:eastAsia="Times New Roman" w:hAnsi="Times New Roman"/>
          <w:sz w:val="33"/>
          <w:szCs w:val="33"/>
          <w:color w:val="0000FF"/>
          <w:vertAlign w:val="subscript"/>
        </w:rPr>
        <w:t>03/09/2023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-26670</wp:posOffset>
            </wp:positionV>
            <wp:extent cx="13569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699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Martha Guerra-Kattou</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-20320</wp:posOffset>
            </wp:positionV>
            <wp:extent cx="956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56945"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57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5"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7"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8" w:right="35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17"/>
          <w:szCs w:val="17"/>
          <w:color w:val="auto"/>
        </w:rPr>
        <w:t>Exhibit 24</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POWER OF ATTORNEY</w:t>
      </w:r>
    </w:p>
    <w:p>
      <w:pPr>
        <w:spacing w:after="0" w:line="200" w:lineRule="exact"/>
        <w:rPr>
          <w:sz w:val="20"/>
          <w:szCs w:val="20"/>
          <w:color w:val="auto"/>
        </w:rPr>
      </w:pPr>
    </w:p>
    <w:p>
      <w:pPr>
        <w:spacing w:after="0" w:line="225" w:lineRule="exact"/>
        <w:rPr>
          <w:sz w:val="20"/>
          <w:szCs w:val="20"/>
          <w:color w:val="auto"/>
        </w:rPr>
      </w:pPr>
    </w:p>
    <w:p>
      <w:pPr>
        <w:ind w:firstLine="620"/>
        <w:spacing w:after="0" w:line="288" w:lineRule="auto"/>
        <w:rPr>
          <w:sz w:val="20"/>
          <w:szCs w:val="20"/>
          <w:color w:val="auto"/>
        </w:rPr>
      </w:pPr>
      <w:r>
        <w:rPr>
          <w:rFonts w:ascii="Times New Roman" w:cs="Times New Roman" w:eastAsia="Times New Roman" w:hAnsi="Times New Roman"/>
          <w:sz w:val="17"/>
          <w:szCs w:val="17"/>
          <w:color w:val="auto"/>
        </w:rPr>
        <w:t>Know all by these presents, that the undersigned hereby constitutes and appoints each of Robert Anderson and Jalal “Jay” Shehadeh, signing singly, the undersigned's true and lawful attorney-in-fact to:</w:t>
      </w:r>
    </w:p>
    <w:p>
      <w:pPr>
        <w:spacing w:after="0" w:line="151" w:lineRule="exact"/>
        <w:rPr>
          <w:sz w:val="20"/>
          <w:szCs w:val="20"/>
          <w:color w:val="auto"/>
        </w:rPr>
      </w:pPr>
    </w:p>
    <w:p>
      <w:pPr>
        <w:ind w:firstLine="624"/>
        <w:spacing w:after="0" w:line="288" w:lineRule="auto"/>
        <w:tabs>
          <w:tab w:leader="none" w:pos="872"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execute for and on behalf of the undersigned, in the undersigned's individual capacity, Forms 3, 4, and 5 in accordance with Section 16(a) of the Securities Exchange Act of 1934, and the rules and regulations promulgated thereunder (the “Exchange Act”);</w:t>
      </w:r>
    </w:p>
    <w:p>
      <w:pPr>
        <w:spacing w:after="0" w:line="151" w:lineRule="exact"/>
        <w:rPr>
          <w:rFonts w:ascii="Times New Roman" w:cs="Times New Roman" w:eastAsia="Times New Roman" w:hAnsi="Times New Roman"/>
          <w:sz w:val="17"/>
          <w:szCs w:val="17"/>
          <w:color w:val="auto"/>
        </w:rPr>
      </w:pPr>
    </w:p>
    <w:p>
      <w:pPr>
        <w:jc w:val="both"/>
        <w:ind w:firstLine="624"/>
        <w:spacing w:after="0" w:line="271" w:lineRule="auto"/>
        <w:tabs>
          <w:tab w:leader="none" w:pos="869"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 and perform any and all acts for and on behalf of the undersigned which may be necessary or desirable to complete and execute a Form ID (if necessary) and any such Form 3, 4, or 5, complete and execute any amendment or amendments thereto and timely file such form with the United States Securities and Exchange Commission and any stock exchange or similar authority; and</w:t>
      </w:r>
    </w:p>
    <w:p>
      <w:pPr>
        <w:spacing w:after="0" w:line="164" w:lineRule="exact"/>
        <w:rPr>
          <w:rFonts w:ascii="Times New Roman" w:cs="Times New Roman" w:eastAsia="Times New Roman" w:hAnsi="Times New Roman"/>
          <w:sz w:val="17"/>
          <w:szCs w:val="17"/>
          <w:color w:val="auto"/>
        </w:rPr>
      </w:pPr>
    </w:p>
    <w:p>
      <w:pPr>
        <w:jc w:val="both"/>
        <w:ind w:firstLine="624"/>
        <w:spacing w:after="0" w:line="265" w:lineRule="auto"/>
        <w:tabs>
          <w:tab w:leader="none" w:pos="86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71" w:lineRule="exact"/>
        <w:rPr>
          <w:sz w:val="20"/>
          <w:szCs w:val="20"/>
          <w:color w:val="auto"/>
        </w:rPr>
      </w:pPr>
    </w:p>
    <w:p>
      <w:pPr>
        <w:jc w:val="both"/>
        <w:ind w:firstLine="620"/>
        <w:spacing w:after="0" w:line="260" w:lineRule="auto"/>
        <w:rPr>
          <w:sz w:val="20"/>
          <w:szCs w:val="20"/>
          <w:color w:val="auto"/>
        </w:rPr>
      </w:pPr>
      <w:r>
        <w:rPr>
          <w:rFonts w:ascii="Times New Roman" w:cs="Times New Roman" w:eastAsia="Times New Roman" w:hAnsi="Times New Roman"/>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USCB Financial Holdings, Inc. (the “Company”) assuming, any of the undersigned's responsibilities to comply with Section 16 of the Exchange Act.</w:t>
      </w:r>
    </w:p>
    <w:p>
      <w:pPr>
        <w:spacing w:after="0" w:line="177" w:lineRule="exact"/>
        <w:rPr>
          <w:sz w:val="20"/>
          <w:szCs w:val="20"/>
          <w:color w:val="auto"/>
        </w:rPr>
      </w:pPr>
    </w:p>
    <w:p>
      <w:pPr>
        <w:jc w:val="both"/>
        <w:ind w:firstLine="620"/>
        <w:spacing w:after="0" w:line="271" w:lineRule="auto"/>
        <w:rPr>
          <w:sz w:val="20"/>
          <w:szCs w:val="20"/>
          <w:color w:val="auto"/>
        </w:rPr>
      </w:pPr>
      <w:r>
        <w:rPr>
          <w:rFonts w:ascii="Times New Roman" w:cs="Times New Roman" w:eastAsia="Times New Roman" w:hAnsi="Times New Roman"/>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 WITNESS WHEREOF, the undersigned has caused this Power of Attorney to be executed as of this 21st day of November 2022.</w:t>
      </w:r>
    </w:p>
    <w:p>
      <w:pPr>
        <w:spacing w:after="0" w:line="200" w:lineRule="exact"/>
        <w:rPr>
          <w:sz w:val="20"/>
          <w:szCs w:val="20"/>
          <w:color w:val="auto"/>
        </w:rPr>
      </w:pPr>
    </w:p>
    <w:p>
      <w:pPr>
        <w:spacing w:after="0" w:line="225" w:lineRule="exact"/>
        <w:rPr>
          <w:sz w:val="20"/>
          <w:szCs w:val="20"/>
          <w:color w:val="auto"/>
        </w:rPr>
      </w:pPr>
    </w:p>
    <w:p>
      <w:pPr>
        <w:ind w:left="5280"/>
        <w:spacing w:after="0"/>
        <w:tabs>
          <w:tab w:leader="none" w:pos="5680" w:val="left"/>
        </w:tabs>
        <w:rPr>
          <w:sz w:val="20"/>
          <w:szCs w:val="20"/>
          <w:color w:val="auto"/>
        </w:rPr>
      </w:pPr>
      <w:r>
        <w:rPr>
          <w:rFonts w:ascii="Times New Roman" w:cs="Times New Roman" w:eastAsia="Times New Roman" w:hAnsi="Times New Roman"/>
          <w:sz w:val="17"/>
          <w:szCs w:val="17"/>
          <w:color w:val="auto"/>
        </w:rPr>
        <w:t>By:</w:t>
        <w:tab/>
        <w:t>/s/Martha Guerra-Kattou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3514725</wp:posOffset>
            </wp:positionH>
            <wp:positionV relativeFrom="paragraph">
              <wp:posOffset>17780</wp:posOffset>
            </wp:positionV>
            <wp:extent cx="26593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659380" cy="8255"/>
                    </a:xfrm>
                    <a:prstGeom prst="rect">
                      <a:avLst/>
                    </a:prstGeom>
                    <a:noFill/>
                  </pic:spPr>
                </pic:pic>
              </a:graphicData>
            </a:graphic>
          </wp:anchor>
        </w:drawing>
      </w:r>
    </w:p>
    <w:p>
      <w:pPr>
        <w:spacing w:after="0" w:line="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Martha Guerra-Kattou</w:t>
      </w:r>
    </w:p>
    <w:sectPr>
      <w:pgSz w:w="11900" w:h="16838" w:orient="portrait"/>
      <w:cols w:equalWidth="0" w:num="1">
        <w:col w:w="10980"/>
      </w:cols>
      <w:pgMar w:left="460" w:top="123"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916962" TargetMode="External"/><Relationship Id="rId13" Type="http://schemas.openxmlformats.org/officeDocument/2006/relationships/hyperlink" Target="http://www.sec.gov/cgi-bin/browse-edgar?action=getcompany&amp;CIK=00019016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2023-03-10T13:05:38Z</dcterms:created>
  <dcterms:modified xsi:type="dcterms:W3CDTF">2023-03-10T13:05:38Z</dcterms:modified>
</cp:coreProperties>
</file>