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ind w:left="3540"/>
        <w:spacing w:after="0"/>
        <w:rPr>
          <w:sz w:val="20"/>
          <w:szCs w:val="20"/>
          <w:color w:val="auto"/>
        </w:rPr>
      </w:pPr>
      <w:r>
        <w:rPr>
          <w:rFonts w:ascii="Arial" w:cs="Arial" w:eastAsia="Arial" w:hAnsi="Arial"/>
          <w:sz w:val="16"/>
          <w:szCs w:val="16"/>
          <w:b w:val="1"/>
          <w:bCs w:val="1"/>
          <w:color w:val="auto"/>
        </w:rPr>
        <w:t>WASHINGTON, D.C. 20549</w:t>
      </w:r>
    </w:p>
    <w:p>
      <w:pPr>
        <w:ind w:left="3580"/>
        <w:spacing w:after="0"/>
        <w:rPr>
          <w:sz w:val="20"/>
          <w:szCs w:val="20"/>
          <w:color w:val="auto"/>
        </w:rPr>
      </w:pPr>
      <w:r>
        <w:rPr>
          <w:rFonts w:ascii="Arial" w:cs="Arial" w:eastAsia="Arial" w:hAnsi="Arial"/>
          <w:sz w:val="14"/>
          <w:szCs w:val="14"/>
          <w:color w:val="auto"/>
        </w:rPr>
        <w:t>__________________________</w:t>
      </w:r>
    </w:p>
    <w:p>
      <w:pPr>
        <w:jc w:val="center"/>
        <w:spacing w:after="0" w:line="239" w:lineRule="auto"/>
        <w:rPr>
          <w:sz w:val="20"/>
          <w:szCs w:val="20"/>
          <w:color w:val="auto"/>
        </w:rPr>
      </w:pPr>
      <w:r>
        <w:rPr>
          <w:rFonts w:ascii="Arial" w:cs="Arial" w:eastAsia="Arial" w:hAnsi="Arial"/>
          <w:sz w:val="26"/>
          <w:szCs w:val="26"/>
          <w:b w:val="1"/>
          <w:bCs w:val="1"/>
          <w:color w:val="auto"/>
        </w:rPr>
        <w:t>FORM 8-K</w:t>
      </w:r>
    </w:p>
    <w:p>
      <w:pPr>
        <w:ind w:left="3580"/>
        <w:spacing w:after="0"/>
        <w:rPr>
          <w:sz w:val="20"/>
          <w:szCs w:val="20"/>
          <w:color w:val="auto"/>
        </w:rPr>
      </w:pPr>
      <w:r>
        <w:rPr>
          <w:rFonts w:ascii="Arial" w:cs="Arial" w:eastAsia="Arial" w:hAnsi="Arial"/>
          <w:sz w:val="14"/>
          <w:szCs w:val="14"/>
          <w:color w:val="auto"/>
        </w:rPr>
        <w:t>__________________________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April 28, 2022</w:t>
      </w:r>
    </w:p>
    <w:p>
      <w:pPr>
        <w:spacing w:after="0" w:line="18" w:lineRule="exact"/>
        <w:rPr>
          <w:sz w:val="24"/>
          <w:szCs w:val="24"/>
          <w:color w:val="auto"/>
        </w:rPr>
      </w:pPr>
    </w:p>
    <w:p>
      <w:pPr>
        <w:ind w:left="3580"/>
        <w:spacing w:after="0"/>
        <w:rPr>
          <w:sz w:val="20"/>
          <w:szCs w:val="20"/>
          <w:color w:val="auto"/>
        </w:rPr>
      </w:pPr>
      <w:r>
        <w:rPr>
          <w:rFonts w:ascii="Arial" w:cs="Arial" w:eastAsia="Arial" w:hAnsi="Arial"/>
          <w:sz w:val="14"/>
          <w:szCs w:val="14"/>
          <w:color w:val="auto"/>
        </w:rPr>
        <w:t>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USCB Financial Holdings,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6" w:lineRule="exact"/>
        <w:rPr>
          <w:sz w:val="24"/>
          <w:szCs w:val="24"/>
          <w:color w:val="auto"/>
        </w:rPr>
      </w:pPr>
    </w:p>
    <w:p>
      <w:pPr>
        <w:ind w:left="3600"/>
        <w:spacing w:after="0"/>
        <w:rPr>
          <w:sz w:val="20"/>
          <w:szCs w:val="20"/>
          <w:color w:val="auto"/>
        </w:rPr>
      </w:pPr>
      <w:r>
        <w:rPr>
          <w:rFonts w:ascii="Arial" w:cs="Arial" w:eastAsia="Arial" w:hAnsi="Arial"/>
          <w:sz w:val="14"/>
          <w:szCs w:val="14"/>
          <w:color w:val="auto"/>
        </w:rPr>
        <w:t>__________________________</w:t>
      </w:r>
    </w:p>
    <w:p>
      <w:pPr>
        <w:spacing w:after="0" w:line="325"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2680" w:type="dxa"/>
            <w:vAlign w:val="bottom"/>
          </w:tcPr>
          <w:p>
            <w:pPr>
              <w:jc w:val="center"/>
              <w:ind w:right="169"/>
              <w:spacing w:after="0"/>
              <w:rPr>
                <w:sz w:val="20"/>
                <w:szCs w:val="20"/>
                <w:color w:val="auto"/>
              </w:rPr>
            </w:pPr>
            <w:r>
              <w:rPr>
                <w:rFonts w:ascii="Arial" w:cs="Arial" w:eastAsia="Arial" w:hAnsi="Arial"/>
                <w:sz w:val="14"/>
                <w:szCs w:val="14"/>
                <w:b w:val="1"/>
                <w:bCs w:val="1"/>
                <w:color w:val="auto"/>
                <w:w w:val="94"/>
              </w:rPr>
              <w:t>Florida</w:t>
            </w:r>
          </w:p>
        </w:tc>
        <w:tc>
          <w:tcPr>
            <w:tcW w:w="2520" w:type="dxa"/>
            <w:vAlign w:val="bottom"/>
          </w:tcPr>
          <w:p>
            <w:pPr>
              <w:jc w:val="right"/>
              <w:ind w:right="1049"/>
              <w:spacing w:after="0"/>
              <w:rPr>
                <w:sz w:val="20"/>
                <w:szCs w:val="20"/>
                <w:color w:val="auto"/>
              </w:rPr>
            </w:pPr>
            <w:r>
              <w:rPr>
                <w:rFonts w:ascii="Arial" w:cs="Arial" w:eastAsia="Arial" w:hAnsi="Arial"/>
                <w:sz w:val="14"/>
                <w:szCs w:val="14"/>
                <w:b w:val="1"/>
                <w:bCs w:val="1"/>
                <w:color w:val="auto"/>
              </w:rPr>
              <w:t>001-41196</w:t>
            </w:r>
          </w:p>
        </w:tc>
        <w:tc>
          <w:tcPr>
            <w:tcW w:w="1700" w:type="dxa"/>
            <w:vAlign w:val="bottom"/>
          </w:tcPr>
          <w:p>
            <w:pPr>
              <w:jc w:val="center"/>
              <w:ind w:left="509"/>
              <w:spacing w:after="0"/>
              <w:rPr>
                <w:sz w:val="20"/>
                <w:szCs w:val="20"/>
                <w:color w:val="auto"/>
              </w:rPr>
            </w:pPr>
            <w:r>
              <w:rPr>
                <w:rFonts w:ascii="Arial" w:cs="Arial" w:eastAsia="Arial" w:hAnsi="Arial"/>
                <w:sz w:val="14"/>
                <w:szCs w:val="14"/>
                <w:b w:val="1"/>
                <w:bCs w:val="1"/>
                <w:color w:val="auto"/>
                <w:w w:val="90"/>
              </w:rPr>
              <w:t>87-4070846</w:t>
            </w:r>
          </w:p>
        </w:tc>
      </w:tr>
      <w:tr>
        <w:trPr>
          <w:trHeight w:val="160"/>
        </w:trPr>
        <w:tc>
          <w:tcPr>
            <w:tcW w:w="2680" w:type="dxa"/>
            <w:vAlign w:val="bottom"/>
          </w:tcPr>
          <w:p>
            <w:pPr>
              <w:jc w:val="center"/>
              <w:ind w:right="169"/>
              <w:spacing w:after="0"/>
              <w:rPr>
                <w:sz w:val="20"/>
                <w:szCs w:val="20"/>
                <w:color w:val="auto"/>
              </w:rPr>
            </w:pPr>
            <w:r>
              <w:rPr>
                <w:rFonts w:ascii="Arial" w:cs="Arial" w:eastAsia="Arial" w:hAnsi="Arial"/>
                <w:sz w:val="14"/>
                <w:szCs w:val="14"/>
                <w:b w:val="1"/>
                <w:bCs w:val="1"/>
                <w:color w:val="auto"/>
                <w:w w:val="92"/>
              </w:rPr>
              <w:t>(State or Other Jurisdiction</w:t>
            </w:r>
          </w:p>
        </w:tc>
        <w:tc>
          <w:tcPr>
            <w:tcW w:w="2520" w:type="dxa"/>
            <w:vAlign w:val="bottom"/>
          </w:tcPr>
          <w:p>
            <w:pPr>
              <w:jc w:val="center"/>
              <w:ind w:right="249"/>
              <w:spacing w:after="0"/>
              <w:rPr>
                <w:sz w:val="20"/>
                <w:szCs w:val="20"/>
                <w:color w:val="auto"/>
              </w:rPr>
            </w:pPr>
            <w:r>
              <w:rPr>
                <w:rFonts w:ascii="Arial" w:cs="Arial" w:eastAsia="Arial" w:hAnsi="Arial"/>
                <w:sz w:val="14"/>
                <w:szCs w:val="14"/>
                <w:b w:val="1"/>
                <w:bCs w:val="1"/>
                <w:color w:val="auto"/>
                <w:w w:val="92"/>
              </w:rPr>
              <w:t>(Commission File Number)</w:t>
            </w:r>
          </w:p>
        </w:tc>
        <w:tc>
          <w:tcPr>
            <w:tcW w:w="1700" w:type="dxa"/>
            <w:vAlign w:val="bottom"/>
          </w:tcPr>
          <w:p>
            <w:pPr>
              <w:jc w:val="center"/>
              <w:ind w:left="509"/>
              <w:spacing w:after="0"/>
              <w:rPr>
                <w:sz w:val="20"/>
                <w:szCs w:val="20"/>
                <w:color w:val="auto"/>
              </w:rPr>
            </w:pPr>
            <w:r>
              <w:rPr>
                <w:rFonts w:ascii="Arial" w:cs="Arial" w:eastAsia="Arial" w:hAnsi="Arial"/>
                <w:sz w:val="14"/>
                <w:szCs w:val="14"/>
                <w:b w:val="1"/>
                <w:bCs w:val="1"/>
                <w:color w:val="auto"/>
                <w:w w:val="96"/>
              </w:rPr>
              <w:t>(IRS Employer</w:t>
            </w:r>
          </w:p>
        </w:tc>
      </w:tr>
      <w:tr>
        <w:trPr>
          <w:trHeight w:val="184"/>
        </w:trPr>
        <w:tc>
          <w:tcPr>
            <w:tcW w:w="2680" w:type="dxa"/>
            <w:vAlign w:val="bottom"/>
          </w:tcPr>
          <w:p>
            <w:pPr>
              <w:jc w:val="center"/>
              <w:ind w:right="169"/>
              <w:spacing w:after="0"/>
              <w:rPr>
                <w:sz w:val="20"/>
                <w:szCs w:val="20"/>
                <w:color w:val="auto"/>
              </w:rPr>
            </w:pPr>
            <w:r>
              <w:rPr>
                <w:rFonts w:ascii="Arial" w:cs="Arial" w:eastAsia="Arial" w:hAnsi="Arial"/>
                <w:sz w:val="14"/>
                <w:szCs w:val="14"/>
                <w:b w:val="1"/>
                <w:bCs w:val="1"/>
                <w:color w:val="auto"/>
                <w:w w:val="92"/>
              </w:rPr>
              <w:t>of Incorporation)</w:t>
            </w:r>
          </w:p>
        </w:tc>
        <w:tc>
          <w:tcPr>
            <w:tcW w:w="2520" w:type="dxa"/>
            <w:vAlign w:val="bottom"/>
          </w:tcPr>
          <w:p>
            <w:pPr>
              <w:spacing w:after="0"/>
              <w:rPr>
                <w:sz w:val="16"/>
                <w:szCs w:val="16"/>
                <w:color w:val="auto"/>
              </w:rPr>
            </w:pPr>
          </w:p>
        </w:tc>
        <w:tc>
          <w:tcPr>
            <w:tcW w:w="1700" w:type="dxa"/>
            <w:vAlign w:val="bottom"/>
          </w:tcPr>
          <w:p>
            <w:pPr>
              <w:jc w:val="center"/>
              <w:ind w:left="509"/>
              <w:spacing w:after="0"/>
              <w:rPr>
                <w:sz w:val="20"/>
                <w:szCs w:val="20"/>
                <w:color w:val="auto"/>
              </w:rPr>
            </w:pPr>
            <w:r>
              <w:rPr>
                <w:rFonts w:ascii="Arial" w:cs="Arial" w:eastAsia="Arial" w:hAnsi="Arial"/>
                <w:sz w:val="14"/>
                <w:szCs w:val="14"/>
                <w:b w:val="1"/>
                <w:bCs w:val="1"/>
                <w:color w:val="auto"/>
                <w:w w:val="94"/>
              </w:rPr>
              <w:t>Identification No.)</w:t>
            </w:r>
          </w:p>
        </w:tc>
      </w:tr>
      <w:tr>
        <w:trPr>
          <w:trHeight w:val="307"/>
        </w:trPr>
        <w:tc>
          <w:tcPr>
            <w:tcW w:w="2680" w:type="dxa"/>
            <w:vAlign w:val="bottom"/>
          </w:tcPr>
          <w:p>
            <w:pPr>
              <w:jc w:val="center"/>
              <w:ind w:right="169"/>
              <w:spacing w:after="0"/>
              <w:rPr>
                <w:sz w:val="20"/>
                <w:szCs w:val="20"/>
                <w:color w:val="auto"/>
              </w:rPr>
            </w:pPr>
            <w:r>
              <w:rPr>
                <w:rFonts w:ascii="Arial" w:cs="Arial" w:eastAsia="Arial" w:hAnsi="Arial"/>
                <w:sz w:val="14"/>
                <w:szCs w:val="14"/>
                <w:b w:val="1"/>
                <w:bCs w:val="1"/>
                <w:color w:val="auto"/>
                <w:w w:val="91"/>
              </w:rPr>
              <w:t>2301 N.W. 87th Avenue ,</w:t>
            </w:r>
          </w:p>
        </w:tc>
        <w:tc>
          <w:tcPr>
            <w:tcW w:w="2520" w:type="dxa"/>
            <w:vAlign w:val="bottom"/>
          </w:tcPr>
          <w:p>
            <w:pPr>
              <w:spacing w:after="0"/>
              <w:rPr>
                <w:sz w:val="24"/>
                <w:szCs w:val="24"/>
                <w:color w:val="auto"/>
              </w:rPr>
            </w:pPr>
          </w:p>
        </w:tc>
        <w:tc>
          <w:tcPr>
            <w:tcW w:w="1700" w:type="dxa"/>
            <w:vAlign w:val="bottom"/>
          </w:tcPr>
          <w:p>
            <w:pPr>
              <w:jc w:val="center"/>
              <w:ind w:left="509"/>
              <w:spacing w:after="0"/>
              <w:rPr>
                <w:sz w:val="20"/>
                <w:szCs w:val="20"/>
                <w:color w:val="auto"/>
              </w:rPr>
            </w:pPr>
            <w:r>
              <w:rPr>
                <w:rFonts w:ascii="Arial" w:cs="Arial" w:eastAsia="Arial" w:hAnsi="Arial"/>
                <w:sz w:val="14"/>
                <w:szCs w:val="14"/>
                <w:b w:val="1"/>
                <w:bCs w:val="1"/>
                <w:color w:val="auto"/>
                <w:w w:val="92"/>
              </w:rPr>
              <w:t>33172</w:t>
            </w:r>
          </w:p>
        </w:tc>
      </w:tr>
      <w:tr>
        <w:trPr>
          <w:trHeight w:val="171"/>
        </w:trPr>
        <w:tc>
          <w:tcPr>
            <w:tcW w:w="2680" w:type="dxa"/>
            <w:vAlign w:val="bottom"/>
          </w:tcPr>
          <w:p>
            <w:pPr>
              <w:jc w:val="center"/>
              <w:ind w:right="169"/>
              <w:spacing w:after="0"/>
              <w:rPr>
                <w:sz w:val="20"/>
                <w:szCs w:val="20"/>
                <w:color w:val="auto"/>
              </w:rPr>
            </w:pPr>
            <w:r>
              <w:rPr>
                <w:rFonts w:ascii="Arial" w:cs="Arial" w:eastAsia="Arial" w:hAnsi="Arial"/>
                <w:sz w:val="14"/>
                <w:szCs w:val="14"/>
                <w:b w:val="1"/>
                <w:bCs w:val="1"/>
                <w:color w:val="auto"/>
                <w:w w:val="97"/>
              </w:rPr>
              <w:t>Miami, Florida</w:t>
            </w:r>
          </w:p>
        </w:tc>
        <w:tc>
          <w:tcPr>
            <w:tcW w:w="2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4"/>
        </w:trPr>
        <w:tc>
          <w:tcPr>
            <w:tcW w:w="2680" w:type="dxa"/>
            <w:vAlign w:val="bottom"/>
          </w:tcPr>
          <w:p>
            <w:pPr>
              <w:jc w:val="center"/>
              <w:ind w:right="189"/>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2520" w:type="dxa"/>
            <w:vAlign w:val="bottom"/>
          </w:tcPr>
          <w:p>
            <w:pPr>
              <w:spacing w:after="0"/>
              <w:rPr>
                <w:sz w:val="16"/>
                <w:szCs w:val="16"/>
                <w:color w:val="auto"/>
              </w:rPr>
            </w:pPr>
          </w:p>
        </w:tc>
        <w:tc>
          <w:tcPr>
            <w:tcW w:w="1700" w:type="dxa"/>
            <w:vAlign w:val="bottom"/>
          </w:tcPr>
          <w:p>
            <w:pPr>
              <w:jc w:val="center"/>
              <w:ind w:left="529"/>
              <w:spacing w:after="0"/>
              <w:rPr>
                <w:sz w:val="20"/>
                <w:szCs w:val="20"/>
                <w:color w:val="auto"/>
              </w:rPr>
            </w:pPr>
            <w:r>
              <w:rPr>
                <w:rFonts w:ascii="Arial" w:cs="Arial" w:eastAsia="Arial" w:hAnsi="Arial"/>
                <w:sz w:val="14"/>
                <w:szCs w:val="14"/>
                <w:b w:val="1"/>
                <w:bCs w:val="1"/>
                <w:color w:val="auto"/>
                <w:w w:val="95"/>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(305) 715-5200</w:t>
      </w:r>
    </w:p>
    <w:p>
      <w:pPr>
        <w:spacing w:after="0" w:line="134" w:lineRule="exact"/>
        <w:rPr>
          <w:sz w:val="24"/>
          <w:szCs w:val="24"/>
          <w:color w:val="auto"/>
        </w:rPr>
      </w:pPr>
    </w:p>
    <w:p>
      <w:pPr>
        <w:ind w:left="3600"/>
        <w:spacing w:after="0"/>
        <w:rPr>
          <w:sz w:val="20"/>
          <w:szCs w:val="20"/>
          <w:color w:val="auto"/>
        </w:rPr>
      </w:pPr>
      <w:r>
        <w:rPr>
          <w:rFonts w:ascii="Arial" w:cs="Arial" w:eastAsia="Arial" w:hAnsi="Arial"/>
          <w:sz w:val="14"/>
          <w:szCs w:val="14"/>
          <w:color w:val="auto"/>
        </w:rPr>
        <w:t>__________________________</w:t>
      </w:r>
    </w:p>
    <w:p>
      <w:pPr>
        <w:spacing w:after="0" w:line="138" w:lineRule="exact"/>
        <w:rPr>
          <w:sz w:val="24"/>
          <w:szCs w:val="24"/>
          <w:color w:val="auto"/>
        </w:rPr>
      </w:pPr>
    </w:p>
    <w:p>
      <w:pPr>
        <w:ind w:left="660" w:right="679"/>
        <w:spacing w:after="0" w:line="267"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33" w:lineRule="exact"/>
        <w:rPr>
          <w:sz w:val="24"/>
          <w:szCs w:val="2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4"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 -12)</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4" w:lineRule="exact"/>
        <w:rPr>
          <w:sz w:val="24"/>
          <w:szCs w:val="24"/>
          <w:color w:val="auto"/>
        </w:rPr>
      </w:pPr>
    </w:p>
    <w:tbl>
      <w:tblPr>
        <w:tblLayout w:type="fixed"/>
        <w:tblInd w:w="66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9"/>
              </w:rPr>
              <w:t>Trading</w:t>
            </w:r>
          </w:p>
        </w:tc>
        <w:tc>
          <w:tcPr>
            <w:tcW w:w="200" w:type="dxa"/>
            <w:vAlign w:val="bottom"/>
          </w:tcPr>
          <w:p>
            <w:pPr>
              <w:spacing w:after="0"/>
              <w:rPr>
                <w:sz w:val="10"/>
                <w:szCs w:val="10"/>
                <w:color w:val="auto"/>
              </w:rPr>
            </w:pPr>
          </w:p>
        </w:tc>
        <w:tc>
          <w:tcPr>
            <w:tcW w:w="2880" w:type="dxa"/>
            <w:vAlign w:val="bottom"/>
          </w:tcPr>
          <w:p>
            <w:pPr>
              <w:spacing w:after="0"/>
              <w:rPr>
                <w:sz w:val="10"/>
                <w:szCs w:val="10"/>
                <w:color w:val="auto"/>
              </w:rPr>
            </w:pPr>
          </w:p>
        </w:tc>
      </w:tr>
      <w:tr>
        <w:trPr>
          <w:trHeight w:val="135"/>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Title of each class</w:t>
            </w:r>
          </w:p>
        </w:tc>
        <w:tc>
          <w:tcPr>
            <w:tcW w:w="200" w:type="dxa"/>
            <w:vAlign w:val="bottom"/>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Symbol(s)</w:t>
            </w:r>
          </w:p>
        </w:tc>
        <w:tc>
          <w:tcPr>
            <w:tcW w:w="200" w:type="dxa"/>
            <w:vAlign w:val="bottom"/>
          </w:tcPr>
          <w:p>
            <w:pPr>
              <w:spacing w:after="0"/>
              <w:rPr>
                <w:sz w:val="11"/>
                <w:szCs w:val="11"/>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Name of each exchange on which registered</w:t>
            </w:r>
          </w:p>
        </w:tc>
      </w:tr>
      <w:tr>
        <w:trPr>
          <w:trHeight w:val="171"/>
        </w:trPr>
        <w:tc>
          <w:tcPr>
            <w:tcW w:w="2880" w:type="dxa"/>
            <w:vAlign w:val="bottom"/>
          </w:tcPr>
          <w:p>
            <w:pPr>
              <w:jc w:val="center"/>
              <w:spacing w:after="0"/>
              <w:rPr>
                <w:sz w:val="20"/>
                <w:szCs w:val="20"/>
                <w:color w:val="auto"/>
              </w:rPr>
            </w:pPr>
            <w:r>
              <w:rPr>
                <w:rFonts w:ascii="Arial" w:cs="Arial" w:eastAsia="Arial" w:hAnsi="Arial"/>
                <w:sz w:val="14"/>
                <w:szCs w:val="14"/>
                <w:color w:val="auto"/>
                <w:w w:val="90"/>
              </w:rPr>
              <w:t>Class A common stock, $1.00 par value per share</w:t>
            </w: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7"/>
              </w:rPr>
              <w:t>USCB</w:t>
            </w:r>
          </w:p>
        </w:tc>
        <w:tc>
          <w:tcPr>
            <w:tcW w:w="20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140" w:lineRule="exact"/>
        <w:rPr>
          <w:sz w:val="24"/>
          <w:szCs w:val="24"/>
          <w:color w:val="auto"/>
        </w:rPr>
      </w:pPr>
    </w:p>
    <w:p>
      <w:pPr>
        <w:jc w:val="both"/>
        <w:ind w:left="660" w:right="699"/>
        <w:spacing w:after="0" w:line="267"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 -2 of this chapter).</w:t>
      </w:r>
    </w:p>
    <w:p>
      <w:pPr>
        <w:spacing w:after="0" w:line="107"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95" w:lineRule="exact"/>
        <w:rPr>
          <w:sz w:val="24"/>
          <w:szCs w:val="24"/>
          <w:color w:val="auto"/>
        </w:rPr>
      </w:pPr>
    </w:p>
    <w:p>
      <w:pPr>
        <w:jc w:val="both"/>
        <w:ind w:left="660" w:right="699"/>
        <w:spacing w:after="0" w:line="18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801" w:right="1440" w:bottom="1440" w:gutter="0" w:footer="0" w:header="0"/>
        </w:sectPr>
      </w:pPr>
    </w:p>
    <w:bookmarkStart w:id="1" w:name="page2"/>
    <w:bookmarkEnd w:id="1"/>
    <w:p>
      <w:pPr>
        <w:ind w:left="6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Item 2.02. Results of Operations and Financial Condition.</w:t>
      </w:r>
    </w:p>
    <w:p>
      <w:pPr>
        <w:spacing w:after="0" w:line="174" w:lineRule="exact"/>
        <w:rPr>
          <w:sz w:val="20"/>
          <w:szCs w:val="20"/>
          <w:color w:val="auto"/>
        </w:rPr>
      </w:pPr>
    </w:p>
    <w:p>
      <w:pPr>
        <w:jc w:val="both"/>
        <w:ind w:left="660" w:right="679" w:firstLine="512"/>
        <w:spacing w:after="0" w:line="260" w:lineRule="auto"/>
        <w:rPr>
          <w:sz w:val="20"/>
          <w:szCs w:val="20"/>
          <w:color w:val="auto"/>
        </w:rPr>
      </w:pPr>
      <w:r>
        <w:rPr>
          <w:rFonts w:ascii="Arial" w:cs="Arial" w:eastAsia="Arial" w:hAnsi="Arial"/>
          <w:sz w:val="14"/>
          <w:szCs w:val="14"/>
          <w:color w:val="auto"/>
        </w:rPr>
        <w:t>On April 28, 2022, USCB Financial Holdings, Inc. (the “Company”), issued a press release announcing its financial results for the first quarter ended March 31, 2022. A copy of the press release is furnished as Exhibit 99.1 to this Current Report on Form 8-K and is incorporated herein by reference.</w:t>
      </w:r>
    </w:p>
    <w:p>
      <w:pPr>
        <w:spacing w:after="0" w:line="128" w:lineRule="exact"/>
        <w:rPr>
          <w:sz w:val="20"/>
          <w:szCs w:val="20"/>
          <w:color w:val="auto"/>
        </w:rPr>
      </w:pPr>
    </w:p>
    <w:p>
      <w:pPr>
        <w:jc w:val="both"/>
        <w:ind w:left="660" w:right="679" w:firstLine="512"/>
        <w:spacing w:after="0" w:line="253" w:lineRule="auto"/>
        <w:rPr>
          <w:sz w:val="20"/>
          <w:szCs w:val="20"/>
          <w:color w:val="auto"/>
        </w:rPr>
      </w:pPr>
      <w:r>
        <w:rPr>
          <w:rFonts w:ascii="Arial" w:cs="Arial" w:eastAsia="Arial" w:hAnsi="Arial"/>
          <w:sz w:val="14"/>
          <w:szCs w:val="14"/>
          <w:color w:val="auto"/>
        </w:rPr>
        <w:t>The information in this Item 2.02, including Exhibit 99.1, is being furnished and shall not be deemed “filed” for purposes of Section 18 of the Securities Exchange Act of 1934 (the “Exchange Act”), or otherwise subject to the liability of that section, and shall not be deemed to be incorporated by reference into any filing under the Securities Act of 1933 (the “Securities Act”) or the Exchange Act.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7.01 Regulation FD Disclosure.</w:t>
      </w:r>
    </w:p>
    <w:p>
      <w:pPr>
        <w:spacing w:after="0" w:line="174" w:lineRule="exact"/>
        <w:rPr>
          <w:sz w:val="20"/>
          <w:szCs w:val="20"/>
          <w:color w:val="auto"/>
        </w:rPr>
      </w:pPr>
    </w:p>
    <w:p>
      <w:pPr>
        <w:jc w:val="both"/>
        <w:ind w:left="660" w:right="659" w:firstLine="512"/>
        <w:spacing w:after="0" w:line="253" w:lineRule="auto"/>
        <w:rPr>
          <w:sz w:val="20"/>
          <w:szCs w:val="20"/>
          <w:color w:val="auto"/>
        </w:rPr>
      </w:pPr>
      <w:r>
        <w:rPr>
          <w:rFonts w:ascii="Arial" w:cs="Arial" w:eastAsia="Arial" w:hAnsi="Arial"/>
          <w:sz w:val="14"/>
          <w:szCs w:val="14"/>
          <w:color w:val="auto"/>
        </w:rPr>
        <w:t xml:space="preserve">As previously announced, at 9:00 a.m. ET on April 29, 2022, the Company will hold an earnings conference call to discuss its financial performance for the quarter. A copy of the slides forming the basis of the presentation is being furnished as Exhibit 99.2 to this Current Report on Form 8-K and is incorporated herein by reference. A copy of the slides has also been posted to the Company’s investor relations website, located at </w:t>
      </w:r>
      <w:r>
        <w:rPr>
          <w:rFonts w:ascii="Arial" w:cs="Arial" w:eastAsia="Arial" w:hAnsi="Arial"/>
          <w:sz w:val="14"/>
          <w:szCs w:val="14"/>
          <w:color w:val="0563C1"/>
        </w:rPr>
        <w:t>investors.uscenturybank.com</w:t>
      </w:r>
    </w:p>
    <w:p>
      <w:pPr>
        <w:spacing w:after="0" w:line="132" w:lineRule="exact"/>
        <w:rPr>
          <w:sz w:val="20"/>
          <w:szCs w:val="20"/>
          <w:color w:val="auto"/>
        </w:rPr>
      </w:pPr>
    </w:p>
    <w:p>
      <w:pPr>
        <w:ind w:left="660" w:right="599" w:firstLine="512"/>
        <w:spacing w:after="0" w:line="260" w:lineRule="auto"/>
        <w:rPr>
          <w:sz w:val="20"/>
          <w:szCs w:val="20"/>
          <w:color w:val="auto"/>
        </w:rPr>
      </w:pPr>
      <w:r>
        <w:rPr>
          <w:rFonts w:ascii="Arial" w:cs="Arial" w:eastAsia="Arial" w:hAnsi="Arial"/>
          <w:sz w:val="14"/>
          <w:szCs w:val="14"/>
          <w:color w:val="auto"/>
        </w:rPr>
        <w:t>The information in this Item 7.01, including Exhibits 99.1 and 99.2, is being furnished and shall not be deemed “filed” for purposes of Section 18 of the Exchange Act, or otherwise subject to the liability of that section, and shall not be deemed to be incorporated by reference into any filing under the Securities Act or the Exchange Act.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59"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(d) Exhibits.</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174"/>
        </w:trPr>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64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129"/>
        </w:trPr>
        <w:tc>
          <w:tcPr>
            <w:tcW w:w="260" w:type="dxa"/>
            <w:vAlign w:val="bottom"/>
            <w:gridSpan w:val="2"/>
          </w:tcPr>
          <w:p>
            <w:pPr>
              <w:ind w:left="20"/>
              <w:spacing w:after="0" w:line="129" w:lineRule="exact"/>
              <w:rPr>
                <w:rFonts w:ascii="Arial" w:cs="Arial" w:eastAsia="Arial" w:hAnsi="Arial"/>
                <w:sz w:val="14"/>
                <w:szCs w:val="14"/>
                <w:color w:val="0563C1"/>
                <w:w w:val="80"/>
              </w:rPr>
            </w:pPr>
            <w:hyperlink w:anchor="page4">
              <w:r>
                <w:rPr>
                  <w:rFonts w:ascii="Arial" w:cs="Arial" w:eastAsia="Arial" w:hAnsi="Arial"/>
                  <w:sz w:val="14"/>
                  <w:szCs w:val="14"/>
                  <w:color w:val="0563C1"/>
                  <w:w w:val="80"/>
                </w:rPr>
                <w:t>99.</w:t>
              </w:r>
              <w:r>
                <w:rPr>
                  <w:rFonts w:ascii="Arial" w:cs="Arial" w:eastAsia="Arial" w:hAnsi="Arial"/>
                  <w:sz w:val="14"/>
                  <w:szCs w:val="14"/>
                  <w:u w:val="single" w:color="auto"/>
                  <w:color w:val="0563C1"/>
                  <w:w w:val="80"/>
                </w:rPr>
                <w:t>1</w:t>
              </w:r>
            </w:hyperlink>
          </w:p>
        </w:tc>
        <w:tc>
          <w:tcPr>
            <w:tcW w:w="480" w:type="dxa"/>
            <w:vAlign w:val="bottom"/>
          </w:tcPr>
          <w:p>
            <w:pPr>
              <w:spacing w:after="0"/>
              <w:rPr>
                <w:sz w:val="11"/>
                <w:szCs w:val="11"/>
                <w:color w:val="auto"/>
              </w:rPr>
            </w:pPr>
          </w:p>
        </w:tc>
        <w:tc>
          <w:tcPr>
            <w:tcW w:w="6440" w:type="dxa"/>
            <w:vAlign w:val="bottom"/>
            <w:gridSpan w:val="4"/>
          </w:tcPr>
          <w:p>
            <w:pPr>
              <w:ind w:left="40"/>
              <w:spacing w:after="0" w:line="129" w:lineRule="exact"/>
              <w:rPr>
                <w:rFonts w:ascii="Arial" w:cs="Arial" w:eastAsia="Arial" w:hAnsi="Arial"/>
                <w:sz w:val="14"/>
                <w:szCs w:val="14"/>
                <w:color w:val="0563C1"/>
              </w:rPr>
            </w:pPr>
            <w:hyperlink w:anchor="page4">
              <w:r>
                <w:rPr>
                  <w:rFonts w:ascii="Arial" w:cs="Arial" w:eastAsia="Arial" w:hAnsi="Arial"/>
                  <w:sz w:val="14"/>
                  <w:szCs w:val="14"/>
                  <w:color w:val="0563C1"/>
                </w:rPr>
                <w:t>USCB Financial Holdings, Inc. Press Release, dated April 28, 2022</w:t>
              </w:r>
            </w:hyperlink>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shd w:val="clear" w:color="auto" w:fill="0563C1"/>
          </w:tcPr>
          <w:p>
            <w:pPr>
              <w:spacing w:after="0" w:line="20" w:lineRule="exact"/>
              <w:rPr>
                <w:sz w:val="1"/>
                <w:szCs w:val="1"/>
                <w:color w:val="auto"/>
              </w:rPr>
            </w:pPr>
          </w:p>
        </w:tc>
        <w:tc>
          <w:tcPr>
            <w:tcW w:w="1340" w:type="dxa"/>
            <w:vAlign w:val="bottom"/>
            <w:shd w:val="clear" w:color="auto" w:fill="0563C1"/>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40"/>
        </w:trPr>
        <w:tc>
          <w:tcPr>
            <w:tcW w:w="260" w:type="dxa"/>
            <w:vAlign w:val="bottom"/>
            <w:gridSpan w:val="2"/>
          </w:tcPr>
          <w:p>
            <w:pPr>
              <w:ind w:left="20"/>
              <w:spacing w:after="0" w:line="140" w:lineRule="exact"/>
              <w:rPr>
                <w:rFonts w:ascii="Arial" w:cs="Arial" w:eastAsia="Arial" w:hAnsi="Arial"/>
                <w:sz w:val="14"/>
                <w:szCs w:val="14"/>
                <w:color w:val="0563C1"/>
                <w:w w:val="80"/>
              </w:rPr>
            </w:pPr>
            <w:hyperlink w:anchor="page14">
              <w:r>
                <w:rPr>
                  <w:rFonts w:ascii="Arial" w:cs="Arial" w:eastAsia="Arial" w:hAnsi="Arial"/>
                  <w:sz w:val="14"/>
                  <w:szCs w:val="14"/>
                  <w:color w:val="0563C1"/>
                  <w:w w:val="80"/>
                </w:rPr>
                <w:t>99.</w:t>
              </w:r>
              <w:r>
                <w:rPr>
                  <w:rFonts w:ascii="Arial" w:cs="Arial" w:eastAsia="Arial" w:hAnsi="Arial"/>
                  <w:sz w:val="14"/>
                  <w:szCs w:val="14"/>
                  <w:u w:val="single" w:color="auto"/>
                  <w:color w:val="0563C1"/>
                  <w:w w:val="80"/>
                </w:rPr>
                <w:t>2</w:t>
              </w:r>
            </w:hyperlink>
          </w:p>
        </w:tc>
        <w:tc>
          <w:tcPr>
            <w:tcW w:w="480" w:type="dxa"/>
            <w:vAlign w:val="bottom"/>
          </w:tcPr>
          <w:p>
            <w:pPr>
              <w:spacing w:after="0"/>
              <w:rPr>
                <w:sz w:val="12"/>
                <w:szCs w:val="12"/>
                <w:color w:val="auto"/>
              </w:rPr>
            </w:pPr>
          </w:p>
        </w:tc>
        <w:tc>
          <w:tcPr>
            <w:tcW w:w="6440" w:type="dxa"/>
            <w:vAlign w:val="bottom"/>
            <w:gridSpan w:val="4"/>
          </w:tcPr>
          <w:p>
            <w:pPr>
              <w:ind w:left="40"/>
              <w:spacing w:after="0" w:line="140" w:lineRule="exact"/>
              <w:rPr>
                <w:rFonts w:ascii="Arial" w:cs="Arial" w:eastAsia="Arial" w:hAnsi="Arial"/>
                <w:sz w:val="14"/>
                <w:szCs w:val="14"/>
                <w:color w:val="0563C1"/>
              </w:rPr>
            </w:pPr>
            <w:hyperlink w:anchor="page14">
              <w:r>
                <w:rPr>
                  <w:rFonts w:ascii="Arial" w:cs="Arial" w:eastAsia="Arial" w:hAnsi="Arial"/>
                  <w:sz w:val="14"/>
                  <w:szCs w:val="14"/>
                  <w:color w:val="0563C1"/>
                </w:rPr>
                <w:t>Earnings Presentation, dated April 29, 2022</w:t>
              </w:r>
            </w:hyperlink>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shd w:val="clear" w:color="auto" w:fill="0563C1"/>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r>
      <w:tr>
        <w:trPr>
          <w:trHeight w:val="182"/>
        </w:trPr>
        <w:tc>
          <w:tcPr>
            <w:tcW w:w="260" w:type="dxa"/>
            <w:vAlign w:val="bottom"/>
            <w:gridSpan w:val="2"/>
          </w:tcPr>
          <w:p>
            <w:pPr>
              <w:ind w:left="20"/>
              <w:spacing w:after="0"/>
              <w:rPr>
                <w:sz w:val="20"/>
                <w:szCs w:val="20"/>
                <w:color w:val="auto"/>
              </w:rPr>
            </w:pPr>
            <w:r>
              <w:rPr>
                <w:rFonts w:ascii="Arial" w:cs="Arial" w:eastAsia="Arial" w:hAnsi="Arial"/>
                <w:sz w:val="14"/>
                <w:szCs w:val="14"/>
                <w:color w:val="auto"/>
                <w:w w:val="94"/>
              </w:rPr>
              <w:t>104</w:t>
            </w:r>
          </w:p>
        </w:tc>
        <w:tc>
          <w:tcPr>
            <w:tcW w:w="480" w:type="dxa"/>
            <w:vAlign w:val="bottom"/>
          </w:tcPr>
          <w:p>
            <w:pPr>
              <w:spacing w:after="0"/>
              <w:rPr>
                <w:sz w:val="15"/>
                <w:szCs w:val="15"/>
                <w:color w:val="auto"/>
              </w:rPr>
            </w:pPr>
          </w:p>
        </w:tc>
        <w:tc>
          <w:tcPr>
            <w:tcW w:w="6440" w:type="dxa"/>
            <w:vAlign w:val="bottom"/>
            <w:gridSpan w:val="4"/>
          </w:tcPr>
          <w:p>
            <w:pPr>
              <w:ind w:left="40"/>
              <w:spacing w:after="0"/>
              <w:rPr>
                <w:sz w:val="20"/>
                <w:szCs w:val="20"/>
                <w:color w:val="auto"/>
              </w:rPr>
            </w:pPr>
            <w:r>
              <w:rPr>
                <w:rFonts w:ascii="Arial" w:cs="Arial" w:eastAsia="Arial" w:hAnsi="Arial"/>
                <w:sz w:val="14"/>
                <w:szCs w:val="14"/>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723"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SIGNATURE</w:t>
      </w:r>
    </w:p>
    <w:p>
      <w:pPr>
        <w:spacing w:after="0" w:line="174" w:lineRule="exact"/>
        <w:rPr>
          <w:sz w:val="20"/>
          <w:szCs w:val="20"/>
          <w:color w:val="auto"/>
        </w:rPr>
      </w:pPr>
    </w:p>
    <w:p>
      <w:pPr>
        <w:ind w:left="660" w:right="679" w:firstLine="512"/>
        <w:spacing w:after="0" w:line="267"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USCB Financial Holdings, Inc.</w:t>
      </w:r>
    </w:p>
    <w:p>
      <w:pPr>
        <w:spacing w:after="0" w:line="334" w:lineRule="exact"/>
        <w:rPr>
          <w:sz w:val="20"/>
          <w:szCs w:val="20"/>
          <w:color w:val="auto"/>
        </w:rPr>
      </w:pPr>
    </w:p>
    <w:tbl>
      <w:tblPr>
        <w:tblLayout w:type="fixed"/>
        <w:tblInd w:w="520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Robert Anderson</w:t>
            </w:r>
          </w:p>
        </w:tc>
      </w:tr>
      <w:tr>
        <w:trPr>
          <w:trHeight w:val="140"/>
        </w:trPr>
        <w:tc>
          <w:tcPr>
            <w:tcW w:w="580" w:type="dxa"/>
            <w:vAlign w:val="bottom"/>
          </w:tcPr>
          <w:p>
            <w:pPr>
              <w:spacing w:after="0" w:line="141" w:lineRule="exact"/>
              <w:rPr>
                <w:sz w:val="20"/>
                <w:szCs w:val="20"/>
                <w:color w:val="auto"/>
              </w:rPr>
            </w:pPr>
            <w:r>
              <w:rPr>
                <w:rFonts w:ascii="Arial" w:cs="Arial" w:eastAsia="Arial" w:hAnsi="Arial"/>
                <w:sz w:val="14"/>
                <w:szCs w:val="14"/>
                <w:color w:val="auto"/>
              </w:rPr>
              <w:t>Name:</w:t>
            </w:r>
          </w:p>
        </w:tc>
        <w:tc>
          <w:tcPr>
            <w:tcW w:w="2560" w:type="dxa"/>
            <w:vAlign w:val="bottom"/>
          </w:tcPr>
          <w:p>
            <w:pPr>
              <w:spacing w:after="0" w:line="141" w:lineRule="exact"/>
              <w:rPr>
                <w:sz w:val="20"/>
                <w:szCs w:val="20"/>
                <w:color w:val="auto"/>
              </w:rPr>
            </w:pPr>
            <w:r>
              <w:rPr>
                <w:rFonts w:ascii="Arial" w:cs="Arial" w:eastAsia="Arial" w:hAnsi="Arial"/>
                <w:sz w:val="14"/>
                <w:szCs w:val="14"/>
                <w:color w:val="auto"/>
              </w:rPr>
              <w:t>Robert Anderson</w:t>
            </w:r>
          </w:p>
        </w:tc>
      </w:tr>
      <w:tr>
        <w:trPr>
          <w:trHeight w:val="180"/>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2560" w:type="dxa"/>
            <w:vAlign w:val="bottom"/>
          </w:tcPr>
          <w:p>
            <w:pPr>
              <w:spacing w:after="0"/>
              <w:rPr>
                <w:sz w:val="20"/>
                <w:szCs w:val="20"/>
                <w:color w:val="auto"/>
              </w:rPr>
            </w:pPr>
            <w:r>
              <w:rPr>
                <w:rFonts w:ascii="Arial" w:cs="Arial" w:eastAsia="Arial" w:hAnsi="Arial"/>
                <w:sz w:val="14"/>
                <w:szCs w:val="14"/>
                <w:color w:val="auto"/>
              </w:rPr>
              <w:t>Chief Financial Officer</w:t>
            </w:r>
          </w:p>
        </w:tc>
      </w:tr>
    </w:tbl>
    <w:p>
      <w:pPr>
        <w:spacing w:after="0" w:line="15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April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723" w:right="1440" w:bottom="1440" w:gutter="0" w:footer="0" w:header="0"/>
        </w:sectPr>
      </w:pPr>
    </w:p>
    <w:bookmarkStart w:id="3" w:name="page4"/>
    <w:bookmarkEnd w:id="3"/>
    <w:p>
      <w:pPr>
        <w:ind w:left="76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Exhibit 99.1</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EARNINGS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USCB Financial Holdings, Inc. Reports First Quarter 2022 Results</w:t>
      </w:r>
    </w:p>
    <w:p>
      <w:pPr>
        <w:spacing w:after="0" w:line="173" w:lineRule="exact"/>
        <w:rPr>
          <w:sz w:val="20"/>
          <w:szCs w:val="20"/>
          <w:color w:val="auto"/>
        </w:rPr>
      </w:pPr>
    </w:p>
    <w:p>
      <w:pPr>
        <w:jc w:val="both"/>
        <w:ind w:left="660" w:right="679"/>
        <w:spacing w:after="0" w:line="248" w:lineRule="auto"/>
        <w:rPr>
          <w:sz w:val="20"/>
          <w:szCs w:val="20"/>
          <w:color w:val="auto"/>
        </w:rPr>
      </w:pPr>
      <w:r>
        <w:rPr>
          <w:rFonts w:ascii="Arial" w:cs="Arial" w:eastAsia="Arial" w:hAnsi="Arial"/>
          <w:sz w:val="14"/>
          <w:szCs w:val="14"/>
          <w:b w:val="1"/>
          <w:bCs w:val="1"/>
          <w:color w:val="auto"/>
        </w:rPr>
        <w:t xml:space="preserve">MIAMI – April 28, 2022 – USCB Financial Holdings, Inc. (the “Company”) (NASDAQ: USCB) </w:t>
      </w:r>
      <w:r>
        <w:rPr>
          <w:rFonts w:ascii="Arial" w:cs="Arial" w:eastAsia="Arial" w:hAnsi="Arial"/>
          <w:sz w:val="14"/>
          <w:szCs w:val="14"/>
          <w:color w:val="auto"/>
        </w:rPr>
        <w:t>, the holding company for U.S.</w:t>
      </w:r>
      <w:r>
        <w:rPr>
          <w:rFonts w:ascii="Arial" w:cs="Arial" w:eastAsia="Arial" w:hAnsi="Arial"/>
          <w:sz w:val="14"/>
          <w:szCs w:val="14"/>
          <w:b w:val="1"/>
          <w:bCs w:val="1"/>
          <w:color w:val="auto"/>
        </w:rPr>
        <w:t xml:space="preserve"> </w:t>
      </w:r>
      <w:r>
        <w:rPr>
          <w:rFonts w:ascii="Arial" w:cs="Arial" w:eastAsia="Arial" w:hAnsi="Arial"/>
          <w:sz w:val="14"/>
          <w:szCs w:val="14"/>
          <w:color w:val="auto"/>
        </w:rPr>
        <w:t>Century Bank, reported net income of $4.9 million or $0.24 per diluted share for the three months ended March 31, 2022, compared with net income of $4.8 million or $0.78 and $0.16 per diluted share for Class A and Class B common stock, respectively, for the same period in 2021. On December 21, 2021, the Company agreed to exchange all the outstanding shares of Class B common stock for Class A common stock at a ratio of 5 to 1. As of December 31, 2021, the Company’s only class of securities issued and outstanding was Class A common stock.</w:t>
      </w:r>
    </w:p>
    <w:p>
      <w:pPr>
        <w:spacing w:after="0" w:line="147" w:lineRule="exact"/>
        <w:rPr>
          <w:sz w:val="20"/>
          <w:szCs w:val="20"/>
          <w:color w:val="auto"/>
        </w:rPr>
      </w:pPr>
    </w:p>
    <w:p>
      <w:pPr>
        <w:jc w:val="both"/>
        <w:ind w:left="660" w:right="699"/>
        <w:spacing w:after="0" w:line="290" w:lineRule="auto"/>
        <w:rPr>
          <w:sz w:val="20"/>
          <w:szCs w:val="20"/>
          <w:color w:val="auto"/>
        </w:rPr>
      </w:pPr>
      <w:r>
        <w:rPr>
          <w:rFonts w:ascii="Arial" w:cs="Arial" w:eastAsia="Arial" w:hAnsi="Arial"/>
          <w:sz w:val="13"/>
          <w:szCs w:val="13"/>
          <w:color w:val="auto"/>
        </w:rPr>
        <w:t>“Despite recent broad macroeconomic and geopolitical concerns, I am pleased with our first quarter financial results, which showed continued growth in both our loan and deposit portfolios. We continue to employ excess liquidity to purchase securities and maximize returns while maintaining pristine credit quality,” said Luis de la Aguilera, President and Chief Executive Officer (“CEO”).</w:t>
      </w:r>
    </w:p>
    <w:p>
      <w:pPr>
        <w:spacing w:after="0" w:line="109" w:lineRule="exact"/>
        <w:rPr>
          <w:sz w:val="20"/>
          <w:szCs w:val="20"/>
          <w:color w:val="auto"/>
        </w:rPr>
      </w:pPr>
    </w:p>
    <w:p>
      <w:pPr>
        <w:jc w:val="both"/>
        <w:ind w:left="660" w:right="679"/>
        <w:spacing w:after="0" w:line="253" w:lineRule="auto"/>
        <w:rPr>
          <w:sz w:val="20"/>
          <w:szCs w:val="20"/>
          <w:color w:val="auto"/>
        </w:rPr>
      </w:pPr>
      <w:r>
        <w:rPr>
          <w:rFonts w:ascii="Arial" w:cs="Arial" w:eastAsia="Arial" w:hAnsi="Arial"/>
          <w:sz w:val="14"/>
          <w:szCs w:val="14"/>
          <w:color w:val="auto"/>
        </w:rPr>
        <w:t>During the first quarter of 2022, the Board of Directors (the “Board”) approved a share repurchase program of up to 750,000 shares of Class A common stock. Under the repurchase program, the Company may purchase shares of Class A common stock on a discretionary basis from time to time through open market repurchases, privately negotiated transactions, or other means. As of March 31, 2022, the Company had not repurchased any shares.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During the quarter ended March 31, 2022, the Company appointed the following three new Board members:</w:t>
      </w:r>
    </w:p>
    <w:p>
      <w:pPr>
        <w:spacing w:after="0" w:line="170" w:lineRule="exact"/>
        <w:rPr>
          <w:sz w:val="20"/>
          <w:szCs w:val="20"/>
          <w:color w:val="auto"/>
        </w:rPr>
      </w:pPr>
    </w:p>
    <w:p>
      <w:pPr>
        <w:jc w:val="both"/>
        <w:ind w:left="1180" w:right="679" w:hanging="261"/>
        <w:spacing w:after="0" w:line="270" w:lineRule="auto"/>
        <w:tabs>
          <w:tab w:leader="none" w:pos="1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Ramon A. Rodriguez (appointed February 15, 2022) - A well-respected Certified Public Accountant in Florida with decades of experience, currently serves as Chairman and CEO of Cable Insurance, a property and casualty insurer dedicated to the commercial automotive market. Previously, he was CEO of Madsen Sapp Mena Rodriguez &amp; Co. from 1971 until he retired from public accounting in 2009. Mr. Rodriguez was a founder and board member of DME Corporation, a manufacturing company in the defense and aerospace sector, from 1975 to 2009. He also served on the board of Republic Services, Inc., a solid waste company listed on the NYSE, from 1999 to 2020 and is a past chairman of the board.</w:t>
      </w:r>
    </w:p>
    <w:p>
      <w:pPr>
        <w:spacing w:after="0" w:line="132" w:lineRule="exact"/>
        <w:rPr>
          <w:rFonts w:ascii="Arial" w:cs="Arial" w:eastAsia="Arial" w:hAnsi="Arial"/>
          <w:sz w:val="13"/>
          <w:szCs w:val="13"/>
          <w:color w:val="auto"/>
        </w:rPr>
      </w:pPr>
    </w:p>
    <w:p>
      <w:pPr>
        <w:jc w:val="both"/>
        <w:ind w:left="1180" w:right="679" w:hanging="261"/>
        <w:spacing w:after="0" w:line="301" w:lineRule="auto"/>
        <w:tabs>
          <w:tab w:leader="none" w:pos="1180" w:val="left"/>
        </w:tabs>
        <w:numPr>
          <w:ilvl w:val="0"/>
          <w:numId w:val="2"/>
        </w:numPr>
        <w:rPr>
          <w:rFonts w:ascii="Arial" w:cs="Arial" w:eastAsia="Arial" w:hAnsi="Arial"/>
          <w:sz w:val="12"/>
          <w:szCs w:val="12"/>
          <w:color w:val="auto"/>
        </w:rPr>
      </w:pPr>
      <w:r>
        <w:rPr>
          <w:rFonts w:ascii="Arial" w:cs="Arial" w:eastAsia="Arial" w:hAnsi="Arial"/>
          <w:sz w:val="12"/>
          <w:szCs w:val="12"/>
          <w:color w:val="auto"/>
        </w:rPr>
        <w:t>Robert E. Kafafian (appointed March 28, 2022) - A recognized banking industry leader in performance measurement and the founder, Chairman and CEO of The Kafafian Group, Inc. He has a distinguished 40-year career consulting and advising more than 500 financial institutions across the United States and has been instrumental in the design and development of a nationally recognized bank profitability software product. Mr. Kafafian is a frequent speaker and writer on a variety of banking subjects and is often quoted in banking periodicals. He teaches at numerous state, regional, and national banking schools.</w:t>
      </w:r>
    </w:p>
    <w:p>
      <w:pPr>
        <w:spacing w:after="0" w:line="116" w:lineRule="exact"/>
        <w:rPr>
          <w:rFonts w:ascii="Arial" w:cs="Arial" w:eastAsia="Arial" w:hAnsi="Arial"/>
          <w:sz w:val="12"/>
          <w:szCs w:val="12"/>
          <w:color w:val="auto"/>
        </w:rPr>
      </w:pPr>
    </w:p>
    <w:p>
      <w:pPr>
        <w:jc w:val="both"/>
        <w:ind w:left="1180" w:right="679" w:hanging="261"/>
        <w:spacing w:after="0" w:line="268" w:lineRule="auto"/>
        <w:tabs>
          <w:tab w:leader="none" w:pos="1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Maria C. Alonso (appointed March 31, 2022) - A highly regarded business executive with a proven track record spanning more than 25 years across banking, marketing, social responsibility, and community engagement, most recently served as the President and CEO of United Way Miami, one of the region’s largest philanthropies, from 2017 through 2021. Her involvement in community organizations has included: New World School of the Arts (past Executive Committee Chair), Leadership Florida, International Women’s Forum, Greater Miami Chamber of Commerce (past Board Chair), Miami-Dade Beacon Council (past One Community, One Goal Co-Chair), Camillus House, Miami Dade College Foundation, The Miami Foundation, and Teach for America. Ms. Alonso is a recognized community leader having received numerous awards celebrating her civic, business, and philanthropic contributions to the South Florida community.</w:t>
      </w:r>
    </w:p>
    <w:p>
      <w:pPr>
        <w:spacing w:after="0" w:line="137" w:lineRule="exact"/>
        <w:rPr>
          <w:sz w:val="20"/>
          <w:szCs w:val="20"/>
          <w:color w:val="auto"/>
        </w:rPr>
      </w:pPr>
    </w:p>
    <w:p>
      <w:pPr>
        <w:ind w:left="660" w:right="679"/>
        <w:spacing w:after="0" w:line="267" w:lineRule="auto"/>
        <w:rPr>
          <w:sz w:val="20"/>
          <w:szCs w:val="20"/>
          <w:color w:val="auto"/>
        </w:rPr>
      </w:pPr>
      <w:r>
        <w:rPr>
          <w:rFonts w:ascii="Arial" w:cs="Arial" w:eastAsia="Arial" w:hAnsi="Arial"/>
          <w:sz w:val="14"/>
          <w:szCs w:val="14"/>
          <w:color w:val="auto"/>
        </w:rPr>
        <w:t>Unless otherwise stated, all percentage comparisons in the bullet points below are calculated for the quarter ended March 31, 2022 versus the quarter ended March 31, 2021 and annualized where appropriate .</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Profitability</w:t>
      </w:r>
    </w:p>
    <w:p>
      <w:pPr>
        <w:spacing w:after="0" w:line="174" w:lineRule="exact"/>
        <w:rPr>
          <w:sz w:val="20"/>
          <w:szCs w:val="20"/>
          <w:color w:val="auto"/>
        </w:rPr>
      </w:pPr>
    </w:p>
    <w:p>
      <w:pPr>
        <w:ind w:left="920" w:right="699" w:hanging="257"/>
        <w:spacing w:after="0" w:line="267" w:lineRule="auto"/>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Annualized return on average assets for the quarter ended March 31, 2022 was 1.03% compared to 1.23% for the first quarter of 2021.</w:t>
      </w:r>
    </w:p>
    <w:p>
      <w:pPr>
        <w:spacing w:after="0" w:line="132" w:lineRule="exact"/>
        <w:rPr>
          <w:rFonts w:ascii="Arial" w:cs="Arial" w:eastAsia="Arial" w:hAnsi="Arial"/>
          <w:sz w:val="14"/>
          <w:szCs w:val="14"/>
          <w:color w:val="auto"/>
        </w:rPr>
      </w:pPr>
    </w:p>
    <w:p>
      <w:pPr>
        <w:ind w:left="920" w:right="699" w:hanging="257"/>
        <w:spacing w:after="0" w:line="267" w:lineRule="auto"/>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Annualized return on average stockholders’ equity for the quarter ended March 31, 2022 was 9.75% compared to 11.30% for the first quarter of 2021.</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723" w:right="1440" w:bottom="1440" w:gutter="0" w:footer="0" w:header="0"/>
        </w:sectPr>
      </w:pPr>
    </w:p>
    <w:bookmarkStart w:id="4" w:name="page5"/>
    <w:bookmarkEnd w:id="4"/>
    <w:p>
      <w:pPr>
        <w:ind w:left="920" w:hanging="257"/>
        <w:spacing w:after="0"/>
        <w:tabs>
          <w:tab w:leader="none" w:pos="920" w:val="left"/>
        </w:tabs>
        <w:numPr>
          <w:ilvl w:val="0"/>
          <w:numId w:val="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The efficiency ratio for the quarter ended March 31, 2022 increased to 58.88% compared to 58.64% for the first quarter of 2021.</w:t>
      </w:r>
    </w:p>
    <w:p>
      <w:pPr>
        <w:spacing w:after="0" w:line="181" w:lineRule="exact"/>
        <w:rPr>
          <w:rFonts w:ascii="Arial" w:cs="Arial" w:eastAsia="Arial" w:hAnsi="Arial"/>
          <w:sz w:val="13"/>
          <w:szCs w:val="13"/>
          <w:color w:val="auto"/>
        </w:rPr>
      </w:pPr>
    </w:p>
    <w:p>
      <w:pPr>
        <w:ind w:left="920" w:hanging="257"/>
        <w:spacing w:after="0"/>
        <w:tabs>
          <w:tab w:leader="none" w:pos="920" w:val="left"/>
        </w:tabs>
        <w:numPr>
          <w:ilvl w:val="0"/>
          <w:numId w:val="4"/>
        </w:numPr>
        <w:rPr>
          <w:rFonts w:ascii="Arial" w:cs="Arial" w:eastAsia="Arial" w:hAnsi="Arial"/>
          <w:sz w:val="13"/>
          <w:szCs w:val="13"/>
          <w:color w:val="auto"/>
        </w:rPr>
      </w:pPr>
      <w:r>
        <w:rPr>
          <w:rFonts w:ascii="Arial" w:cs="Arial" w:eastAsia="Arial" w:hAnsi="Arial"/>
          <w:sz w:val="13"/>
          <w:szCs w:val="13"/>
          <w:color w:val="auto"/>
        </w:rPr>
        <w:t>Net interest margin decreased to 3.22% for the quarter ended March 31, 2022 compared to 3.35% for the first quarter of 2021.</w:t>
      </w:r>
    </w:p>
    <w:p>
      <w:pPr>
        <w:spacing w:after="0" w:line="181" w:lineRule="exact"/>
        <w:rPr>
          <w:rFonts w:ascii="Arial" w:cs="Arial" w:eastAsia="Arial" w:hAnsi="Arial"/>
          <w:sz w:val="13"/>
          <w:szCs w:val="13"/>
          <w:color w:val="auto"/>
        </w:rPr>
      </w:pPr>
    </w:p>
    <w:p>
      <w:pPr>
        <w:ind w:left="920" w:right="699" w:hanging="257"/>
        <w:spacing w:after="0" w:line="306" w:lineRule="auto"/>
        <w:tabs>
          <w:tab w:leader="none" w:pos="920" w:val="left"/>
        </w:tabs>
        <w:numPr>
          <w:ilvl w:val="0"/>
          <w:numId w:val="4"/>
        </w:numPr>
        <w:rPr>
          <w:rFonts w:ascii="Arial" w:cs="Arial" w:eastAsia="Arial" w:hAnsi="Arial"/>
          <w:sz w:val="13"/>
          <w:szCs w:val="13"/>
          <w:color w:val="auto"/>
        </w:rPr>
      </w:pPr>
      <w:r>
        <w:rPr>
          <w:rFonts w:ascii="Arial" w:cs="Arial" w:eastAsia="Arial" w:hAnsi="Arial"/>
          <w:sz w:val="13"/>
          <w:szCs w:val="13"/>
          <w:color w:val="auto"/>
        </w:rPr>
        <w:t>Net interest income was $14.4 million for the quarter ended March 31, 2022, an increase of $1.9 million or 15.3% compared to the first quarter of 2021. The increase was primarily driven by higher loan and investment income along with lower deposit costs.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Balance Sheet</w:t>
      </w:r>
    </w:p>
    <w:p>
      <w:pPr>
        <w:spacing w:after="0" w:line="163" w:lineRule="exact"/>
        <w:rPr>
          <w:sz w:val="20"/>
          <w:szCs w:val="20"/>
          <w:color w:val="auto"/>
        </w:rPr>
      </w:pPr>
    </w:p>
    <w:p>
      <w:pPr>
        <w:ind w:left="920" w:hanging="257"/>
        <w:spacing w:after="0"/>
        <w:tabs>
          <w:tab w:leader="none" w:pos="9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Total assets were $2.0 billion at March 31, 2022, representing an increase of $333.9 million or 20.4 % from March 31, 2021.</w:t>
      </w:r>
    </w:p>
    <w:p>
      <w:pPr>
        <w:spacing w:after="0" w:line="181" w:lineRule="exact"/>
        <w:rPr>
          <w:sz w:val="20"/>
          <w:szCs w:val="20"/>
          <w:color w:val="auto"/>
        </w:rPr>
      </w:pPr>
    </w:p>
    <w:p>
      <w:pPr>
        <w:ind w:left="660"/>
        <w:spacing w:after="0"/>
        <w:tabs>
          <w:tab w:leader="none" w:pos="90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Total deposits were $1. 7 billion at March 31, 2022, representing an increase of $309.1 million or 22.0%, from March 31, 2021.</w:t>
      </w:r>
    </w:p>
    <w:p>
      <w:pPr>
        <w:spacing w:after="0" w:line="181" w:lineRule="exact"/>
        <w:rPr>
          <w:sz w:val="20"/>
          <w:szCs w:val="20"/>
          <w:color w:val="auto"/>
        </w:rPr>
      </w:pPr>
    </w:p>
    <w:p>
      <w:pPr>
        <w:ind w:left="920" w:right="679" w:hanging="257"/>
        <w:spacing w:after="0" w:line="267" w:lineRule="auto"/>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Total shareholders’ equity was $192.0 million at March 31, 2022, representing an increase of $21.6 million or 12.7% from March 31, 2021.</w:t>
      </w:r>
    </w:p>
    <w:p>
      <w:pPr>
        <w:spacing w:after="0" w:line="132" w:lineRule="exact"/>
        <w:rPr>
          <w:rFonts w:ascii="Arial" w:cs="Arial" w:eastAsia="Arial" w:hAnsi="Arial"/>
          <w:sz w:val="14"/>
          <w:szCs w:val="14"/>
          <w:color w:val="auto"/>
        </w:rPr>
      </w:pPr>
    </w:p>
    <w:p>
      <w:pPr>
        <w:ind w:left="920" w:hanging="257"/>
        <w:spacing w:after="0"/>
        <w:tabs>
          <w:tab w:leader="none" w:pos="9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Total loans were $1.3 billion at March 31, 2022, representing an increase of $154.4 million or 14.0% from March 31, 2021.</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Quality</w:t>
      </w:r>
    </w:p>
    <w:p>
      <w:pPr>
        <w:spacing w:after="0" w:line="174" w:lineRule="exact"/>
        <w:rPr>
          <w:sz w:val="20"/>
          <w:szCs w:val="20"/>
          <w:color w:val="auto"/>
        </w:rPr>
      </w:pPr>
    </w:p>
    <w:p>
      <w:pPr>
        <w:ind w:left="920" w:hanging="257"/>
        <w:spacing w:after="0"/>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allowance for credit losses was $15.1 million and $15.0 million as of March 31, 2022 and 2021, respectively.</w:t>
      </w:r>
    </w:p>
    <w:p>
      <w:pPr>
        <w:spacing w:after="0" w:line="169" w:lineRule="exact"/>
        <w:rPr>
          <w:rFonts w:ascii="Arial" w:cs="Arial" w:eastAsia="Arial" w:hAnsi="Arial"/>
          <w:sz w:val="14"/>
          <w:szCs w:val="14"/>
          <w:color w:val="auto"/>
        </w:rPr>
      </w:pPr>
    </w:p>
    <w:p>
      <w:pPr>
        <w:jc w:val="both"/>
        <w:ind w:left="920" w:right="679" w:hanging="257"/>
        <w:spacing w:after="0" w:line="252" w:lineRule="auto"/>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allowance for credit losses represented 1.20% of total loans at March 31, 2022 compared to 1.36% at March 31, 2021. The decrease in coverage was primarily driven by reduced uncertainty around the economic impact of the COVID-19 pandemic on our loan portfolio.</w:t>
      </w:r>
    </w:p>
    <w:p>
      <w:pPr>
        <w:spacing w:after="0" w:line="143" w:lineRule="exact"/>
        <w:rPr>
          <w:rFonts w:ascii="Arial" w:cs="Arial" w:eastAsia="Arial" w:hAnsi="Arial"/>
          <w:sz w:val="14"/>
          <w:szCs w:val="14"/>
          <w:color w:val="auto"/>
        </w:rPr>
      </w:pPr>
    </w:p>
    <w:p>
      <w:pPr>
        <w:ind w:left="920" w:hanging="257"/>
        <w:spacing w:after="0"/>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Non-performing loans to total loans was 0.00% at March 31, 2022 compared to 0.06% at March 31, 2021.</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Non-interest Income and Non-interest Expense</w:t>
      </w:r>
    </w:p>
    <w:p>
      <w:pPr>
        <w:spacing w:after="0" w:line="163" w:lineRule="exact"/>
        <w:rPr>
          <w:sz w:val="20"/>
          <w:szCs w:val="20"/>
          <w:color w:val="auto"/>
        </w:rPr>
      </w:pPr>
    </w:p>
    <w:p>
      <w:pPr>
        <w:ind w:left="920" w:right="679" w:hanging="257"/>
        <w:spacing w:after="0" w:line="283" w:lineRule="auto"/>
        <w:tabs>
          <w:tab w:leader="none" w:pos="92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Non-interest income totaled $1.9 million for the three months ended March 31, 2022, a decrease of $376 thousand or 16.2% compared to the same period in 2021. The decrease was primarily driven by fewer loan sales resulting in gains.</w:t>
      </w:r>
    </w:p>
    <w:p>
      <w:pPr>
        <w:spacing w:after="0" w:line="111" w:lineRule="exact"/>
        <w:rPr>
          <w:rFonts w:ascii="Arial" w:cs="Arial" w:eastAsia="Arial" w:hAnsi="Arial"/>
          <w:sz w:val="14"/>
          <w:szCs w:val="14"/>
          <w:color w:val="auto"/>
        </w:rPr>
      </w:pPr>
    </w:p>
    <w:p>
      <w:pPr>
        <w:jc w:val="both"/>
        <w:ind w:left="920" w:right="679" w:hanging="257"/>
        <w:spacing w:after="0" w:line="260" w:lineRule="auto"/>
        <w:tabs>
          <w:tab w:leader="none" w:pos="92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Non-interest expense was $9.6 million for the three months ended March 31, 2022 compared to $8.7 million for the same period in 2021. The increase was primarily driven by higher salaries and employee benefits due to new hires, salary compensation, and seasonal payroll taxes.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Capital</w:t>
      </w:r>
    </w:p>
    <w:p>
      <w:pPr>
        <w:spacing w:after="0" w:line="163" w:lineRule="exact"/>
        <w:rPr>
          <w:sz w:val="20"/>
          <w:szCs w:val="20"/>
          <w:color w:val="auto"/>
        </w:rPr>
      </w:pPr>
    </w:p>
    <w:p>
      <w:pPr>
        <w:jc w:val="both"/>
        <w:ind w:left="920" w:right="699" w:hanging="257"/>
        <w:spacing w:after="0" w:line="260" w:lineRule="auto"/>
        <w:tabs>
          <w:tab w:leader="none" w:pos="9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and its wholly owned subsidiary, U.S. Century Bank (the “Bank”), exceeded all regulatory capital requirements and remained significantly above “well-capitalized” guidelines. As of March 31, 2022, total risk-based capital ratio for the Company and the Bank was 14.49% and 14.41%, respectively.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Conference Call and Webcast</w:t>
      </w:r>
    </w:p>
    <w:p>
      <w:pPr>
        <w:spacing w:after="0" w:line="163" w:lineRule="exact"/>
        <w:rPr>
          <w:sz w:val="20"/>
          <w:szCs w:val="20"/>
          <w:color w:val="auto"/>
        </w:rPr>
      </w:pPr>
    </w:p>
    <w:p>
      <w:pPr>
        <w:jc w:val="both"/>
        <w:ind w:left="660" w:right="699"/>
        <w:spacing w:after="0" w:line="260" w:lineRule="auto"/>
        <w:rPr>
          <w:sz w:val="20"/>
          <w:szCs w:val="20"/>
          <w:color w:val="auto"/>
        </w:rPr>
      </w:pPr>
      <w:r>
        <w:rPr>
          <w:rFonts w:ascii="Arial" w:cs="Arial" w:eastAsia="Arial" w:hAnsi="Arial"/>
          <w:sz w:val="14"/>
          <w:szCs w:val="14"/>
          <w:color w:val="auto"/>
        </w:rPr>
        <w:t>USCB Financial Holdings, Inc. (the “Company”), will host a conference call on Friday, April 29, 2022, at 9:00 a.m. Eastern Time to discuss the Company’s unaudited financial results for the quarter ended March 31, 2022. To access the conference call, dial (844) 221-2148 (domestically) or (929) 517-0937 (internationally) and use conference code 6069233.</w:t>
      </w:r>
    </w:p>
    <w:p>
      <w:pPr>
        <w:spacing w:after="0" w:line="138" w:lineRule="exact"/>
        <w:rPr>
          <w:sz w:val="20"/>
          <w:szCs w:val="20"/>
          <w:color w:val="auto"/>
        </w:rPr>
      </w:pPr>
    </w:p>
    <w:p>
      <w:pPr>
        <w:jc w:val="both"/>
        <w:ind w:left="660" w:right="679"/>
        <w:spacing w:after="0" w:line="306" w:lineRule="auto"/>
        <w:rPr>
          <w:sz w:val="20"/>
          <w:szCs w:val="20"/>
          <w:color w:val="auto"/>
        </w:rPr>
      </w:pPr>
      <w:r>
        <w:rPr>
          <w:rFonts w:ascii="Arial" w:cs="Arial" w:eastAsia="Arial" w:hAnsi="Arial"/>
          <w:sz w:val="13"/>
          <w:szCs w:val="13"/>
          <w:color w:val="auto"/>
        </w:rPr>
        <w:t xml:space="preserve">Additionally, interested parties can listen to a live webcast of the call in the “Investor Relations” section of the Company’s website at </w:t>
      </w:r>
      <w:r>
        <w:rPr>
          <w:rFonts w:ascii="Arial" w:cs="Arial" w:eastAsia="Arial" w:hAnsi="Arial"/>
          <w:sz w:val="13"/>
          <w:szCs w:val="13"/>
          <w:u w:val="single" w:color="auto"/>
          <w:color w:val="0563C1"/>
        </w:rPr>
        <w:t>www.uscentury.com</w:t>
      </w:r>
      <w:r>
        <w:rPr>
          <w:rFonts w:ascii="Arial" w:cs="Arial" w:eastAsia="Arial" w:hAnsi="Arial"/>
          <w:sz w:val="13"/>
          <w:szCs w:val="13"/>
          <w:color w:val="auto"/>
        </w:rPr>
        <w:t xml:space="preserve"> </w:t>
      </w:r>
      <w:r>
        <w:rPr>
          <w:rFonts w:ascii="Arial" w:cs="Arial" w:eastAsia="Arial" w:hAnsi="Arial"/>
          <w:sz w:val="13"/>
          <w:szCs w:val="13"/>
          <w:color w:val="0563C1"/>
        </w:rPr>
        <w:t>.</w:t>
      </w:r>
      <w:r>
        <w:rPr>
          <w:rFonts w:ascii="Arial" w:cs="Arial" w:eastAsia="Arial" w:hAnsi="Arial"/>
          <w:sz w:val="13"/>
          <w:szCs w:val="13"/>
          <w:color w:val="auto"/>
        </w:rPr>
        <w:t xml:space="preserve"> An archived version of the webcast will be available in the same location shortly after the live call has ended.</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About USCB Financial Holdings, Inc.</w:t>
      </w:r>
    </w:p>
    <w:p>
      <w:pPr>
        <w:spacing w:after="0" w:line="163" w:lineRule="exact"/>
        <w:rPr>
          <w:sz w:val="20"/>
          <w:szCs w:val="20"/>
          <w:color w:val="auto"/>
        </w:rPr>
      </w:pPr>
    </w:p>
    <w:p>
      <w:pPr>
        <w:jc w:val="both"/>
        <w:ind w:left="660" w:right="679"/>
        <w:spacing w:after="0" w:line="273" w:lineRule="auto"/>
        <w:rPr>
          <w:sz w:val="20"/>
          <w:szCs w:val="20"/>
          <w:color w:val="auto"/>
        </w:rPr>
      </w:pPr>
      <w:r>
        <w:rPr>
          <w:rFonts w:ascii="Arial" w:cs="Arial" w:eastAsia="Arial" w:hAnsi="Arial"/>
          <w:sz w:val="13"/>
          <w:szCs w:val="13"/>
          <w:color w:val="auto"/>
        </w:rPr>
        <w:t xml:space="preserve">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banking center near you, please call (305) 715-5200 or visit </w:t>
      </w:r>
      <w:r>
        <w:rPr>
          <w:rFonts w:ascii="Arial" w:cs="Arial" w:eastAsia="Arial" w:hAnsi="Arial"/>
          <w:sz w:val="13"/>
          <w:szCs w:val="13"/>
          <w:u w:val="single" w:color="auto"/>
          <w:color w:val="0563C1"/>
        </w:rPr>
        <w:t>www.uscentury.com</w:t>
      </w:r>
      <w:r>
        <w:rPr>
          <w:rFonts w:ascii="Arial" w:cs="Arial" w:eastAsia="Arial" w:hAnsi="Arial"/>
          <w:sz w:val="13"/>
          <w:szCs w:val="13"/>
          <w:color w:val="auto"/>
        </w:rPr>
        <w:t xml:space="preserve"> .</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727" w:right="1440" w:bottom="1440" w:gutter="0" w:footer="0" w:header="0"/>
        </w:sectPr>
      </w:pPr>
    </w:p>
    <w:bookmarkStart w:id="5" w:name="page6"/>
    <w:bookmarkEnd w:id="5"/>
    <w:p>
      <w:pPr>
        <w:ind w:left="6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Forward-Looking Statements</w:t>
      </w:r>
    </w:p>
    <w:p>
      <w:pPr>
        <w:spacing w:after="0" w:line="174" w:lineRule="exact"/>
        <w:rPr>
          <w:sz w:val="20"/>
          <w:szCs w:val="20"/>
          <w:color w:val="auto"/>
        </w:rPr>
      </w:pPr>
    </w:p>
    <w:p>
      <w:pPr>
        <w:jc w:val="both"/>
        <w:ind w:left="660" w:right="679"/>
        <w:spacing w:after="0" w:line="296" w:lineRule="auto"/>
        <w:rPr>
          <w:sz w:val="20"/>
          <w:szCs w:val="20"/>
          <w:color w:val="auto"/>
        </w:rPr>
      </w:pPr>
      <w:r>
        <w:rPr>
          <w:rFonts w:ascii="Arial" w:cs="Arial" w:eastAsia="Arial" w:hAnsi="Arial"/>
          <w:sz w:val="12"/>
          <w:szCs w:val="12"/>
          <w:color w:val="auto"/>
        </w:rPr>
        <w:t>This earnings release may contain statements that are not historical in nature are intended to be, and are hereby identified as, forward-looking statements for purposes of the safe harbor provided by Section 21E of the Securities Exchange Act of 1934, as amended. The words “may,” “will,” “anticipate,” “should,” “would,” “believe,” “contemplate,” “expect,” “aim,” “plan,” “estimate,” “continue,” and “intend,”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21" w:lineRule="exact"/>
        <w:rPr>
          <w:sz w:val="20"/>
          <w:szCs w:val="20"/>
          <w:color w:val="auto"/>
        </w:rPr>
      </w:pPr>
    </w:p>
    <w:p>
      <w:pPr>
        <w:jc w:val="both"/>
        <w:ind w:left="660" w:right="679"/>
        <w:spacing w:after="0" w:line="267"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33" w:lineRule="exact"/>
        <w:rPr>
          <w:sz w:val="20"/>
          <w:szCs w:val="20"/>
          <w:color w:val="auto"/>
        </w:rPr>
      </w:pPr>
    </w:p>
    <w:p>
      <w:pPr>
        <w:ind w:left="920" w:hanging="257"/>
        <w:spacing w:after="0"/>
        <w:tabs>
          <w:tab w:leader="none" w:pos="9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strength of the United States economy in general and the strength of the local economies in which we conduct operations;</w:t>
      </w:r>
    </w:p>
    <w:p>
      <w:pPr>
        <w:spacing w:after="0" w:line="22" w:lineRule="exact"/>
        <w:rPr>
          <w:rFonts w:ascii="Arial" w:cs="Arial" w:eastAsia="Arial" w:hAnsi="Arial"/>
          <w:sz w:val="13"/>
          <w:szCs w:val="13"/>
          <w:color w:val="auto"/>
        </w:rPr>
      </w:pPr>
    </w:p>
    <w:p>
      <w:pPr>
        <w:ind w:left="920" w:right="699" w:hanging="257"/>
        <w:spacing w:after="0" w:line="244" w:lineRule="auto"/>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COVID-19 pandemic and its impact on us, our employees, customers and third-party service providers, and the ultimate extent of the impacts of the pandemic and related government stimulus programs;</w:t>
      </w:r>
    </w:p>
    <w:p>
      <w:pPr>
        <w:ind w:left="920" w:hanging="257"/>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ability to successfully manage interest rate risk, credit risk, liquidity risk, and other risks inherent to our industry;</w:t>
      </w:r>
    </w:p>
    <w:p>
      <w:pPr>
        <w:spacing w:after="0" w:line="1" w:lineRule="exact"/>
        <w:rPr>
          <w:rFonts w:ascii="Arial" w:cs="Arial" w:eastAsia="Arial" w:hAnsi="Arial"/>
          <w:sz w:val="14"/>
          <w:szCs w:val="14"/>
          <w:color w:val="auto"/>
        </w:rPr>
      </w:pPr>
    </w:p>
    <w:p>
      <w:pPr>
        <w:ind w:left="920" w:right="679" w:hanging="257"/>
        <w:spacing w:after="0" w:line="244" w:lineRule="auto"/>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accuracy of our financial statement estimates and assumptions, including the estimates used for our credit loss reserve and deferred tax asset valuation allowance;</w:t>
      </w:r>
    </w:p>
    <w:p>
      <w:pPr>
        <w:ind w:left="920" w:hanging="257"/>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efficiency and effectiveness of our internal control environment;</w:t>
      </w:r>
    </w:p>
    <w:p>
      <w:pPr>
        <w:spacing w:after="0" w:line="1" w:lineRule="exact"/>
        <w:rPr>
          <w:rFonts w:ascii="Arial" w:cs="Arial" w:eastAsia="Arial" w:hAnsi="Arial"/>
          <w:sz w:val="14"/>
          <w:szCs w:val="14"/>
          <w:color w:val="auto"/>
        </w:rPr>
      </w:pPr>
    </w:p>
    <w:p>
      <w:pPr>
        <w:ind w:left="920" w:right="679" w:hanging="257"/>
        <w:spacing w:after="0" w:line="244" w:lineRule="auto"/>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ability to comply with the extensive laws and regulations to which we are subject, including the laws for each jurisdiction where we operate;</w:t>
      </w:r>
    </w:p>
    <w:p>
      <w:pPr>
        <w:ind w:left="920" w:right="699" w:hanging="257"/>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legislative or regulatory changes and changes in accounting principles, policies, practices or guidelines, including the effects of the forthcoming implementation of the Current Expected Credit Losses (“CECL”) standard;</w:t>
      </w:r>
    </w:p>
    <w:p>
      <w:pPr>
        <w:ind w:left="920" w:right="679" w:hanging="257"/>
        <w:spacing w:after="0" w:line="246" w:lineRule="auto"/>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effects of our lack of a diversified loan portfolio and concentration in the South Florida market, including the risks of geographic, depositor, and industry concentrations, including our concentration in loans secured by real estate;</w:t>
      </w:r>
    </w:p>
    <w:p>
      <w:pPr>
        <w:ind w:left="920" w:hanging="257"/>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concentration of ownership of our Class A common stock;</w:t>
      </w:r>
    </w:p>
    <w:p>
      <w:pPr>
        <w:ind w:left="920" w:hanging="257"/>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fluctuations in the price of our Class A common stock;</w:t>
      </w:r>
    </w:p>
    <w:p>
      <w:pPr>
        <w:spacing w:after="0" w:line="7" w:lineRule="exact"/>
        <w:rPr>
          <w:rFonts w:ascii="Arial" w:cs="Arial" w:eastAsia="Arial" w:hAnsi="Arial"/>
          <w:sz w:val="14"/>
          <w:szCs w:val="14"/>
          <w:color w:val="auto"/>
        </w:rPr>
      </w:pPr>
    </w:p>
    <w:p>
      <w:pPr>
        <w:ind w:left="920" w:right="699" w:hanging="257"/>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ability to fund or access the capital markets at attractive rates and terms and manage our growth, both organic growth as well as growth through other means, such as future acquisitions;</w:t>
      </w:r>
    </w:p>
    <w:p>
      <w:pPr>
        <w:ind w:left="920" w:hanging="257"/>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inflation, interest rate, unemployment rate, market, and monetary fluctuations;</w:t>
      </w:r>
    </w:p>
    <w:p>
      <w:pPr>
        <w:spacing w:after="0" w:line="7" w:lineRule="exact"/>
        <w:rPr>
          <w:rFonts w:ascii="Arial" w:cs="Arial" w:eastAsia="Arial" w:hAnsi="Arial"/>
          <w:sz w:val="14"/>
          <w:szCs w:val="14"/>
          <w:color w:val="auto"/>
        </w:rPr>
      </w:pPr>
    </w:p>
    <w:p>
      <w:pPr>
        <w:ind w:left="920" w:hanging="257"/>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increased competition and its effect on the pricing of our products and services as well as our margins;</w:t>
      </w:r>
    </w:p>
    <w:p>
      <w:pPr>
        <w:spacing w:after="0" w:line="1" w:lineRule="exact"/>
        <w:rPr>
          <w:rFonts w:ascii="Arial" w:cs="Arial" w:eastAsia="Arial" w:hAnsi="Arial"/>
          <w:sz w:val="14"/>
          <w:szCs w:val="14"/>
          <w:color w:val="auto"/>
        </w:rPr>
      </w:pPr>
    </w:p>
    <w:p>
      <w:pPr>
        <w:ind w:left="920" w:right="679" w:hanging="257"/>
        <w:spacing w:after="0" w:line="244" w:lineRule="auto"/>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effectiveness of our risk management strategies, including operational risks, including, but not limited to, client, employee, or third-party fraud and security breaches; and</w:t>
      </w:r>
    </w:p>
    <w:p>
      <w:pPr>
        <w:ind w:left="920" w:hanging="257"/>
        <w:spacing w:after="0"/>
        <w:tabs>
          <w:tab w:leader="none" w:pos="9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other risks described in this earnings release and other filings we make with the Securities and Exchange Commission (“SEC”).</w:t>
      </w:r>
    </w:p>
    <w:p>
      <w:pPr>
        <w:spacing w:after="0" w:line="172" w:lineRule="exact"/>
        <w:rPr>
          <w:sz w:val="20"/>
          <w:szCs w:val="20"/>
          <w:color w:val="auto"/>
        </w:rPr>
      </w:pPr>
    </w:p>
    <w:p>
      <w:pPr>
        <w:jc w:val="both"/>
        <w:ind w:left="660" w:right="679"/>
        <w:spacing w:after="0" w:line="268" w:lineRule="auto"/>
        <w:rPr>
          <w:sz w:val="20"/>
          <w:szCs w:val="20"/>
          <w:color w:val="auto"/>
        </w:rPr>
      </w:pPr>
      <w:r>
        <w:rPr>
          <w:rFonts w:ascii="Arial" w:cs="Arial" w:eastAsia="Arial" w:hAnsi="Arial"/>
          <w:sz w:val="13"/>
          <w:szCs w:val="13"/>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earnings release are made only as of the date hereof, and we undertake no obligation to update or revise any forward-looking statement to reflect events or circumstances after the date on which the statement is made or to reflect the occurrence of unanticipated events, unless required to do so under the federal securities laws. You should also review the risk factors described in the reports the Company filed or will file with the SEC and, for periods prior to the completion of the bank holding company reorganization in December 2021, the Bank filed with the FDIC.</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Non-GAAP Financial Measures</w:t>
      </w:r>
    </w:p>
    <w:p>
      <w:pPr>
        <w:spacing w:after="0" w:line="174" w:lineRule="exact"/>
        <w:rPr>
          <w:sz w:val="20"/>
          <w:szCs w:val="20"/>
          <w:color w:val="auto"/>
        </w:rPr>
      </w:pPr>
    </w:p>
    <w:p>
      <w:pPr>
        <w:jc w:val="both"/>
        <w:ind w:left="660" w:right="679"/>
        <w:spacing w:after="0" w:line="267" w:lineRule="auto"/>
        <w:rPr>
          <w:sz w:val="20"/>
          <w:szCs w:val="20"/>
          <w:color w:val="auto"/>
        </w:rPr>
      </w:pPr>
      <w:r>
        <w:rPr>
          <w:rFonts w:ascii="Arial" w:cs="Arial" w:eastAsia="Arial" w:hAnsi="Arial"/>
          <w:sz w:val="13"/>
          <w:szCs w:val="13"/>
          <w:color w:val="auto"/>
        </w:rPr>
        <w:t>This earnings release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‘Non-GAAP Reconciliation Tables’ included in the exhibits to this earnings release.</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You should assume that all numbers are unaudited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723" w:right="1440" w:bottom="1440" w:gutter="0" w:footer="0" w:header="0"/>
        </w:sectPr>
      </w:pPr>
    </w:p>
    <w:bookmarkStart w:id="6" w:name="page7"/>
    <w:bookmarkEnd w:id="6"/>
    <w:p>
      <w:pPr>
        <w:ind w:left="6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Contacts: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Investor Relations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0563C1"/>
        </w:rPr>
        <w:t>InvestorRelations@uscentury.com</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Media Relations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Martha Guerra-Kattou</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0563C1"/>
        </w:rPr>
        <w:t>MGuerra@uscentury.com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723"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INCOME (UNAUDITED)</w:t>
      </w:r>
    </w:p>
    <w:p>
      <w:pPr>
        <w:jc w:val="center"/>
        <w:ind w:right="19"/>
        <w:spacing w:after="0"/>
        <w:rPr>
          <w:sz w:val="20"/>
          <w:szCs w:val="20"/>
          <w:color w:val="auto"/>
        </w:rPr>
      </w:pPr>
      <w:r>
        <w:rPr>
          <w:rFonts w:ascii="Arial" w:cs="Arial" w:eastAsia="Arial" w:hAnsi="Arial"/>
          <w:sz w:val="14"/>
          <w:szCs w:val="14"/>
          <w:color w:val="auto"/>
        </w:rPr>
        <w:t>(Dollars in thousands, except per share data)</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135"/>
        </w:trPr>
        <w:tc>
          <w:tcPr>
            <w:tcW w:w="5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80" w:type="dxa"/>
            <w:vAlign w:val="bottom"/>
            <w:gridSpan w:val="5"/>
          </w:tcPr>
          <w:p>
            <w:pPr>
              <w:jc w:val="right"/>
              <w:ind w:right="260"/>
              <w:spacing w:after="0"/>
              <w:rPr>
                <w:sz w:val="20"/>
                <w:szCs w:val="20"/>
                <w:color w:val="auto"/>
              </w:rPr>
            </w:pPr>
            <w:r>
              <w:rPr>
                <w:rFonts w:ascii="Arial" w:cs="Arial" w:eastAsia="Arial" w:hAnsi="Arial"/>
                <w:sz w:val="11"/>
                <w:szCs w:val="11"/>
                <w:b w:val="1"/>
                <w:bCs w:val="1"/>
                <w:color w:val="auto"/>
                <w:w w:val="98"/>
              </w:rPr>
              <w:t>Three Months Ended March 31,</w:t>
            </w:r>
          </w:p>
        </w:tc>
      </w:tr>
      <w:tr>
        <w:trPr>
          <w:trHeight w:val="131"/>
        </w:trPr>
        <w:tc>
          <w:tcPr>
            <w:tcW w:w="562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1"/>
                <w:szCs w:val="11"/>
                <w:color w:val="auto"/>
              </w:rPr>
            </w:pPr>
          </w:p>
        </w:tc>
      </w:tr>
      <w:tr>
        <w:trPr>
          <w:trHeight w:val="149"/>
        </w:trPr>
        <w:tc>
          <w:tcPr>
            <w:tcW w:w="56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Interest income:</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5620" w:type="dxa"/>
            <w:vAlign w:val="bottom"/>
          </w:tcPr>
          <w:p>
            <w:pPr>
              <w:ind w:left="100"/>
              <w:spacing w:after="0"/>
              <w:rPr>
                <w:sz w:val="20"/>
                <w:szCs w:val="20"/>
                <w:color w:val="auto"/>
              </w:rPr>
            </w:pPr>
            <w:r>
              <w:rPr>
                <w:rFonts w:ascii="Arial" w:cs="Arial" w:eastAsia="Arial" w:hAnsi="Arial"/>
                <w:sz w:val="11"/>
                <w:szCs w:val="11"/>
                <w:color w:val="auto"/>
              </w:rPr>
              <w:t>Loans, including fees</w:t>
            </w:r>
          </w:p>
        </w:tc>
        <w:tc>
          <w:tcPr>
            <w:tcW w:w="2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12,982</w:t>
            </w:r>
          </w:p>
        </w:tc>
        <w:tc>
          <w:tcPr>
            <w:tcW w:w="3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11,868</w:t>
            </w:r>
          </w:p>
        </w:tc>
        <w:tc>
          <w:tcPr>
            <w:tcW w:w="20" w:type="dxa"/>
            <w:vAlign w:val="bottom"/>
          </w:tcPr>
          <w:p>
            <w:pPr>
              <w:spacing w:after="0"/>
              <w:rPr>
                <w:sz w:val="13"/>
                <w:szCs w:val="13"/>
                <w:color w:val="auto"/>
              </w:rPr>
            </w:pPr>
          </w:p>
        </w:tc>
      </w:tr>
      <w:tr>
        <w:trPr>
          <w:trHeight w:val="160"/>
        </w:trPr>
        <w:tc>
          <w:tcPr>
            <w:tcW w:w="5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 securities</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1,844</w:t>
            </w:r>
          </w:p>
        </w:tc>
        <w:tc>
          <w:tcPr>
            <w:tcW w:w="20" w:type="dxa"/>
            <w:vAlign w:val="bottom"/>
            <w:shd w:val="clear" w:color="auto" w:fill="CCEEFF"/>
          </w:tcPr>
          <w:p>
            <w:pPr>
              <w:spacing w:after="0"/>
              <w:rPr>
                <w:sz w:val="13"/>
                <w:szCs w:val="13"/>
                <w:color w:val="auto"/>
              </w:rPr>
            </w:pPr>
          </w:p>
        </w:tc>
      </w:tr>
      <w:tr>
        <w:trPr>
          <w:trHeight w:val="169"/>
        </w:trPr>
        <w:tc>
          <w:tcPr>
            <w:tcW w:w="5620" w:type="dxa"/>
            <w:vAlign w:val="bottom"/>
          </w:tcPr>
          <w:p>
            <w:pPr>
              <w:ind w:left="100"/>
              <w:spacing w:after="0"/>
              <w:rPr>
                <w:sz w:val="20"/>
                <w:szCs w:val="20"/>
                <w:color w:val="auto"/>
              </w:rPr>
            </w:pPr>
            <w:r>
              <w:rPr>
                <w:rFonts w:ascii="Arial" w:cs="Arial" w:eastAsia="Arial" w:hAnsi="Arial"/>
                <w:sz w:val="11"/>
                <w:szCs w:val="11"/>
                <w:color w:val="auto"/>
              </w:rPr>
              <w:t>Interest-bearing deposits in financial institutions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w:t>
            </w:r>
          </w:p>
        </w:tc>
        <w:tc>
          <w:tcPr>
            <w:tcW w:w="20" w:type="dxa"/>
            <w:vAlign w:val="bottom"/>
          </w:tcPr>
          <w:p>
            <w:pPr>
              <w:spacing w:after="0"/>
              <w:rPr>
                <w:sz w:val="14"/>
                <w:szCs w:val="14"/>
                <w:color w:val="auto"/>
              </w:rPr>
            </w:pPr>
          </w:p>
        </w:tc>
      </w:tr>
      <w:tr>
        <w:trPr>
          <w:trHeight w:val="131"/>
        </w:trPr>
        <w:tc>
          <w:tcPr>
            <w:tcW w:w="56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interest income</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15,342</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13,728</w:t>
            </w:r>
          </w:p>
        </w:tc>
        <w:tc>
          <w:tcPr>
            <w:tcW w:w="20" w:type="dxa"/>
            <w:vAlign w:val="bottom"/>
            <w:shd w:val="clear" w:color="auto" w:fill="CCEEFF"/>
          </w:tcPr>
          <w:p>
            <w:pPr>
              <w:spacing w:after="0"/>
              <w:rPr>
                <w:sz w:val="11"/>
                <w:szCs w:val="11"/>
                <w:color w:val="auto"/>
              </w:rPr>
            </w:pPr>
          </w:p>
        </w:tc>
      </w:tr>
      <w:tr>
        <w:trPr>
          <w:trHeight w:val="160"/>
        </w:trPr>
        <w:tc>
          <w:tcPr>
            <w:tcW w:w="5620" w:type="dxa"/>
            <w:vAlign w:val="bottom"/>
          </w:tcPr>
          <w:p>
            <w:pPr>
              <w:spacing w:after="0"/>
              <w:rPr>
                <w:sz w:val="20"/>
                <w:szCs w:val="20"/>
                <w:color w:val="auto"/>
              </w:rPr>
            </w:pPr>
            <w:r>
              <w:rPr>
                <w:rFonts w:ascii="Arial" w:cs="Arial" w:eastAsia="Arial" w:hAnsi="Arial"/>
                <w:sz w:val="11"/>
                <w:szCs w:val="11"/>
                <w:b w:val="1"/>
                <w:bCs w:val="1"/>
                <w:color w:val="auto"/>
              </w:rPr>
              <w:t>Interest expense: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deposits</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20" w:type="dxa"/>
            <w:vAlign w:val="bottom"/>
            <w:shd w:val="clear" w:color="auto" w:fill="CCEEFF"/>
          </w:tcPr>
          <w:p>
            <w:pPr>
              <w:spacing w:after="0"/>
              <w:rPr>
                <w:sz w:val="13"/>
                <w:szCs w:val="13"/>
                <w:color w:val="auto"/>
              </w:rPr>
            </w:pPr>
          </w:p>
        </w:tc>
      </w:tr>
      <w:tr>
        <w:trPr>
          <w:trHeight w:val="160"/>
        </w:trPr>
        <w:tc>
          <w:tcPr>
            <w:tcW w:w="5620" w:type="dxa"/>
            <w:vAlign w:val="bottom"/>
          </w:tcPr>
          <w:p>
            <w:pPr>
              <w:ind w:left="100"/>
              <w:spacing w:after="0"/>
              <w:rPr>
                <w:sz w:val="20"/>
                <w:szCs w:val="20"/>
                <w:color w:val="auto"/>
              </w:rPr>
            </w:pPr>
            <w:r>
              <w:rPr>
                <w:rFonts w:ascii="Arial" w:cs="Arial" w:eastAsia="Arial" w:hAnsi="Arial"/>
                <w:sz w:val="11"/>
                <w:szCs w:val="11"/>
                <w:color w:val="auto"/>
              </w:rPr>
              <w:t>Savings and money markets accounts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551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548</w:t>
            </w:r>
          </w:p>
        </w:tc>
        <w:tc>
          <w:tcPr>
            <w:tcW w:w="20" w:type="dxa"/>
            <w:vAlign w:val="bottom"/>
          </w:tcPr>
          <w:p>
            <w:pPr>
              <w:spacing w:after="0"/>
              <w:rPr>
                <w:sz w:val="13"/>
                <w:szCs w:val="13"/>
                <w:color w:val="auto"/>
              </w:rPr>
            </w:pPr>
          </w:p>
        </w:tc>
      </w:tr>
      <w:tr>
        <w:trPr>
          <w:trHeight w:val="149"/>
        </w:trPr>
        <w:tc>
          <w:tcPr>
            <w:tcW w:w="5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554</w:t>
            </w:r>
          </w:p>
        </w:tc>
        <w:tc>
          <w:tcPr>
            <w:tcW w:w="20" w:type="dxa"/>
            <w:vAlign w:val="bottom"/>
            <w:shd w:val="clear" w:color="auto" w:fill="CCEEFF"/>
          </w:tcPr>
          <w:p>
            <w:pPr>
              <w:spacing w:after="0"/>
              <w:rPr>
                <w:sz w:val="12"/>
                <w:szCs w:val="12"/>
                <w:color w:val="auto"/>
              </w:rPr>
            </w:pPr>
          </w:p>
        </w:tc>
      </w:tr>
      <w:tr>
        <w:trPr>
          <w:trHeight w:val="160"/>
        </w:trPr>
        <w:tc>
          <w:tcPr>
            <w:tcW w:w="56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Federal Home Loan Bank advances</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w:t>
            </w:r>
          </w:p>
        </w:tc>
        <w:tc>
          <w:tcPr>
            <w:tcW w:w="20" w:type="dxa"/>
            <w:vAlign w:val="bottom"/>
          </w:tcPr>
          <w:p>
            <w:pPr>
              <w:spacing w:after="0"/>
              <w:rPr>
                <w:sz w:val="13"/>
                <w:szCs w:val="13"/>
                <w:color w:val="auto"/>
              </w:rPr>
            </w:pPr>
          </w:p>
        </w:tc>
      </w:tr>
      <w:tr>
        <w:trPr>
          <w:trHeight w:val="14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interest expense</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963</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1,253</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60"/>
        </w:trPr>
        <w:tc>
          <w:tcPr>
            <w:tcW w:w="5620" w:type="dxa"/>
            <w:vAlign w:val="bottom"/>
          </w:tcPr>
          <w:p>
            <w:pPr>
              <w:ind w:left="200"/>
              <w:spacing w:after="0"/>
              <w:rPr>
                <w:sz w:val="20"/>
                <w:szCs w:val="20"/>
                <w:color w:val="auto"/>
              </w:rPr>
            </w:pPr>
            <w:r>
              <w:rPr>
                <w:rFonts w:ascii="Arial" w:cs="Arial" w:eastAsia="Arial" w:hAnsi="Arial"/>
                <w:sz w:val="11"/>
                <w:szCs w:val="11"/>
                <w:color w:val="auto"/>
              </w:rPr>
              <w:t>Net interest income before provision for credit losses</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14,379</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12,475</w:t>
            </w:r>
          </w:p>
        </w:tc>
        <w:tc>
          <w:tcPr>
            <w:tcW w:w="20" w:type="dxa"/>
            <w:vAlign w:val="bottom"/>
          </w:tcPr>
          <w:p>
            <w:pPr>
              <w:spacing w:after="0"/>
              <w:rPr>
                <w:sz w:val="13"/>
                <w:szCs w:val="13"/>
                <w:color w:val="auto"/>
              </w:rPr>
            </w:pPr>
          </w:p>
        </w:tc>
      </w:tr>
      <w:tr>
        <w:trPr>
          <w:trHeight w:val="131"/>
        </w:trPr>
        <w:tc>
          <w:tcPr>
            <w:tcW w:w="56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Provision for credit losses</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(160)</w:t>
            </w:r>
          </w:p>
        </w:tc>
      </w:tr>
      <w:tr>
        <w:trPr>
          <w:trHeight w:val="140"/>
        </w:trPr>
        <w:tc>
          <w:tcPr>
            <w:tcW w:w="5620" w:type="dxa"/>
            <w:vAlign w:val="bottom"/>
          </w:tcPr>
          <w:p>
            <w:pPr>
              <w:ind w:left="200"/>
              <w:spacing w:after="0"/>
              <w:rPr>
                <w:sz w:val="20"/>
                <w:szCs w:val="20"/>
                <w:color w:val="auto"/>
              </w:rPr>
            </w:pPr>
            <w:r>
              <w:rPr>
                <w:rFonts w:ascii="Arial" w:cs="Arial" w:eastAsia="Arial" w:hAnsi="Arial"/>
                <w:sz w:val="11"/>
                <w:szCs w:val="11"/>
                <w:color w:val="auto"/>
              </w:rPr>
              <w:t>Net interest income after provision for credit losses</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14,379</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12,635</w:t>
            </w:r>
          </w:p>
        </w:tc>
        <w:tc>
          <w:tcPr>
            <w:tcW w:w="20" w:type="dxa"/>
            <w:vAlign w:val="bottom"/>
          </w:tcPr>
          <w:p>
            <w:pPr>
              <w:spacing w:after="0"/>
              <w:rPr>
                <w:sz w:val="12"/>
                <w:szCs w:val="12"/>
                <w:color w:val="auto"/>
              </w:rPr>
            </w:pPr>
          </w:p>
        </w:tc>
      </w:tr>
      <w:tr>
        <w:trPr>
          <w:trHeight w:val="149"/>
        </w:trPr>
        <w:tc>
          <w:tcPr>
            <w:tcW w:w="56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Non-interest income:</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5620" w:type="dxa"/>
            <w:vAlign w:val="bottom"/>
          </w:tcPr>
          <w:p>
            <w:pPr>
              <w:ind w:left="100"/>
              <w:spacing w:after="0"/>
              <w:rPr>
                <w:sz w:val="20"/>
                <w:szCs w:val="20"/>
                <w:color w:val="auto"/>
              </w:rPr>
            </w:pPr>
            <w:r>
              <w:rPr>
                <w:rFonts w:ascii="Arial" w:cs="Arial" w:eastAsia="Arial" w:hAnsi="Arial"/>
                <w:sz w:val="11"/>
                <w:szCs w:val="11"/>
                <w:color w:val="auto"/>
              </w:rPr>
              <w:t>Service fees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900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889</w:t>
            </w:r>
          </w:p>
        </w:tc>
        <w:tc>
          <w:tcPr>
            <w:tcW w:w="20" w:type="dxa"/>
            <w:vAlign w:val="bottom"/>
          </w:tcPr>
          <w:p>
            <w:pPr>
              <w:spacing w:after="0"/>
              <w:rPr>
                <w:sz w:val="13"/>
                <w:szCs w:val="13"/>
                <w:color w:val="auto"/>
              </w:rPr>
            </w:pPr>
          </w:p>
        </w:tc>
      </w:tr>
      <w:tr>
        <w:trPr>
          <w:trHeight w:val="160"/>
        </w:trPr>
        <w:tc>
          <w:tcPr>
            <w:tcW w:w="5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Gain on sale of securities available for sale, net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w:t>
            </w:r>
          </w:p>
        </w:tc>
        <w:tc>
          <w:tcPr>
            <w:tcW w:w="20" w:type="dxa"/>
            <w:vAlign w:val="bottom"/>
            <w:shd w:val="clear" w:color="auto" w:fill="CCEEFF"/>
          </w:tcPr>
          <w:p>
            <w:pPr>
              <w:spacing w:after="0"/>
              <w:rPr>
                <w:sz w:val="13"/>
                <w:szCs w:val="13"/>
                <w:color w:val="auto"/>
              </w:rPr>
            </w:pPr>
          </w:p>
        </w:tc>
      </w:tr>
      <w:tr>
        <w:trPr>
          <w:trHeight w:val="160"/>
        </w:trPr>
        <w:tc>
          <w:tcPr>
            <w:tcW w:w="5620" w:type="dxa"/>
            <w:vAlign w:val="bottom"/>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334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964</w:t>
            </w:r>
          </w:p>
        </w:tc>
        <w:tc>
          <w:tcPr>
            <w:tcW w:w="20" w:type="dxa"/>
            <w:vAlign w:val="bottom"/>
          </w:tcPr>
          <w:p>
            <w:pPr>
              <w:spacing w:after="0"/>
              <w:rPr>
                <w:sz w:val="13"/>
                <w:szCs w:val="13"/>
                <w:color w:val="auto"/>
              </w:rPr>
            </w:pPr>
          </w:p>
        </w:tc>
      </w:tr>
      <w:tr>
        <w:trPr>
          <w:trHeight w:val="160"/>
        </w:trPr>
        <w:tc>
          <w:tcPr>
            <w:tcW w:w="5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Loan settlement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r>
      <w:tr>
        <w:trPr>
          <w:trHeight w:val="169"/>
        </w:trPr>
        <w:tc>
          <w:tcPr>
            <w:tcW w:w="5620" w:type="dxa"/>
            <w:vAlign w:val="bottom"/>
          </w:tcPr>
          <w:p>
            <w:pPr>
              <w:ind w:left="100"/>
              <w:spacing w:after="0"/>
              <w:rPr>
                <w:sz w:val="20"/>
                <w:szCs w:val="20"/>
                <w:color w:val="auto"/>
              </w:rPr>
            </w:pPr>
            <w:r>
              <w:rPr>
                <w:rFonts w:ascii="Arial" w:cs="Arial" w:eastAsia="Arial" w:hAnsi="Arial"/>
                <w:sz w:val="11"/>
                <w:szCs w:val="11"/>
                <w:color w:val="auto"/>
              </w:rPr>
              <w:t>Other non-interest income</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529</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406</w:t>
            </w:r>
          </w:p>
        </w:tc>
        <w:tc>
          <w:tcPr>
            <w:tcW w:w="20" w:type="dxa"/>
            <w:vAlign w:val="bottom"/>
          </w:tcPr>
          <w:p>
            <w:pPr>
              <w:spacing w:after="0"/>
              <w:rPr>
                <w:sz w:val="14"/>
                <w:szCs w:val="14"/>
                <w:color w:val="auto"/>
              </w:rPr>
            </w:pPr>
          </w:p>
        </w:tc>
      </w:tr>
      <w:tr>
        <w:trPr>
          <w:trHeight w:val="131"/>
        </w:trPr>
        <w:tc>
          <w:tcPr>
            <w:tcW w:w="56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non-interest income</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1,945</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2,321</w:t>
            </w:r>
          </w:p>
        </w:tc>
        <w:tc>
          <w:tcPr>
            <w:tcW w:w="20" w:type="dxa"/>
            <w:vAlign w:val="bottom"/>
            <w:shd w:val="clear" w:color="auto" w:fill="CCEEFF"/>
          </w:tcPr>
          <w:p>
            <w:pPr>
              <w:spacing w:after="0"/>
              <w:rPr>
                <w:sz w:val="11"/>
                <w:szCs w:val="11"/>
                <w:color w:val="auto"/>
              </w:rPr>
            </w:pPr>
          </w:p>
        </w:tc>
      </w:tr>
      <w:tr>
        <w:trPr>
          <w:trHeight w:val="160"/>
        </w:trPr>
        <w:tc>
          <w:tcPr>
            <w:tcW w:w="5620" w:type="dxa"/>
            <w:vAlign w:val="bottom"/>
          </w:tcPr>
          <w:p>
            <w:pPr>
              <w:spacing w:after="0"/>
              <w:rPr>
                <w:sz w:val="20"/>
                <w:szCs w:val="20"/>
                <w:color w:val="auto"/>
              </w:rPr>
            </w:pPr>
            <w:r>
              <w:rPr>
                <w:rFonts w:ascii="Arial" w:cs="Arial" w:eastAsia="Arial" w:hAnsi="Arial"/>
                <w:sz w:val="11"/>
                <w:szCs w:val="11"/>
                <w:b w:val="1"/>
                <w:bCs w:val="1"/>
                <w:color w:val="auto"/>
              </w:rPr>
              <w:t>Non-interest expense: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Salaries and employee benefits</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5,875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5,278</w:t>
            </w:r>
          </w:p>
        </w:tc>
        <w:tc>
          <w:tcPr>
            <w:tcW w:w="20" w:type="dxa"/>
            <w:vAlign w:val="bottom"/>
            <w:shd w:val="clear" w:color="auto" w:fill="CCEEFF"/>
          </w:tcPr>
          <w:p>
            <w:pPr>
              <w:spacing w:after="0"/>
              <w:rPr>
                <w:sz w:val="13"/>
                <w:szCs w:val="13"/>
                <w:color w:val="auto"/>
              </w:rPr>
            </w:pPr>
          </w:p>
        </w:tc>
      </w:tr>
      <w:tr>
        <w:trPr>
          <w:trHeight w:val="149"/>
        </w:trPr>
        <w:tc>
          <w:tcPr>
            <w:tcW w:w="5620" w:type="dxa"/>
            <w:vAlign w:val="bottom"/>
          </w:tcPr>
          <w:p>
            <w:pPr>
              <w:ind w:left="100"/>
              <w:spacing w:after="0"/>
              <w:rPr>
                <w:sz w:val="20"/>
                <w:szCs w:val="20"/>
                <w:color w:val="auto"/>
              </w:rPr>
            </w:pPr>
            <w:r>
              <w:rPr>
                <w:rFonts w:ascii="Arial" w:cs="Arial" w:eastAsia="Arial" w:hAnsi="Arial"/>
                <w:sz w:val="11"/>
                <w:szCs w:val="11"/>
                <w:color w:val="auto"/>
              </w:rPr>
              <w:t>Occupancy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1,270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1,387</w:t>
            </w:r>
          </w:p>
        </w:tc>
        <w:tc>
          <w:tcPr>
            <w:tcW w:w="20" w:type="dxa"/>
            <w:vAlign w:val="bottom"/>
          </w:tcPr>
          <w:p>
            <w:pPr>
              <w:spacing w:after="0"/>
              <w:rPr>
                <w:sz w:val="12"/>
                <w:szCs w:val="12"/>
                <w:color w:val="auto"/>
              </w:rPr>
            </w:pPr>
          </w:p>
        </w:tc>
      </w:tr>
      <w:tr>
        <w:trPr>
          <w:trHeight w:val="160"/>
        </w:trPr>
        <w:tc>
          <w:tcPr>
            <w:tcW w:w="5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Regulatory assessment and fees</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w:t>
            </w:r>
          </w:p>
        </w:tc>
        <w:tc>
          <w:tcPr>
            <w:tcW w:w="20" w:type="dxa"/>
            <w:vAlign w:val="bottom"/>
            <w:shd w:val="clear" w:color="auto" w:fill="CCEEFF"/>
          </w:tcPr>
          <w:p>
            <w:pPr>
              <w:spacing w:after="0"/>
              <w:rPr>
                <w:sz w:val="13"/>
                <w:szCs w:val="13"/>
                <w:color w:val="auto"/>
              </w:rPr>
            </w:pPr>
          </w:p>
        </w:tc>
      </w:tr>
      <w:tr>
        <w:trPr>
          <w:trHeight w:val="160"/>
        </w:trPr>
        <w:tc>
          <w:tcPr>
            <w:tcW w:w="5620" w:type="dxa"/>
            <w:vAlign w:val="bottom"/>
          </w:tcPr>
          <w:p>
            <w:pPr>
              <w:ind w:left="100"/>
              <w:spacing w:after="0"/>
              <w:rPr>
                <w:sz w:val="20"/>
                <w:szCs w:val="20"/>
                <w:color w:val="auto"/>
              </w:rPr>
            </w:pPr>
            <w:r>
              <w:rPr>
                <w:rFonts w:ascii="Arial" w:cs="Arial" w:eastAsia="Arial" w:hAnsi="Arial"/>
                <w:sz w:val="11"/>
                <w:szCs w:val="11"/>
                <w:color w:val="auto"/>
              </w:rPr>
              <w:t>Consulting and legal fees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517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185</w:t>
            </w:r>
          </w:p>
        </w:tc>
        <w:tc>
          <w:tcPr>
            <w:tcW w:w="20" w:type="dxa"/>
            <w:vAlign w:val="bottom"/>
          </w:tcPr>
          <w:p>
            <w:pPr>
              <w:spacing w:after="0"/>
              <w:rPr>
                <w:sz w:val="13"/>
                <w:szCs w:val="13"/>
                <w:color w:val="auto"/>
              </w:rPr>
            </w:pPr>
          </w:p>
        </w:tc>
      </w:tr>
      <w:tr>
        <w:trPr>
          <w:trHeight w:val="160"/>
        </w:trPr>
        <w:tc>
          <w:tcPr>
            <w:tcW w:w="5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Network and information technology services</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508</w:t>
            </w:r>
          </w:p>
        </w:tc>
        <w:tc>
          <w:tcPr>
            <w:tcW w:w="20" w:type="dxa"/>
            <w:vAlign w:val="bottom"/>
            <w:shd w:val="clear" w:color="auto" w:fill="CCEEFF"/>
          </w:tcPr>
          <w:p>
            <w:pPr>
              <w:spacing w:after="0"/>
              <w:rPr>
                <w:sz w:val="13"/>
                <w:szCs w:val="13"/>
                <w:color w:val="auto"/>
              </w:rPr>
            </w:pPr>
          </w:p>
        </w:tc>
      </w:tr>
      <w:tr>
        <w:trPr>
          <w:trHeight w:val="169"/>
        </w:trPr>
        <w:tc>
          <w:tcPr>
            <w:tcW w:w="5620" w:type="dxa"/>
            <w:vAlign w:val="bottom"/>
          </w:tcPr>
          <w:p>
            <w:pPr>
              <w:ind w:left="100"/>
              <w:spacing w:after="0"/>
              <w:rPr>
                <w:sz w:val="20"/>
                <w:szCs w:val="20"/>
                <w:color w:val="auto"/>
              </w:rPr>
            </w:pPr>
            <w:r>
              <w:rPr>
                <w:rFonts w:ascii="Arial" w:cs="Arial" w:eastAsia="Arial" w:hAnsi="Arial"/>
                <w:sz w:val="11"/>
                <w:szCs w:val="11"/>
                <w:color w:val="auto"/>
              </w:rPr>
              <w:t>Other operating</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1,350</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1,141</w:t>
            </w:r>
          </w:p>
        </w:tc>
        <w:tc>
          <w:tcPr>
            <w:tcW w:w="20" w:type="dxa"/>
            <w:vAlign w:val="bottom"/>
          </w:tcPr>
          <w:p>
            <w:pPr>
              <w:spacing w:after="0"/>
              <w:rPr>
                <w:sz w:val="14"/>
                <w:szCs w:val="14"/>
                <w:color w:val="auto"/>
              </w:rPr>
            </w:pPr>
          </w:p>
        </w:tc>
      </w:tr>
      <w:tr>
        <w:trPr>
          <w:trHeight w:val="131"/>
        </w:trPr>
        <w:tc>
          <w:tcPr>
            <w:tcW w:w="56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non-interest expense</w:t>
            </w: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9,612</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8,677</w:t>
            </w:r>
          </w:p>
        </w:tc>
        <w:tc>
          <w:tcPr>
            <w:tcW w:w="20" w:type="dxa"/>
            <w:vAlign w:val="bottom"/>
            <w:shd w:val="clear" w:color="auto" w:fill="CCEEFF"/>
          </w:tcPr>
          <w:p>
            <w:pPr>
              <w:spacing w:after="0"/>
              <w:rPr>
                <w:sz w:val="11"/>
                <w:szCs w:val="11"/>
                <w:color w:val="auto"/>
              </w:rPr>
            </w:pPr>
          </w:p>
        </w:tc>
      </w:tr>
      <w:tr>
        <w:trPr>
          <w:trHeight w:val="151"/>
        </w:trPr>
        <w:tc>
          <w:tcPr>
            <w:tcW w:w="5620" w:type="dxa"/>
            <w:vAlign w:val="bottom"/>
          </w:tcPr>
          <w:p>
            <w:pPr>
              <w:ind w:left="200"/>
              <w:spacing w:after="0"/>
              <w:rPr>
                <w:sz w:val="20"/>
                <w:szCs w:val="20"/>
                <w:color w:val="auto"/>
              </w:rPr>
            </w:pPr>
            <w:r>
              <w:rPr>
                <w:rFonts w:ascii="Arial" w:cs="Arial" w:eastAsia="Arial" w:hAnsi="Arial"/>
                <w:sz w:val="11"/>
                <w:szCs w:val="11"/>
                <w:color w:val="auto"/>
              </w:rPr>
              <w:t>Net income before income tax expense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6,712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6,279</w:t>
            </w:r>
          </w:p>
        </w:tc>
        <w:tc>
          <w:tcPr>
            <w:tcW w:w="20" w:type="dxa"/>
            <w:vAlign w:val="bottom"/>
          </w:tcPr>
          <w:p>
            <w:pPr>
              <w:spacing w:after="0"/>
              <w:rPr>
                <w:sz w:val="13"/>
                <w:szCs w:val="13"/>
                <w:color w:val="auto"/>
              </w:rPr>
            </w:pPr>
          </w:p>
        </w:tc>
      </w:tr>
      <w:tr>
        <w:trPr>
          <w:trHeight w:val="149"/>
        </w:trPr>
        <w:tc>
          <w:tcPr>
            <w:tcW w:w="5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Income tax expense</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1,858</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1,498</w:t>
            </w:r>
          </w:p>
        </w:tc>
        <w:tc>
          <w:tcPr>
            <w:tcW w:w="20" w:type="dxa"/>
            <w:vAlign w:val="bottom"/>
            <w:shd w:val="clear" w:color="auto" w:fill="CCEEFF"/>
          </w:tcPr>
          <w:p>
            <w:pPr>
              <w:spacing w:after="0"/>
              <w:rPr>
                <w:sz w:val="12"/>
                <w:szCs w:val="12"/>
                <w:color w:val="auto"/>
              </w:rPr>
            </w:pPr>
          </w:p>
        </w:tc>
      </w:tr>
      <w:tr>
        <w:trPr>
          <w:trHeight w:val="151"/>
        </w:trPr>
        <w:tc>
          <w:tcPr>
            <w:tcW w:w="5620" w:type="dxa"/>
            <w:vAlign w:val="bottom"/>
          </w:tcPr>
          <w:p>
            <w:pPr>
              <w:ind w:left="200"/>
              <w:spacing w:after="0"/>
              <w:rPr>
                <w:sz w:val="20"/>
                <w:szCs w:val="20"/>
                <w:color w:val="auto"/>
              </w:rPr>
            </w:pPr>
            <w:r>
              <w:rPr>
                <w:rFonts w:ascii="Arial" w:cs="Arial" w:eastAsia="Arial" w:hAnsi="Arial"/>
                <w:sz w:val="11"/>
                <w:szCs w:val="11"/>
                <w:color w:val="auto"/>
              </w:rPr>
              <w:t>Net income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4,854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4,781</w:t>
            </w:r>
          </w:p>
        </w:tc>
        <w:tc>
          <w:tcPr>
            <w:tcW w:w="20" w:type="dxa"/>
            <w:vAlign w:val="bottom"/>
          </w:tcPr>
          <w:p>
            <w:pPr>
              <w:spacing w:after="0"/>
              <w:rPr>
                <w:sz w:val="13"/>
                <w:szCs w:val="13"/>
                <w:color w:val="auto"/>
              </w:rPr>
            </w:pPr>
          </w:p>
        </w:tc>
      </w:tr>
      <w:tr>
        <w:trPr>
          <w:trHeight w:val="149"/>
        </w:trPr>
        <w:tc>
          <w:tcPr>
            <w:tcW w:w="5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Preferred stock dividend</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781</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91"/>
        </w:trPr>
        <w:tc>
          <w:tcPr>
            <w:tcW w:w="5620" w:type="dxa"/>
            <w:vAlign w:val="bottom"/>
          </w:tcPr>
          <w:p>
            <w:pPr>
              <w:ind w:left="200"/>
              <w:spacing w:after="0"/>
              <w:rPr>
                <w:sz w:val="20"/>
                <w:szCs w:val="20"/>
                <w:color w:val="auto"/>
              </w:rPr>
            </w:pPr>
            <w:r>
              <w:rPr>
                <w:rFonts w:ascii="Arial" w:cs="Arial" w:eastAsia="Arial" w:hAnsi="Arial"/>
                <w:sz w:val="11"/>
                <w:szCs w:val="11"/>
                <w:color w:val="auto"/>
              </w:rPr>
              <w:t>Net income available to common stockholders</w:t>
            </w:r>
          </w:p>
        </w:tc>
        <w:tc>
          <w:tcPr>
            <w:tcW w:w="2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4,854</w:t>
            </w:r>
          </w:p>
        </w:tc>
        <w:tc>
          <w:tcPr>
            <w:tcW w:w="3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4,000</w:t>
            </w:r>
          </w:p>
        </w:tc>
        <w:tc>
          <w:tcPr>
            <w:tcW w:w="20" w:type="dxa"/>
            <w:vAlign w:val="bottom"/>
          </w:tcPr>
          <w:p>
            <w:pPr>
              <w:spacing w:after="0"/>
              <w:rPr>
                <w:sz w:val="16"/>
                <w:szCs w:val="16"/>
                <w:color w:val="auto"/>
              </w:rPr>
            </w:pPr>
          </w:p>
        </w:tc>
      </w:tr>
      <w:tr>
        <w:trPr>
          <w:trHeight w:val="132"/>
        </w:trPr>
        <w:tc>
          <w:tcPr>
            <w:tcW w:w="562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1"/>
                <w:szCs w:val="11"/>
                <w:b w:val="1"/>
                <w:bCs w:val="1"/>
                <w:color w:val="auto"/>
              </w:rPr>
              <w:t xml:space="preserve">Allocation of net income per common stock class: </w:t>
            </w:r>
            <w:r>
              <w:rPr>
                <w:rFonts w:ascii="Arial" w:cs="Arial" w:eastAsia="Arial" w:hAnsi="Arial"/>
                <w:sz w:val="14"/>
                <w:szCs w:val="14"/>
                <w:color w:val="auto"/>
                <w:vertAlign w:val="superscript"/>
              </w:rPr>
              <w:t>(1)</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r>
      <w:tr>
        <w:trPr>
          <w:trHeight w:val="160"/>
        </w:trPr>
        <w:tc>
          <w:tcPr>
            <w:tcW w:w="5620" w:type="dxa"/>
            <w:vAlign w:val="bottom"/>
          </w:tcPr>
          <w:p>
            <w:pPr>
              <w:ind w:left="100"/>
              <w:spacing w:after="0"/>
              <w:rPr>
                <w:sz w:val="20"/>
                <w:szCs w:val="20"/>
                <w:color w:val="auto"/>
              </w:rPr>
            </w:pPr>
            <w:r>
              <w:rPr>
                <w:rFonts w:ascii="Arial" w:cs="Arial" w:eastAsia="Arial" w:hAnsi="Arial"/>
                <w:sz w:val="11"/>
                <w:szCs w:val="11"/>
                <w:color w:val="auto"/>
              </w:rPr>
              <w:t>Class A</w:t>
            </w:r>
          </w:p>
        </w:tc>
        <w:tc>
          <w:tcPr>
            <w:tcW w:w="2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4,854</w:t>
            </w:r>
          </w:p>
        </w:tc>
        <w:tc>
          <w:tcPr>
            <w:tcW w:w="3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3,042</w:t>
            </w:r>
          </w:p>
        </w:tc>
        <w:tc>
          <w:tcPr>
            <w:tcW w:w="20" w:type="dxa"/>
            <w:vAlign w:val="bottom"/>
          </w:tcPr>
          <w:p>
            <w:pPr>
              <w:spacing w:after="0"/>
              <w:rPr>
                <w:sz w:val="13"/>
                <w:szCs w:val="13"/>
                <w:color w:val="auto"/>
              </w:rPr>
            </w:pPr>
          </w:p>
        </w:tc>
      </w:tr>
      <w:tr>
        <w:trPr>
          <w:trHeight w:val="160"/>
        </w:trPr>
        <w:tc>
          <w:tcPr>
            <w:tcW w:w="5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B</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958</w:t>
            </w:r>
          </w:p>
        </w:tc>
        <w:tc>
          <w:tcPr>
            <w:tcW w:w="20" w:type="dxa"/>
            <w:vAlign w:val="bottom"/>
            <w:shd w:val="clear" w:color="auto" w:fill="CCEEFF"/>
          </w:tcPr>
          <w:p>
            <w:pPr>
              <w:spacing w:after="0"/>
              <w:rPr>
                <w:sz w:val="13"/>
                <w:szCs w:val="13"/>
                <w:color w:val="auto"/>
              </w:rPr>
            </w:pPr>
          </w:p>
        </w:tc>
      </w:tr>
      <w:tr>
        <w:trPr>
          <w:trHeight w:val="149"/>
        </w:trPr>
        <w:tc>
          <w:tcPr>
            <w:tcW w:w="562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Per share information: </w:t>
            </w:r>
            <w:r>
              <w:rPr>
                <w:rFonts w:ascii="Arial" w:cs="Arial" w:eastAsia="Arial" w:hAnsi="Arial"/>
                <w:sz w:val="14"/>
                <w:szCs w:val="14"/>
                <w:color w:val="auto"/>
                <w:vertAlign w:val="superscript"/>
              </w:rPr>
              <w:t>(1)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5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Class A common stock </w:t>
            </w:r>
            <w:r>
              <w:rPr>
                <w:rFonts w:ascii="Arial" w:cs="Arial" w:eastAsia="Arial" w:hAnsi="Arial"/>
                <w:sz w:val="14"/>
                <w:szCs w:val="14"/>
                <w:color w:val="auto"/>
                <w:vertAlign w:val="superscript"/>
              </w:rPr>
              <w:t>(2)</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620" w:type="dxa"/>
            <w:vAlign w:val="bottom"/>
          </w:tcPr>
          <w:p>
            <w:pPr>
              <w:ind w:left="200"/>
              <w:spacing w:after="0"/>
              <w:rPr>
                <w:sz w:val="20"/>
                <w:szCs w:val="20"/>
                <w:color w:val="auto"/>
              </w:rPr>
            </w:pPr>
            <w:r>
              <w:rPr>
                <w:rFonts w:ascii="Arial" w:cs="Arial" w:eastAsia="Arial" w:hAnsi="Arial"/>
                <w:sz w:val="11"/>
                <w:szCs w:val="11"/>
                <w:color w:val="auto"/>
              </w:rPr>
              <w:t>Net income per share, basic</w:t>
            </w:r>
          </w:p>
        </w:tc>
        <w:tc>
          <w:tcPr>
            <w:tcW w:w="2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0.24</w:t>
            </w:r>
          </w:p>
        </w:tc>
        <w:tc>
          <w:tcPr>
            <w:tcW w:w="3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0.78</w:t>
            </w:r>
          </w:p>
        </w:tc>
        <w:tc>
          <w:tcPr>
            <w:tcW w:w="20" w:type="dxa"/>
            <w:vAlign w:val="bottom"/>
          </w:tcPr>
          <w:p>
            <w:pPr>
              <w:spacing w:after="0"/>
              <w:rPr>
                <w:sz w:val="13"/>
                <w:szCs w:val="13"/>
                <w:color w:val="auto"/>
              </w:rPr>
            </w:pPr>
          </w:p>
        </w:tc>
      </w:tr>
      <w:tr>
        <w:trPr>
          <w:trHeight w:val="160"/>
        </w:trPr>
        <w:tc>
          <w:tcPr>
            <w:tcW w:w="56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per share, diluted</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0.78</w:t>
            </w:r>
          </w:p>
        </w:tc>
        <w:tc>
          <w:tcPr>
            <w:tcW w:w="20" w:type="dxa"/>
            <w:vAlign w:val="bottom"/>
            <w:shd w:val="clear" w:color="auto" w:fill="CCEEFF"/>
          </w:tcPr>
          <w:p>
            <w:pPr>
              <w:spacing w:after="0"/>
              <w:rPr>
                <w:sz w:val="13"/>
                <w:szCs w:val="13"/>
                <w:color w:val="auto"/>
              </w:rPr>
            </w:pPr>
          </w:p>
        </w:tc>
      </w:tr>
      <w:tr>
        <w:trPr>
          <w:trHeight w:val="160"/>
        </w:trPr>
        <w:tc>
          <w:tcPr>
            <w:tcW w:w="5620" w:type="dxa"/>
            <w:vAlign w:val="bottom"/>
          </w:tcPr>
          <w:p>
            <w:pPr>
              <w:ind w:left="100"/>
              <w:spacing w:after="0"/>
              <w:rPr>
                <w:sz w:val="20"/>
                <w:szCs w:val="20"/>
                <w:color w:val="auto"/>
              </w:rPr>
            </w:pPr>
            <w:r>
              <w:rPr>
                <w:rFonts w:ascii="Arial" w:cs="Arial" w:eastAsia="Arial" w:hAnsi="Arial"/>
                <w:sz w:val="11"/>
                <w:szCs w:val="11"/>
                <w:color w:val="auto"/>
              </w:rPr>
              <w:t>Class B common stock</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56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per share, basic</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0.16</w:t>
            </w:r>
          </w:p>
        </w:tc>
        <w:tc>
          <w:tcPr>
            <w:tcW w:w="20" w:type="dxa"/>
            <w:vAlign w:val="bottom"/>
            <w:shd w:val="clear" w:color="auto" w:fill="CCEEFF"/>
          </w:tcPr>
          <w:p>
            <w:pPr>
              <w:spacing w:after="0"/>
              <w:rPr>
                <w:sz w:val="12"/>
                <w:szCs w:val="12"/>
                <w:color w:val="auto"/>
              </w:rPr>
            </w:pPr>
          </w:p>
        </w:tc>
      </w:tr>
      <w:tr>
        <w:trPr>
          <w:trHeight w:val="160"/>
        </w:trPr>
        <w:tc>
          <w:tcPr>
            <w:tcW w:w="5620" w:type="dxa"/>
            <w:vAlign w:val="bottom"/>
          </w:tcPr>
          <w:p>
            <w:pPr>
              <w:ind w:left="200"/>
              <w:spacing w:after="0"/>
              <w:rPr>
                <w:sz w:val="20"/>
                <w:szCs w:val="20"/>
                <w:color w:val="auto"/>
              </w:rPr>
            </w:pPr>
            <w:r>
              <w:rPr>
                <w:rFonts w:ascii="Arial" w:cs="Arial" w:eastAsia="Arial" w:hAnsi="Arial"/>
                <w:sz w:val="11"/>
                <w:szCs w:val="11"/>
                <w:color w:val="auto"/>
              </w:rPr>
              <w:t>Net income per share, diluted</w:t>
            </w:r>
          </w:p>
        </w:tc>
        <w:tc>
          <w:tcPr>
            <w:tcW w:w="2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0.16</w:t>
            </w:r>
          </w:p>
        </w:tc>
        <w:tc>
          <w:tcPr>
            <w:tcW w:w="20" w:type="dxa"/>
            <w:vAlign w:val="bottom"/>
          </w:tcPr>
          <w:p>
            <w:pPr>
              <w:spacing w:after="0"/>
              <w:rPr>
                <w:sz w:val="13"/>
                <w:szCs w:val="13"/>
                <w:color w:val="auto"/>
              </w:rPr>
            </w:pPr>
          </w:p>
        </w:tc>
      </w:tr>
      <w:tr>
        <w:trPr>
          <w:trHeight w:val="160"/>
        </w:trPr>
        <w:tc>
          <w:tcPr>
            <w:tcW w:w="56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Weighted average shares outstanding:</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620" w:type="dxa"/>
            <w:vAlign w:val="bottom"/>
          </w:tcPr>
          <w:p>
            <w:pPr>
              <w:ind w:left="100"/>
              <w:spacing w:after="0"/>
              <w:rPr>
                <w:sz w:val="20"/>
                <w:szCs w:val="20"/>
                <w:color w:val="auto"/>
              </w:rPr>
            </w:pPr>
            <w:r>
              <w:rPr>
                <w:rFonts w:ascii="Arial" w:cs="Arial" w:eastAsia="Arial" w:hAnsi="Arial"/>
                <w:sz w:val="11"/>
                <w:szCs w:val="11"/>
                <w:color w:val="auto"/>
              </w:rPr>
              <w:t xml:space="preserve">Class A common stock </w:t>
            </w:r>
            <w:r>
              <w:rPr>
                <w:rFonts w:ascii="Arial" w:cs="Arial" w:eastAsia="Arial" w:hAnsi="Arial"/>
                <w:sz w:val="14"/>
                <w:szCs w:val="14"/>
                <w:color w:val="auto"/>
                <w:vertAlign w:val="superscript"/>
              </w:rPr>
              <w:t>(2)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6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Basic</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19,994,953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3,889,469</w:t>
            </w:r>
          </w:p>
        </w:tc>
        <w:tc>
          <w:tcPr>
            <w:tcW w:w="20" w:type="dxa"/>
            <w:vAlign w:val="bottom"/>
            <w:shd w:val="clear" w:color="auto" w:fill="CCEEFF"/>
          </w:tcPr>
          <w:p>
            <w:pPr>
              <w:spacing w:after="0"/>
              <w:rPr>
                <w:sz w:val="13"/>
                <w:szCs w:val="13"/>
                <w:color w:val="auto"/>
              </w:rPr>
            </w:pPr>
          </w:p>
        </w:tc>
      </w:tr>
      <w:tr>
        <w:trPr>
          <w:trHeight w:val="149"/>
        </w:trPr>
        <w:tc>
          <w:tcPr>
            <w:tcW w:w="5620" w:type="dxa"/>
            <w:vAlign w:val="bottom"/>
          </w:tcPr>
          <w:p>
            <w:pPr>
              <w:ind w:left="200"/>
              <w:spacing w:after="0"/>
              <w:rPr>
                <w:sz w:val="20"/>
                <w:szCs w:val="20"/>
                <w:color w:val="auto"/>
              </w:rPr>
            </w:pPr>
            <w:r>
              <w:rPr>
                <w:rFonts w:ascii="Arial" w:cs="Arial" w:eastAsia="Arial" w:hAnsi="Arial"/>
                <w:sz w:val="11"/>
                <w:szCs w:val="11"/>
                <w:color w:val="auto"/>
              </w:rPr>
              <w:t>Diluted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20,109,783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3,913,279</w:t>
            </w:r>
          </w:p>
        </w:tc>
        <w:tc>
          <w:tcPr>
            <w:tcW w:w="20" w:type="dxa"/>
            <w:vAlign w:val="bottom"/>
          </w:tcPr>
          <w:p>
            <w:pPr>
              <w:spacing w:after="0"/>
              <w:rPr>
                <w:sz w:val="12"/>
                <w:szCs w:val="12"/>
                <w:color w:val="auto"/>
              </w:rPr>
            </w:pPr>
          </w:p>
        </w:tc>
      </w:tr>
      <w:tr>
        <w:trPr>
          <w:trHeight w:val="160"/>
        </w:trPr>
        <w:tc>
          <w:tcPr>
            <w:tcW w:w="5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B common stock</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620" w:type="dxa"/>
            <w:vAlign w:val="bottom"/>
          </w:tcPr>
          <w:p>
            <w:pPr>
              <w:ind w:left="200"/>
              <w:spacing w:after="0"/>
              <w:rPr>
                <w:sz w:val="20"/>
                <w:szCs w:val="20"/>
                <w:color w:val="auto"/>
              </w:rPr>
            </w:pPr>
            <w:r>
              <w:rPr>
                <w:rFonts w:ascii="Arial" w:cs="Arial" w:eastAsia="Arial" w:hAnsi="Arial"/>
                <w:sz w:val="11"/>
                <w:szCs w:val="11"/>
                <w:color w:val="auto"/>
              </w:rPr>
              <w:t>Basic</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tcPr>
          <w:p>
            <w:pPr>
              <w:spacing w:after="0"/>
              <w:rPr>
                <w:sz w:val="13"/>
                <w:szCs w:val="13"/>
                <w:color w:val="auto"/>
              </w:rPr>
            </w:pPr>
          </w:p>
        </w:tc>
      </w:tr>
      <w:tr>
        <w:trPr>
          <w:trHeight w:val="160"/>
        </w:trPr>
        <w:tc>
          <w:tcPr>
            <w:tcW w:w="56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shd w:val="clear" w:color="auto" w:fill="CCEEFF"/>
          </w:tcPr>
          <w:p>
            <w:pPr>
              <w:spacing w:after="0"/>
              <w:rPr>
                <w:sz w:val="13"/>
                <w:szCs w:val="13"/>
                <w:color w:val="auto"/>
              </w:rPr>
            </w:pPr>
          </w:p>
        </w:tc>
      </w:tr>
    </w:tbl>
    <w:p>
      <w:pPr>
        <w:spacing w:after="0" w:line="155" w:lineRule="exact"/>
        <w:rPr>
          <w:sz w:val="20"/>
          <w:szCs w:val="20"/>
          <w:color w:val="auto"/>
        </w:rPr>
      </w:pPr>
    </w:p>
    <w:p>
      <w:pPr>
        <w:ind w:left="660" w:right="739" w:firstLine="3"/>
        <w:spacing w:after="0" w:line="263" w:lineRule="auto"/>
        <w:tabs>
          <w:tab w:leader="none" w:pos="851" w:val="left"/>
        </w:tabs>
        <w:numPr>
          <w:ilvl w:val="0"/>
          <w:numId w:val="11"/>
        </w:numPr>
        <w:rPr>
          <w:rFonts w:ascii="Arial" w:cs="Arial" w:eastAsia="Arial" w:hAnsi="Arial"/>
          <w:sz w:val="11"/>
          <w:szCs w:val="11"/>
          <w:color w:val="auto"/>
        </w:rPr>
      </w:pPr>
      <w:r>
        <w:rPr>
          <w:rFonts w:ascii="Arial" w:cs="Arial" w:eastAsia="Arial" w:hAnsi="Arial"/>
          <w:sz w:val="11"/>
          <w:szCs w:val="11"/>
          <w:color w:val="auto"/>
        </w:rPr>
        <w:t>For the three months ended March 31, 2021, the allocation of net income available to common stockholders was based on the weighted average shares outstanding per common share class to the total weighted average shares outstanding during the period. The income allocation is calculated using the weighted average shares outstanding of Class B common stock on a as-converted basis (20% per share equivalent to Class A common stock).</w:t>
      </w:r>
    </w:p>
    <w:p>
      <w:pPr>
        <w:ind w:left="660" w:right="719" w:firstLine="3"/>
        <w:spacing w:after="0" w:line="279" w:lineRule="auto"/>
        <w:tabs>
          <w:tab w:leader="none" w:pos="851" w:val="left"/>
        </w:tabs>
        <w:numPr>
          <w:ilvl w:val="0"/>
          <w:numId w:val="11"/>
        </w:numPr>
        <w:rPr>
          <w:rFonts w:ascii="Arial" w:cs="Arial" w:eastAsia="Arial" w:hAnsi="Arial"/>
          <w:sz w:val="11"/>
          <w:szCs w:val="11"/>
          <w:color w:val="auto"/>
        </w:rPr>
      </w:pPr>
      <w:r>
        <w:rPr>
          <w:rFonts w:ascii="Arial" w:cs="Arial" w:eastAsia="Arial" w:hAnsi="Arial"/>
          <w:sz w:val="11"/>
          <w:szCs w:val="11"/>
          <w:color w:val="auto"/>
        </w:rPr>
        <w:t>For the three months ended March 31, 2021, the common stock outstanding, weighted average shares and net income per share for the Class A common stock were adjusted to reflect the 1 for 5 reverse stock split that occurred in June 2021.</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723"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SELECTED FINANCIAL DATA (UNAUDITED)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 except per share data)</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35"/>
        </w:trPr>
        <w:tc>
          <w:tcPr>
            <w:tcW w:w="3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12"/>
          </w:tcPr>
          <w:p>
            <w:pPr>
              <w:jc w:val="right"/>
              <w:ind w:right="420"/>
              <w:spacing w:after="0"/>
              <w:rPr>
                <w:sz w:val="20"/>
                <w:szCs w:val="20"/>
                <w:color w:val="auto"/>
              </w:rPr>
            </w:pPr>
            <w:r>
              <w:rPr>
                <w:rFonts w:ascii="Arial" w:cs="Arial" w:eastAsia="Arial" w:hAnsi="Arial"/>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32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3"/>
              </w:rPr>
              <w:t>3/31/2022</w:t>
            </w:r>
          </w:p>
        </w:tc>
        <w:tc>
          <w:tcPr>
            <w:tcW w:w="20" w:type="dxa"/>
            <w:vAlign w:val="bottom"/>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0"/>
              </w:rPr>
              <w:t>12/31/2021</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3"/>
              </w:rPr>
              <w:t>9/30/2021</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3"/>
              </w:rPr>
              <w:t>6/30/2021</w:t>
            </w:r>
          </w:p>
        </w:tc>
        <w:tc>
          <w:tcPr>
            <w:tcW w:w="20" w:type="dxa"/>
            <w:vAlign w:val="bottom"/>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3"/>
              </w:rPr>
              <w:t>3/31/2021</w:t>
            </w:r>
          </w:p>
        </w:tc>
        <w:tc>
          <w:tcPr>
            <w:tcW w:w="20" w:type="dxa"/>
            <w:vAlign w:val="bottom"/>
          </w:tcPr>
          <w:p>
            <w:pPr>
              <w:spacing w:after="0"/>
              <w:rPr>
                <w:sz w:val="11"/>
                <w:szCs w:val="11"/>
                <w:color w:val="auto"/>
              </w:rPr>
            </w:pPr>
          </w:p>
        </w:tc>
      </w:tr>
      <w:tr>
        <w:trPr>
          <w:trHeight w:val="139"/>
        </w:trPr>
        <w:tc>
          <w:tcPr>
            <w:tcW w:w="3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Income Statement Data: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3240" w:type="dxa"/>
            <w:vAlign w:val="bottom"/>
          </w:tcPr>
          <w:p>
            <w:pPr>
              <w:ind w:left="100"/>
              <w:spacing w:after="0"/>
              <w:rPr>
                <w:sz w:val="20"/>
                <w:szCs w:val="20"/>
                <w:color w:val="auto"/>
              </w:rPr>
            </w:pPr>
            <w:r>
              <w:rPr>
                <w:rFonts w:ascii="Arial" w:cs="Arial" w:eastAsia="Arial" w:hAnsi="Arial"/>
                <w:sz w:val="11"/>
                <w:szCs w:val="11"/>
                <w:color w:val="auto"/>
              </w:rPr>
              <w:t>Net interest income</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14,379</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14,076</w:t>
            </w:r>
          </w:p>
        </w:tc>
        <w:tc>
          <w:tcPr>
            <w:tcW w:w="20" w:type="dxa"/>
            <w:vAlign w:val="bottom"/>
          </w:tcPr>
          <w:p>
            <w:pPr>
              <w:spacing w:after="0"/>
              <w:rPr>
                <w:sz w:val="13"/>
                <w:szCs w:val="13"/>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13,471</w:t>
            </w:r>
          </w:p>
        </w:tc>
        <w:tc>
          <w:tcPr>
            <w:tcW w:w="20" w:type="dxa"/>
            <w:vAlign w:val="bottom"/>
          </w:tcPr>
          <w:p>
            <w:pPr>
              <w:spacing w:after="0"/>
              <w:rPr>
                <w:sz w:val="13"/>
                <w:szCs w:val="13"/>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12,474</w:t>
            </w:r>
          </w:p>
        </w:tc>
        <w:tc>
          <w:tcPr>
            <w:tcW w:w="20" w:type="dxa"/>
            <w:vAlign w:val="bottom"/>
          </w:tcPr>
          <w:p>
            <w:pPr>
              <w:spacing w:after="0"/>
              <w:rPr>
                <w:sz w:val="13"/>
                <w:szCs w:val="13"/>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12,475</w:t>
            </w:r>
          </w:p>
        </w:tc>
        <w:tc>
          <w:tcPr>
            <w:tcW w:w="20" w:type="dxa"/>
            <w:vAlign w:val="bottom"/>
          </w:tcPr>
          <w:p>
            <w:pPr>
              <w:spacing w:after="0"/>
              <w:rPr>
                <w:sz w:val="13"/>
                <w:szCs w:val="13"/>
                <w:color w:val="auto"/>
              </w:rPr>
            </w:pPr>
          </w:p>
        </w:tc>
      </w:tr>
      <w:tr>
        <w:trPr>
          <w:trHeight w:val="13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Provision for credit losses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(160)</w:t>
            </w:r>
          </w:p>
        </w:tc>
      </w:tr>
      <w:tr>
        <w:trPr>
          <w:trHeight w:val="140"/>
        </w:trPr>
        <w:tc>
          <w:tcPr>
            <w:tcW w:w="3240" w:type="dxa"/>
            <w:vAlign w:val="bottom"/>
            <w:tcBorders>
              <w:top w:val="single" w:sz="8" w:color="CCEEFF"/>
            </w:tcBorders>
          </w:tcPr>
          <w:p>
            <w:pPr>
              <w:ind w:left="200"/>
              <w:spacing w:after="0"/>
              <w:rPr>
                <w:sz w:val="20"/>
                <w:szCs w:val="20"/>
                <w:color w:val="auto"/>
              </w:rPr>
            </w:pPr>
            <w:r>
              <w:rPr>
                <w:rFonts w:ascii="Arial" w:cs="Arial" w:eastAsia="Arial" w:hAnsi="Arial"/>
                <w:sz w:val="11"/>
                <w:szCs w:val="11"/>
                <w:color w:val="auto"/>
              </w:rPr>
              <w:t>Net interest income after provision for credit losses</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14,379</w:t>
            </w: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14,076</w:t>
            </w: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13,471</w:t>
            </w: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12,474</w:t>
            </w: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12,635</w:t>
            </w:r>
          </w:p>
        </w:tc>
        <w:tc>
          <w:tcPr>
            <w:tcW w:w="20" w:type="dxa"/>
            <w:vAlign w:val="bottom"/>
            <w:tcBorders>
              <w:top w:val="single" w:sz="8" w:color="CCEEFF"/>
            </w:tcBorders>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Service fees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889</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Gain (loss) on sale of securities available for sale, net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(70)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62</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964</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Gain on sale of other assets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983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Loan settlement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r>
      <w:tr>
        <w:trPr>
          <w:trHeight w:val="159"/>
        </w:trPr>
        <w:tc>
          <w:tcPr>
            <w:tcW w:w="3240" w:type="dxa"/>
            <w:vAlign w:val="bottom"/>
          </w:tcPr>
          <w:p>
            <w:pPr>
              <w:ind w:left="100"/>
              <w:spacing w:after="0"/>
              <w:rPr>
                <w:sz w:val="20"/>
                <w:szCs w:val="20"/>
                <w:color w:val="auto"/>
              </w:rPr>
            </w:pPr>
            <w:r>
              <w:rPr>
                <w:rFonts w:ascii="Arial" w:cs="Arial" w:eastAsia="Arial" w:hAnsi="Arial"/>
                <w:sz w:val="11"/>
                <w:szCs w:val="11"/>
                <w:color w:val="auto"/>
              </w:rPr>
              <w:t>Other income</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406</w:t>
            </w:r>
          </w:p>
        </w:tc>
        <w:tc>
          <w:tcPr>
            <w:tcW w:w="20" w:type="dxa"/>
            <w:vAlign w:val="bottom"/>
          </w:tcPr>
          <w:p>
            <w:pPr>
              <w:spacing w:after="0"/>
              <w:rPr>
                <w:sz w:val="13"/>
                <w:szCs w:val="13"/>
                <w:color w:val="auto"/>
              </w:rPr>
            </w:pPr>
          </w:p>
        </w:tc>
      </w:tr>
      <w:tr>
        <w:trPr>
          <w:trHeight w:val="120"/>
        </w:trPr>
        <w:tc>
          <w:tcPr>
            <w:tcW w:w="3240" w:type="dxa"/>
            <w:vAlign w:val="bottom"/>
            <w:tcBorders>
              <w:top w:val="single" w:sz="8" w:color="CCEEFF"/>
            </w:tcBorders>
            <w:shd w:val="clear" w:color="auto" w:fill="CCEEFF"/>
          </w:tcPr>
          <w:p>
            <w:pPr>
              <w:ind w:left="200"/>
              <w:spacing w:after="0" w:line="120" w:lineRule="exact"/>
              <w:rPr>
                <w:sz w:val="20"/>
                <w:szCs w:val="20"/>
                <w:color w:val="auto"/>
              </w:rPr>
            </w:pPr>
            <w:r>
              <w:rPr>
                <w:rFonts w:ascii="Arial" w:cs="Arial" w:eastAsia="Arial" w:hAnsi="Arial"/>
                <w:sz w:val="11"/>
                <w:szCs w:val="11"/>
                <w:color w:val="auto"/>
              </w:rPr>
              <w:t>Total non-interest income</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1,945</w:t>
            </w:r>
          </w:p>
        </w:tc>
        <w:tc>
          <w:tcPr>
            <w:tcW w:w="20" w:type="dxa"/>
            <w:vAlign w:val="bottom"/>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2,644</w:t>
            </w:r>
          </w:p>
        </w:tc>
        <w:tc>
          <w:tcPr>
            <w:tcW w:w="20" w:type="dxa"/>
            <w:vAlign w:val="bottom"/>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4,217</w:t>
            </w:r>
          </w:p>
        </w:tc>
        <w:tc>
          <w:tcPr>
            <w:tcW w:w="20" w:type="dxa"/>
            <w:vAlign w:val="bottom"/>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1,516</w:t>
            </w:r>
          </w:p>
        </w:tc>
        <w:tc>
          <w:tcPr>
            <w:tcW w:w="20" w:type="dxa"/>
            <w:vAlign w:val="bottom"/>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2,321</w:t>
            </w:r>
          </w:p>
        </w:tc>
        <w:tc>
          <w:tcPr>
            <w:tcW w:w="20" w:type="dxa"/>
            <w:vAlign w:val="bottom"/>
            <w:shd w:val="clear" w:color="auto" w:fill="CCEEFF"/>
          </w:tcPr>
          <w:p>
            <w:pPr>
              <w:spacing w:after="0"/>
              <w:rPr>
                <w:sz w:val="10"/>
                <w:szCs w:val="10"/>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Salaries and employee benefits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5,875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5,634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5,313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5,213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5,278</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Occupancy</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1,387</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Regulatory assessment and fees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317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178</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Consulting and legal fees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Network and information technology services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387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268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358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332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508</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operating</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1,350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1,518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1,470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1,141</w:t>
            </w:r>
          </w:p>
        </w:tc>
        <w:tc>
          <w:tcPr>
            <w:tcW w:w="20" w:type="dxa"/>
            <w:vAlign w:val="bottom"/>
            <w:shd w:val="clear" w:color="auto" w:fill="CCEEFF"/>
          </w:tcPr>
          <w:p>
            <w:pPr>
              <w:spacing w:after="0"/>
              <w:rPr>
                <w:sz w:val="12"/>
                <w:szCs w:val="12"/>
                <w:color w:val="auto"/>
              </w:rPr>
            </w:pPr>
          </w:p>
        </w:tc>
      </w:tr>
      <w:tr>
        <w:trPr>
          <w:trHeight w:val="140"/>
        </w:trPr>
        <w:tc>
          <w:tcPr>
            <w:tcW w:w="324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Total non-interest expenses</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9,612</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9,319</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9,007</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8,674</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8,677</w:t>
            </w:r>
          </w:p>
        </w:tc>
        <w:tc>
          <w:tcPr>
            <w:tcW w:w="20" w:type="dxa"/>
            <w:vAlign w:val="bottom"/>
          </w:tcPr>
          <w:p>
            <w:pPr>
              <w:spacing w:after="0"/>
              <w:rPr>
                <w:sz w:val="12"/>
                <w:szCs w:val="12"/>
                <w:color w:val="auto"/>
              </w:rPr>
            </w:pPr>
          </w:p>
        </w:tc>
      </w:tr>
      <w:tr>
        <w:trPr>
          <w:trHeight w:val="12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before income tax expense</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6,712</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8,681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5,316</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6,279</w:t>
            </w:r>
          </w:p>
        </w:tc>
        <w:tc>
          <w:tcPr>
            <w:tcW w:w="20" w:type="dxa"/>
            <w:vAlign w:val="bottom"/>
            <w:shd w:val="clear" w:color="auto" w:fill="CCEEFF"/>
          </w:tcPr>
          <w:p>
            <w:pPr>
              <w:spacing w:after="0"/>
              <w:rPr>
                <w:sz w:val="11"/>
                <w:szCs w:val="11"/>
                <w:color w:val="auto"/>
              </w:rPr>
            </w:pPr>
          </w:p>
        </w:tc>
      </w:tr>
      <w:tr>
        <w:trPr>
          <w:trHeight w:val="149"/>
        </w:trPr>
        <w:tc>
          <w:tcPr>
            <w:tcW w:w="3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Income tax expense</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1,858</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1,751</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2,088</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1,263</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1,498</w:t>
            </w:r>
          </w:p>
        </w:tc>
        <w:tc>
          <w:tcPr>
            <w:tcW w:w="20" w:type="dxa"/>
            <w:vAlign w:val="bottom"/>
          </w:tcPr>
          <w:p>
            <w:pPr>
              <w:spacing w:after="0"/>
              <w:rPr>
                <w:sz w:val="12"/>
                <w:szCs w:val="12"/>
                <w:color w:val="auto"/>
              </w:rPr>
            </w:pPr>
          </w:p>
        </w:tc>
      </w:tr>
      <w:tr>
        <w:trPr>
          <w:trHeight w:val="129"/>
        </w:trPr>
        <w:tc>
          <w:tcPr>
            <w:tcW w:w="3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4,854</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5,650</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6,593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4,053</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4,781</w:t>
            </w:r>
          </w:p>
        </w:tc>
        <w:tc>
          <w:tcPr>
            <w:tcW w:w="20" w:type="dxa"/>
            <w:vAlign w:val="bottom"/>
            <w:shd w:val="clear" w:color="auto" w:fill="CCEEFF"/>
          </w:tcPr>
          <w:p>
            <w:pPr>
              <w:spacing w:after="0"/>
              <w:rPr>
                <w:sz w:val="11"/>
                <w:szCs w:val="11"/>
                <w:color w:val="auto"/>
              </w:rPr>
            </w:pPr>
          </w:p>
        </w:tc>
      </w:tr>
      <w:tr>
        <w:trPr>
          <w:trHeight w:val="160"/>
        </w:trPr>
        <w:tc>
          <w:tcPr>
            <w:tcW w:w="3240" w:type="dxa"/>
            <w:vAlign w:val="bottom"/>
          </w:tcPr>
          <w:p>
            <w:pPr>
              <w:ind w:left="100"/>
              <w:spacing w:after="0"/>
              <w:rPr>
                <w:sz w:val="20"/>
                <w:szCs w:val="20"/>
                <w:color w:val="auto"/>
              </w:rPr>
            </w:pPr>
            <w:r>
              <w:rPr>
                <w:rFonts w:ascii="Arial" w:cs="Arial" w:eastAsia="Arial" w:hAnsi="Arial"/>
                <w:sz w:val="11"/>
                <w:szCs w:val="11"/>
                <w:color w:val="auto"/>
              </w:rPr>
              <w:t>Preferred stock dividend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754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781</w:t>
            </w:r>
          </w:p>
        </w:tc>
        <w:tc>
          <w:tcPr>
            <w:tcW w:w="20" w:type="dxa"/>
            <w:vAlign w:val="bottom"/>
          </w:tcPr>
          <w:p>
            <w:pPr>
              <w:spacing w:after="0"/>
              <w:rPr>
                <w:sz w:val="13"/>
                <w:szCs w:val="13"/>
                <w:color w:val="auto"/>
              </w:rPr>
            </w:pPr>
          </w:p>
        </w:tc>
      </w:tr>
      <w:tr>
        <w:trPr>
          <w:trHeight w:val="13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Exchange and redemption of preferred shares</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89,585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r>
      <w:tr>
        <w:trPr>
          <w:trHeight w:val="180"/>
        </w:trPr>
        <w:tc>
          <w:tcPr>
            <w:tcW w:w="3240" w:type="dxa"/>
            <w:vAlign w:val="bottom"/>
          </w:tcPr>
          <w:p>
            <w:pPr>
              <w:ind w:left="200"/>
              <w:spacing w:after="0"/>
              <w:rPr>
                <w:sz w:val="20"/>
                <w:szCs w:val="20"/>
                <w:color w:val="auto"/>
              </w:rPr>
            </w:pPr>
            <w:r>
              <w:rPr>
                <w:rFonts w:ascii="Arial" w:cs="Arial" w:eastAsia="Arial" w:hAnsi="Arial"/>
                <w:sz w:val="11"/>
                <w:szCs w:val="11"/>
                <w:color w:val="auto"/>
              </w:rPr>
              <w:t>Net income (loss) available to common stockholders</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4,854</w:t>
            </w:r>
          </w:p>
        </w:tc>
        <w:tc>
          <w:tcPr>
            <w:tcW w:w="20" w:type="dxa"/>
            <w:vAlign w:val="bottom"/>
          </w:tcPr>
          <w:p>
            <w:pPr>
              <w:spacing w:after="0"/>
              <w:rPr>
                <w:sz w:val="15"/>
                <w:szCs w:val="15"/>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5,650</w:t>
            </w:r>
          </w:p>
        </w:tc>
        <w:tc>
          <w:tcPr>
            <w:tcW w:w="20" w:type="dxa"/>
            <w:vAlign w:val="bottom"/>
          </w:tcPr>
          <w:p>
            <w:pPr>
              <w:spacing w:after="0"/>
              <w:rPr>
                <w:sz w:val="15"/>
                <w:szCs w:val="15"/>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(83,534)</w:t>
            </w: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3,299</w:t>
            </w:r>
          </w:p>
        </w:tc>
        <w:tc>
          <w:tcPr>
            <w:tcW w:w="20" w:type="dxa"/>
            <w:vAlign w:val="bottom"/>
          </w:tcPr>
          <w:p>
            <w:pPr>
              <w:spacing w:after="0"/>
              <w:rPr>
                <w:sz w:val="15"/>
                <w:szCs w:val="15"/>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4,000</w:t>
            </w:r>
          </w:p>
        </w:tc>
        <w:tc>
          <w:tcPr>
            <w:tcW w:w="20" w:type="dxa"/>
            <w:vAlign w:val="bottom"/>
          </w:tcPr>
          <w:p>
            <w:pPr>
              <w:spacing w:after="0"/>
              <w:rPr>
                <w:sz w:val="15"/>
                <w:szCs w:val="15"/>
                <w:color w:val="auto"/>
              </w:rPr>
            </w:pPr>
          </w:p>
        </w:tc>
      </w:tr>
      <w:tr>
        <w:trPr>
          <w:trHeight w:val="121"/>
        </w:trPr>
        <w:tc>
          <w:tcPr>
            <w:tcW w:w="324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 xml:space="preserve">Allocation of net income (loss) per common stock class: </w:t>
            </w:r>
            <w:r>
              <w:rPr>
                <w:rFonts w:ascii="Arial" w:cs="Arial" w:eastAsia="Arial" w:hAnsi="Arial"/>
                <w:sz w:val="14"/>
                <w:szCs w:val="14"/>
                <w:color w:val="auto"/>
                <w:vertAlign w:val="superscript"/>
              </w:rPr>
              <w:t>(1)</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49"/>
        </w:trPr>
        <w:tc>
          <w:tcPr>
            <w:tcW w:w="3240" w:type="dxa"/>
            <w:vAlign w:val="bottom"/>
          </w:tcPr>
          <w:p>
            <w:pPr>
              <w:ind w:left="200"/>
              <w:spacing w:after="0"/>
              <w:rPr>
                <w:sz w:val="20"/>
                <w:szCs w:val="20"/>
                <w:color w:val="auto"/>
              </w:rPr>
            </w:pPr>
            <w:r>
              <w:rPr>
                <w:rFonts w:ascii="Arial" w:cs="Arial" w:eastAsia="Arial" w:hAnsi="Arial"/>
                <w:sz w:val="11"/>
                <w:szCs w:val="11"/>
                <w:color w:val="auto"/>
              </w:rPr>
              <w:t>Class A</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4,854</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5,650</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(77,278)</w:t>
            </w: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2,509</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3,042</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Class B</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(6,256)</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790</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958</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1"/>
                <w:szCs w:val="11"/>
                <w:b w:val="1"/>
                <w:bCs w:val="1"/>
                <w:color w:val="auto"/>
              </w:rPr>
              <w:t>Per share information: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line="139" w:lineRule="exact"/>
              <w:rPr>
                <w:sz w:val="20"/>
                <w:szCs w:val="20"/>
                <w:color w:val="auto"/>
              </w:rPr>
            </w:pPr>
            <w:r>
              <w:rPr>
                <w:rFonts w:ascii="Arial" w:cs="Arial" w:eastAsia="Arial" w:hAnsi="Arial"/>
                <w:sz w:val="11"/>
                <w:szCs w:val="11"/>
                <w:color w:val="auto"/>
              </w:rPr>
              <w:t xml:space="preserve">Class A common stock </w:t>
            </w:r>
            <w:r>
              <w:rPr>
                <w:rFonts w:ascii="Arial" w:cs="Arial" w:eastAsia="Arial" w:hAnsi="Arial"/>
                <w:sz w:val="14"/>
                <w:szCs w:val="14"/>
                <w:color w:val="auto"/>
                <w:vertAlign w:val="superscript"/>
              </w:rPr>
              <w:t>(2)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200"/>
              <w:spacing w:after="0"/>
              <w:rPr>
                <w:sz w:val="20"/>
                <w:szCs w:val="20"/>
                <w:color w:val="auto"/>
              </w:rPr>
            </w:pPr>
            <w:r>
              <w:rPr>
                <w:rFonts w:ascii="Arial" w:cs="Arial" w:eastAsia="Arial" w:hAnsi="Arial"/>
                <w:sz w:val="11"/>
                <w:szCs w:val="11"/>
                <w:color w:val="auto"/>
              </w:rPr>
              <w:t>Net income (loss) per share, basic</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0.24</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0.30</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(5.11)</w:t>
            </w: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0.65</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0.78</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(loss) per share, diluted</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0.24</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0.30</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(5.11)</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0.64</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0.78</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Class B common 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(loss) per share, basic</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0.16</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200"/>
              <w:spacing w:after="0"/>
              <w:rPr>
                <w:sz w:val="20"/>
                <w:szCs w:val="20"/>
                <w:color w:val="auto"/>
              </w:rPr>
            </w:pPr>
            <w:r>
              <w:rPr>
                <w:rFonts w:ascii="Arial" w:cs="Arial" w:eastAsia="Arial" w:hAnsi="Arial"/>
                <w:sz w:val="11"/>
                <w:szCs w:val="11"/>
                <w:color w:val="auto"/>
              </w:rPr>
              <w:t>Net income (loss) per share, diluted</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(1.02)</w:t>
            </w: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0.13</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0.16</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Sheet Data (at period-end):</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Cash and cash equivalents</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94,113</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46,228</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69,597</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47,117</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105,940</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Securities available-for-sale</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392,214</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401,542</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328,171</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395,804</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341,344</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Securities held-to-maturity</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122,361</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122,658</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99,866</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securities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514,575</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524,200</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428,037</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395,804</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341,344</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line="149" w:lineRule="exact"/>
              <w:rPr>
                <w:sz w:val="20"/>
                <w:szCs w:val="20"/>
                <w:color w:val="auto"/>
              </w:rPr>
            </w:pPr>
            <w:r>
              <w:rPr>
                <w:rFonts w:ascii="Arial" w:cs="Arial" w:eastAsia="Arial" w:hAnsi="Arial"/>
                <w:sz w:val="11"/>
                <w:szCs w:val="11"/>
                <w:color w:val="auto"/>
              </w:rPr>
              <w:t xml:space="preserve">Loans held for investment </w:t>
            </w:r>
            <w:r>
              <w:rPr>
                <w:rFonts w:ascii="Arial" w:cs="Arial" w:eastAsia="Arial" w:hAnsi="Arial"/>
                <w:sz w:val="14"/>
                <w:szCs w:val="14"/>
                <w:color w:val="auto"/>
                <w:vertAlign w:val="superscript"/>
              </w:rPr>
              <w:t>(3)</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1,258,388</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1,190,081</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1,176,412</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1,145,095</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1,103,981</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Allowance for credit losses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(15,074)</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(15,057)</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(14,900)</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(14,848)</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(15,009)</w:t>
            </w: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Total assets</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1,967,252</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1,853,939</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1,755,011</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1,667,005</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1,633,359</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Non-interest-bearing deposits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656,622</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605,425</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570,091</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555,993</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516,550</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Interest-bearing deposits</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1,056,672</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984,954</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914,498</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882,783</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887,681</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deposits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1,713,294</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1,590,379</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1,484,589</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1,438,776</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1,404,231</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Federal Home Loan Bank advances and other borrowings</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36,000</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36,000</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36,000</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36,000</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36,000</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liabilities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1,775,213</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1,650,042</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1,553,093</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1,500,703</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1,462,934</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Total stockholders' equity</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192,039</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203,897</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201,918</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166,302</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170,425</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Capital ratios:</w:t>
            </w:r>
            <w:r>
              <w:rPr>
                <w:rFonts w:ascii="Arial" w:cs="Arial" w:eastAsia="Arial" w:hAnsi="Arial"/>
                <w:sz w:val="14"/>
                <w:szCs w:val="14"/>
                <w:color w:val="auto"/>
                <w:vertAlign w:val="superscript"/>
              </w:rPr>
              <w:t>(4)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Leverage ratio</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9.47%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9.55%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9.69%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7.91%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8.57%</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Common equity tier 1 capital</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9.47%</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Tier 1 risk-based capital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13.35%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13.70%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13.85%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11.44%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12.54%</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risk-based capital</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13.80%</w:t>
            </w:r>
          </w:p>
        </w:tc>
        <w:tc>
          <w:tcPr>
            <w:tcW w:w="20" w:type="dxa"/>
            <w:vAlign w:val="bottom"/>
            <w:shd w:val="clear" w:color="auto" w:fill="CCEEFF"/>
          </w:tcPr>
          <w:p>
            <w:pPr>
              <w:spacing w:after="0"/>
              <w:rPr>
                <w:sz w:val="12"/>
                <w:szCs w:val="12"/>
                <w:color w:val="auto"/>
              </w:rPr>
            </w:pPr>
          </w:p>
        </w:tc>
      </w:tr>
    </w:tbl>
    <w:p>
      <w:pPr>
        <w:spacing w:after="0" w:line="112" w:lineRule="exact"/>
        <w:rPr>
          <w:sz w:val="20"/>
          <w:szCs w:val="20"/>
          <w:color w:val="auto"/>
        </w:rPr>
      </w:pPr>
    </w:p>
    <w:p>
      <w:pPr>
        <w:ind w:left="660" w:right="779" w:firstLine="3"/>
        <w:spacing w:after="0" w:line="256" w:lineRule="auto"/>
        <w:tabs>
          <w:tab w:leader="none" w:pos="851"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allocation of net income (loss) available to common stockholders was based on the weighted average shares outstanding per common share class to the total weighted average shares outstanding during each period. The income (loss) allocation is calculated using the weighted average shares outstanding of Class B common stock on a as-converted basis (20% per share equivalent to Class A common stock).</w:t>
      </w:r>
    </w:p>
    <w:p>
      <w:pPr>
        <w:ind w:left="860" w:hanging="197"/>
        <w:spacing w:after="0"/>
        <w:tabs>
          <w:tab w:leader="none" w:pos="8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quarters ended June 30, 2021 and prior were all adjusted for the 1 for 5 reverse stock split.</w:t>
      </w:r>
    </w:p>
    <w:p>
      <w:pPr>
        <w:spacing w:after="0" w:line="23" w:lineRule="exact"/>
        <w:rPr>
          <w:rFonts w:ascii="Arial" w:cs="Arial" w:eastAsia="Arial" w:hAnsi="Arial"/>
          <w:sz w:val="11"/>
          <w:szCs w:val="11"/>
          <w:color w:val="auto"/>
        </w:rPr>
      </w:pPr>
    </w:p>
    <w:p>
      <w:pPr>
        <w:ind w:left="860" w:hanging="197"/>
        <w:spacing w:after="0"/>
        <w:tabs>
          <w:tab w:leader="none" w:pos="8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Loan amounts include deferred fees/costs.</w:t>
      </w:r>
    </w:p>
    <w:p>
      <w:pPr>
        <w:spacing w:after="0" w:line="33" w:lineRule="exact"/>
        <w:rPr>
          <w:rFonts w:ascii="Arial" w:cs="Arial" w:eastAsia="Arial" w:hAnsi="Arial"/>
          <w:sz w:val="11"/>
          <w:szCs w:val="11"/>
          <w:color w:val="auto"/>
        </w:rPr>
      </w:pPr>
    </w:p>
    <w:p>
      <w:pPr>
        <w:ind w:left="660" w:right="1019" w:firstLine="3"/>
        <w:spacing w:after="0" w:line="279" w:lineRule="auto"/>
        <w:tabs>
          <w:tab w:leader="none" w:pos="851"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Bank Holding Company was formed during the quarter ended December 31, 2021. As such, the capital ratios for Q1 2022 and Q4 2021 are for the Bank Holding Company and for Q3 2021 and prior are for the Bank.</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762"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AVERAGE BALANCES, RATIOS, AND OTHER (UNAUDITED)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35"/>
        </w:trPr>
        <w:tc>
          <w:tcPr>
            <w:tcW w:w="3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9"/>
          </w:tcPr>
          <w:p>
            <w:pPr>
              <w:jc w:val="right"/>
              <w:ind w:right="363"/>
              <w:spacing w:after="0"/>
              <w:rPr>
                <w:sz w:val="20"/>
                <w:szCs w:val="20"/>
                <w:color w:val="auto"/>
              </w:rPr>
            </w:pPr>
            <w:r>
              <w:rPr>
                <w:rFonts w:ascii="Arial" w:cs="Arial" w:eastAsia="Arial" w:hAnsi="Arial"/>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3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3"/>
              </w:rPr>
              <w:t>3/31/2022</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0"/>
              </w:rPr>
              <w:t>12/31/2021</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9/30/2021</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3"/>
              </w:rPr>
              <w:t>6/30/2021</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3"/>
              </w:rPr>
              <w:t>3/31/2021</w:t>
            </w:r>
          </w:p>
        </w:tc>
        <w:tc>
          <w:tcPr>
            <w:tcW w:w="20" w:type="dxa"/>
            <w:vAlign w:val="bottom"/>
          </w:tcPr>
          <w:p>
            <w:pPr>
              <w:spacing w:after="0"/>
              <w:rPr>
                <w:sz w:val="11"/>
                <w:szCs w:val="11"/>
                <w:color w:val="auto"/>
              </w:rPr>
            </w:pPr>
          </w:p>
        </w:tc>
      </w:tr>
      <w:tr>
        <w:trPr>
          <w:trHeight w:val="149"/>
        </w:trPr>
        <w:tc>
          <w:tcPr>
            <w:tcW w:w="3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Average balance sheet data:</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99,911</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87,819</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116,622</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108,028</w:t>
            </w:r>
          </w:p>
        </w:tc>
        <w:tc>
          <w:tcPr>
            <w:tcW w:w="24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86,157</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Securities available-for-sale</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385,748</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374,589</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346,407</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382,990</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334,723</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Securities held-to-maturity</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122,381</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114,108</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51,238</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508,129</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488,697</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397,645</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382,990</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334,723</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line="149" w:lineRule="exact"/>
              <w:rPr>
                <w:sz w:val="20"/>
                <w:szCs w:val="20"/>
                <w:color w:val="auto"/>
              </w:rPr>
            </w:pPr>
            <w:r>
              <w:rPr>
                <w:rFonts w:ascii="Arial" w:cs="Arial" w:eastAsia="Arial" w:hAnsi="Arial"/>
                <w:sz w:val="11"/>
                <w:szCs w:val="11"/>
                <w:color w:val="auto"/>
              </w:rPr>
              <w:t>Loans held for investment</w:t>
            </w:r>
            <w:r>
              <w:rPr>
                <w:rFonts w:ascii="Arial" w:cs="Arial" w:eastAsia="Arial" w:hAnsi="Arial"/>
                <w:sz w:val="14"/>
                <w:szCs w:val="14"/>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1,211,432</w:t>
            </w:r>
          </w:p>
        </w:tc>
        <w:tc>
          <w:tcPr>
            <w:tcW w:w="20" w:type="dxa"/>
            <w:vAlign w:val="bottom"/>
          </w:tcPr>
          <w:p>
            <w:pPr>
              <w:spacing w:after="0"/>
              <w:rPr>
                <w:sz w:val="12"/>
                <w:szCs w:val="1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1,158,755</w:t>
            </w:r>
          </w:p>
        </w:tc>
        <w:tc>
          <w:tcPr>
            <w:tcW w:w="20" w:type="dxa"/>
            <w:vAlign w:val="bottom"/>
          </w:tcPr>
          <w:p>
            <w:pPr>
              <w:spacing w:after="0"/>
              <w:rPr>
                <w:sz w:val="12"/>
                <w:szCs w:val="1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1,144,275</w:t>
            </w:r>
          </w:p>
        </w:tc>
        <w:tc>
          <w:tcPr>
            <w:tcW w:w="20" w:type="dxa"/>
            <w:vAlign w:val="bottom"/>
          </w:tcPr>
          <w:p>
            <w:pPr>
              <w:spacing w:after="0"/>
              <w:rPr>
                <w:sz w:val="12"/>
                <w:szCs w:val="1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1,088,492</w:t>
            </w:r>
          </w:p>
        </w:tc>
        <w:tc>
          <w:tcPr>
            <w:tcW w:w="24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1,071,782</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1,913,484</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1,828,037</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1,741,423</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1,660,060</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1,573,881</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Interest-bearing deposits</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1,023,844</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958,241</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912,330</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896,271</w:t>
            </w:r>
          </w:p>
        </w:tc>
        <w:tc>
          <w:tcPr>
            <w:tcW w:w="24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861,300</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Non-interest-bearing deposits</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626,400</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603,735</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564,928</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535,894</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482,376</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Total deposits</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1,650,244</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1,561,976</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1,477,258</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1,432,165</w:t>
            </w:r>
          </w:p>
        </w:tc>
        <w:tc>
          <w:tcPr>
            <w:tcW w:w="24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1,343,676</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Federal Home Loan Bank advances and other borrowings</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36,011</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36,000</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36,000</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36,000</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36,000</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Total liabilities</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1,711,624</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1,625,675</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1,546,414</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1,493,129</w:t>
            </w:r>
          </w:p>
        </w:tc>
        <w:tc>
          <w:tcPr>
            <w:tcW w:w="24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1,402,305</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stockholders' equity</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201,860</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202,362</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195,009</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166,931</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171,576</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spacing w:after="0"/>
              <w:rPr>
                <w:sz w:val="20"/>
                <w:szCs w:val="20"/>
                <w:color w:val="auto"/>
              </w:rPr>
            </w:pPr>
            <w:r>
              <w:rPr>
                <w:rFonts w:ascii="Arial" w:cs="Arial" w:eastAsia="Arial" w:hAnsi="Arial"/>
                <w:sz w:val="11"/>
                <w:szCs w:val="11"/>
                <w:b w:val="1"/>
                <w:bCs w:val="1"/>
                <w:color w:val="auto"/>
              </w:rPr>
              <w:t>Performance ratios:</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Return on average assets </w:t>
            </w:r>
            <w:r>
              <w:rPr>
                <w:rFonts w:ascii="Arial" w:cs="Arial" w:eastAsia="Arial" w:hAnsi="Arial"/>
                <w:sz w:val="14"/>
                <w:szCs w:val="14"/>
                <w:color w:val="auto"/>
                <w:vertAlign w:val="superscript"/>
              </w:rPr>
              <w:t>(2)</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line="149" w:lineRule="exact"/>
              <w:rPr>
                <w:sz w:val="20"/>
                <w:szCs w:val="20"/>
                <w:color w:val="auto"/>
              </w:rPr>
            </w:pPr>
            <w:r>
              <w:rPr>
                <w:rFonts w:ascii="Arial" w:cs="Arial" w:eastAsia="Arial" w:hAnsi="Arial"/>
                <w:sz w:val="11"/>
                <w:szCs w:val="11"/>
                <w:color w:val="auto"/>
              </w:rPr>
              <w:t xml:space="preserve">Return on average equity </w:t>
            </w:r>
            <w:r>
              <w:rPr>
                <w:rFonts w:ascii="Arial" w:cs="Arial" w:eastAsia="Arial" w:hAnsi="Arial"/>
                <w:sz w:val="14"/>
                <w:szCs w:val="14"/>
                <w:color w:val="auto"/>
                <w:vertAlign w:val="superscript"/>
              </w:rPr>
              <w:t>(2)</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9.75%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11.08%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13.41%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9.74%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11.30%</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4"/>
                <w:szCs w:val="14"/>
                <w:color w:val="auto"/>
                <w:vertAlign w:val="superscript"/>
              </w:rPr>
              <w:t>(2)</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3.35%</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 xml:space="preserve">Non-interest income to average assets </w:t>
            </w:r>
            <w:r>
              <w:rPr>
                <w:rFonts w:ascii="Arial" w:cs="Arial" w:eastAsia="Arial" w:hAnsi="Arial"/>
                <w:sz w:val="14"/>
                <w:szCs w:val="14"/>
                <w:color w:val="auto"/>
                <w:vertAlign w:val="superscript"/>
              </w:rPr>
              <w:t>(2)</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0.41%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0.57%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0.96%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0.37%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0.60%</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Efficiency ratio </w:t>
            </w:r>
            <w:r>
              <w:rPr>
                <w:rFonts w:ascii="Arial" w:cs="Arial" w:eastAsia="Arial" w:hAnsi="Arial"/>
                <w:sz w:val="14"/>
                <w:szCs w:val="14"/>
                <w:color w:val="auto"/>
                <w:vertAlign w:val="superscript"/>
              </w:rPr>
              <w:t>(3)</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58.88%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55.74%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50.92%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58.64%</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spacing w:after="0"/>
              <w:rPr>
                <w:sz w:val="20"/>
                <w:szCs w:val="20"/>
                <w:color w:val="auto"/>
              </w:rPr>
            </w:pPr>
            <w:r>
              <w:rPr>
                <w:rFonts w:ascii="Arial" w:cs="Arial" w:eastAsia="Arial" w:hAnsi="Arial"/>
                <w:sz w:val="11"/>
                <w:szCs w:val="11"/>
                <w:b w:val="1"/>
                <w:bCs w:val="1"/>
                <w:color w:val="auto"/>
              </w:rPr>
              <w:t xml:space="preserve">Loans by type (at period end): </w:t>
            </w:r>
            <w:r>
              <w:rPr>
                <w:rFonts w:ascii="Arial" w:cs="Arial" w:eastAsia="Arial" w:hAnsi="Arial"/>
                <w:sz w:val="14"/>
                <w:szCs w:val="14"/>
                <w:color w:val="auto"/>
                <w:vertAlign w:val="superscript"/>
              </w:rPr>
              <w:t>(4)</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Residential real estate</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204,317</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201,359</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201,124</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213,575</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231,554</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Commercial real estate</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782,072</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704,988</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693,469</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673,944</w:t>
            </w:r>
          </w:p>
        </w:tc>
        <w:tc>
          <w:tcPr>
            <w:tcW w:w="24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650,762</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Commercial and industrial</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134,832</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146,592</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137,486</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155,440</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174,546</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Foreign banks</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63,985</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59,491</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58,839</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62,042</w:t>
            </w:r>
          </w:p>
        </w:tc>
        <w:tc>
          <w:tcPr>
            <w:tcW w:w="24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45,659</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Consumer and other</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73,765</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79,229</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87,515</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43,979</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5,627</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spacing w:after="0"/>
              <w:rPr>
                <w:sz w:val="20"/>
                <w:szCs w:val="20"/>
                <w:color w:val="auto"/>
              </w:rPr>
            </w:pPr>
            <w:r>
              <w:rPr>
                <w:rFonts w:ascii="Arial" w:cs="Arial" w:eastAsia="Arial" w:hAnsi="Arial"/>
                <w:sz w:val="11"/>
                <w:szCs w:val="11"/>
                <w:b w:val="1"/>
                <w:bCs w:val="1"/>
                <w:color w:val="auto"/>
              </w:rPr>
              <w:t>Asset quality data:</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Allowance for credit losses to total loans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Allowance for credit losses to non-performing loans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1,265%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82,778%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74,240%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2,214%</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Non-accrual loans less non-accrual TDRs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Non-accrual TDRs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450</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Loans- over 90 days past due and accruing</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Total non-performing loans</w:t>
            </w:r>
            <w:r>
              <w:rPr>
                <w:rFonts w:ascii="Arial" w:cs="Arial" w:eastAsia="Arial" w:hAnsi="Arial"/>
                <w:sz w:val="14"/>
                <w:szCs w:val="14"/>
                <w:color w:val="auto"/>
                <w:vertAlign w:val="superscript"/>
              </w:rPr>
              <w:t>(5)</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1,190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678</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Non-performing loans to total loans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0.06%</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Non-performing assets to total assets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0.06%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0.04%</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Net charge-offs (recoveries of) to average loans </w:t>
            </w:r>
            <w:r>
              <w:rPr>
                <w:rFonts w:ascii="Arial" w:cs="Arial" w:eastAsia="Arial" w:hAnsi="Arial"/>
                <w:sz w:val="14"/>
                <w:szCs w:val="14"/>
                <w:color w:val="auto"/>
                <w:vertAlign w:val="superscript"/>
              </w:rPr>
              <w:t>(2)</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(0.03)%</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rPr>
                <w:sz w:val="20"/>
                <w:szCs w:val="20"/>
                <w:color w:val="auto"/>
              </w:rPr>
            </w:pPr>
            <w:r>
              <w:rPr>
                <w:rFonts w:ascii="Arial" w:cs="Arial" w:eastAsia="Arial" w:hAnsi="Arial"/>
                <w:sz w:val="11"/>
                <w:szCs w:val="11"/>
                <w:color w:val="auto"/>
              </w:rPr>
              <w:t>Net charge-offs (recovery of) credit losses</w:t>
            </w:r>
          </w:p>
        </w:tc>
        <w:tc>
          <w:tcPr>
            <w:tcW w:w="20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(157)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1"/>
                <w:szCs w:val="11"/>
                <w:color w:val="auto"/>
              </w:rPr>
              <w:t>(83)</w:t>
            </w:r>
          </w:p>
        </w:tc>
      </w:tr>
      <w:tr>
        <w:trPr>
          <w:trHeight w:val="160"/>
        </w:trPr>
        <w:tc>
          <w:tcPr>
            <w:tcW w:w="3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Interest rates and yields:</w:t>
            </w:r>
            <w:r>
              <w:rPr>
                <w:rFonts w:ascii="Arial" w:cs="Arial" w:eastAsia="Arial" w:hAnsi="Arial"/>
                <w:sz w:val="14"/>
                <w:szCs w:val="14"/>
                <w:color w:val="auto"/>
                <w:vertAlign w:val="superscript"/>
              </w:rPr>
              <w:t>(2)</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Loans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4.35%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4.32%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4.29%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4.19%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4.43%</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 securities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Total interest-earning assets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3.43%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3.69%</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Deposits</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0.34%</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Borrowings and repurchase agreements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1.52%</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interest-bearing liabilities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0.57%</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spacing w:after="0"/>
              <w:rPr>
                <w:sz w:val="20"/>
                <w:szCs w:val="20"/>
                <w:color w:val="auto"/>
              </w:rPr>
            </w:pPr>
            <w:r>
              <w:rPr>
                <w:rFonts w:ascii="Arial" w:cs="Arial" w:eastAsia="Arial" w:hAnsi="Arial"/>
                <w:sz w:val="11"/>
                <w:szCs w:val="11"/>
                <w:b w:val="1"/>
                <w:bCs w:val="1"/>
                <w:color w:val="auto"/>
              </w:rPr>
              <w:t>Other information:</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Full-time equivalent employees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w:t>
            </w:r>
          </w:p>
        </w:tc>
        <w:tc>
          <w:tcPr>
            <w:tcW w:w="20" w:type="dxa"/>
            <w:vAlign w:val="bottom"/>
            <w:shd w:val="clear" w:color="auto" w:fill="CCEEFF"/>
          </w:tcPr>
          <w:p>
            <w:pPr>
              <w:spacing w:after="0"/>
              <w:rPr>
                <w:sz w:val="13"/>
                <w:szCs w:val="13"/>
                <w:color w:val="auto"/>
              </w:rPr>
            </w:pPr>
          </w:p>
        </w:tc>
      </w:tr>
    </w:tbl>
    <w:p>
      <w:pPr>
        <w:spacing w:after="0" w:line="155" w:lineRule="exact"/>
        <w:rPr>
          <w:sz w:val="20"/>
          <w:szCs w:val="20"/>
          <w:color w:val="auto"/>
        </w:rPr>
      </w:pPr>
    </w:p>
    <w:p>
      <w:pPr>
        <w:ind w:left="860" w:hanging="197"/>
        <w:spacing w:after="0"/>
        <w:tabs>
          <w:tab w:leader="none" w:pos="8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Loan amounts include deferred fees/costs.</w:t>
      </w:r>
    </w:p>
    <w:p>
      <w:pPr>
        <w:spacing w:after="0" w:line="22" w:lineRule="exact"/>
        <w:rPr>
          <w:rFonts w:ascii="Arial" w:cs="Arial" w:eastAsia="Arial" w:hAnsi="Arial"/>
          <w:sz w:val="11"/>
          <w:szCs w:val="11"/>
          <w:color w:val="auto"/>
        </w:rPr>
      </w:pPr>
    </w:p>
    <w:p>
      <w:pPr>
        <w:ind w:left="860" w:hanging="197"/>
        <w:spacing w:after="0"/>
        <w:tabs>
          <w:tab w:leader="none" w:pos="8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Annualized.</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Efficiency ratio is defined as total non-interest expense divided by sum of net interest income and total non-interest income.</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Loan amounts exclude deferred fees/costs.</w:t>
      </w:r>
    </w:p>
    <w:p>
      <w:pPr>
        <w:spacing w:after="0" w:line="33" w:lineRule="exact"/>
        <w:rPr>
          <w:rFonts w:ascii="Arial" w:cs="Arial" w:eastAsia="Arial" w:hAnsi="Arial"/>
          <w:sz w:val="11"/>
          <w:szCs w:val="11"/>
          <w:color w:val="auto"/>
        </w:rPr>
      </w:pPr>
    </w:p>
    <w:p>
      <w:pPr>
        <w:ind w:left="660" w:right="899" w:firstLine="3"/>
        <w:spacing w:after="0" w:line="279" w:lineRule="auto"/>
        <w:tabs>
          <w:tab w:leader="none" w:pos="851"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amounts for total non-performing loans and total non-performing assets are the same for the periods presented since there were no impaired investments or other real estate owned (OREO)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762"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NET INTEREST MARGIN (UNAUDITED)</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w:t>
      </w:r>
    </w:p>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26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9"/>
          </w:tcPr>
          <w:p>
            <w:pPr>
              <w:jc w:val="right"/>
              <w:ind w:right="23"/>
              <w:spacing w:after="0"/>
              <w:rPr>
                <w:sz w:val="20"/>
                <w:szCs w:val="20"/>
                <w:color w:val="auto"/>
              </w:rPr>
            </w:pPr>
            <w:r>
              <w:rPr>
                <w:rFonts w:ascii="Arial" w:cs="Arial" w:eastAsia="Arial" w:hAnsi="Arial"/>
                <w:sz w:val="11"/>
                <w:szCs w:val="11"/>
                <w:b w:val="1"/>
                <w:bCs w:val="1"/>
                <w:color w:val="auto"/>
                <w:w w:val="97"/>
              </w:rPr>
              <w:t>Three Months Ended March 31,</w:t>
            </w: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72"/>
        </w:trPr>
        <w:tc>
          <w:tcPr>
            <w:tcW w:w="26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2022</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2021</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2"/>
        </w:trPr>
        <w:tc>
          <w:tcPr>
            <w:tcW w:w="2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63"/>
              <w:spacing w:after="0" w:line="122" w:lineRule="exact"/>
              <w:rPr>
                <w:sz w:val="20"/>
                <w:szCs w:val="20"/>
                <w:color w:val="auto"/>
              </w:rPr>
            </w:pPr>
            <w:r>
              <w:rPr>
                <w:rFonts w:ascii="Arial" w:cs="Arial" w:eastAsia="Arial" w:hAnsi="Arial"/>
                <w:sz w:val="11"/>
                <w:szCs w:val="11"/>
                <w:b w:val="1"/>
                <w:bCs w:val="1"/>
                <w:color w:val="auto"/>
              </w:rPr>
              <w:t>Average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63"/>
              <w:spacing w:after="0" w:line="122" w:lineRule="exact"/>
              <w:rPr>
                <w:sz w:val="20"/>
                <w:szCs w:val="20"/>
                <w:color w:val="auto"/>
              </w:rPr>
            </w:pPr>
            <w:r>
              <w:rPr>
                <w:rFonts w:ascii="Arial" w:cs="Arial" w:eastAsia="Arial" w:hAnsi="Arial"/>
                <w:sz w:val="11"/>
                <w:szCs w:val="11"/>
                <w:b w:val="1"/>
                <w:bCs w:val="1"/>
                <w:color w:val="auto"/>
              </w:rPr>
              <w:t>Average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262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63"/>
              <w:spacing w:after="0" w:line="125" w:lineRule="exact"/>
              <w:rPr>
                <w:sz w:val="20"/>
                <w:szCs w:val="20"/>
                <w:color w:val="auto"/>
              </w:rPr>
            </w:pPr>
            <w:r>
              <w:rPr>
                <w:rFonts w:ascii="Arial" w:cs="Arial" w:eastAsia="Arial" w:hAnsi="Arial"/>
                <w:sz w:val="11"/>
                <w:szCs w:val="11"/>
                <w:b w:val="1"/>
                <w:bCs w:val="1"/>
                <w:color w:val="auto"/>
              </w:rPr>
              <w:t>Balance</w:t>
            </w:r>
          </w:p>
        </w:tc>
        <w:tc>
          <w:tcPr>
            <w:tcW w:w="20" w:type="dxa"/>
            <w:vAlign w:val="bottom"/>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ind w:left="40"/>
              <w:spacing w:after="0" w:line="125" w:lineRule="exact"/>
              <w:rPr>
                <w:sz w:val="20"/>
                <w:szCs w:val="20"/>
                <w:color w:val="auto"/>
              </w:rPr>
            </w:pPr>
            <w:r>
              <w:rPr>
                <w:rFonts w:ascii="Arial" w:cs="Arial" w:eastAsia="Arial" w:hAnsi="Arial"/>
                <w:sz w:val="11"/>
                <w:szCs w:val="11"/>
                <w:b w:val="1"/>
                <w:bCs w:val="1"/>
                <w:color w:val="auto"/>
              </w:rPr>
              <w:t>Interest</w:t>
            </w:r>
          </w:p>
        </w:tc>
        <w:tc>
          <w:tcPr>
            <w:tcW w:w="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gridSpan w:val="2"/>
          </w:tcPr>
          <w:p>
            <w:pPr>
              <w:ind w:left="40"/>
              <w:spacing w:after="0" w:line="125" w:lineRule="exact"/>
              <w:rPr>
                <w:sz w:val="20"/>
                <w:szCs w:val="20"/>
                <w:color w:val="auto"/>
              </w:rPr>
            </w:pPr>
            <w:r>
              <w:rPr>
                <w:rFonts w:ascii="Arial" w:cs="Arial" w:eastAsia="Arial" w:hAnsi="Arial"/>
                <w:sz w:val="11"/>
                <w:szCs w:val="11"/>
                <w:b w:val="1"/>
                <w:bCs w:val="1"/>
                <w:color w:val="auto"/>
                <w:w w:val="94"/>
              </w:rPr>
              <w:t xml:space="preserve">Yield/Rate </w:t>
            </w:r>
            <w:r>
              <w:rPr>
                <w:rFonts w:ascii="Arial" w:cs="Arial" w:eastAsia="Arial" w:hAnsi="Arial"/>
                <w:sz w:val="14"/>
                <w:szCs w:val="14"/>
                <w:color w:val="auto"/>
                <w:w w:val="94"/>
                <w:vertAlign w:val="superscript"/>
              </w:rPr>
              <w:t>(1)</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63"/>
              <w:spacing w:after="0" w:line="125" w:lineRule="exact"/>
              <w:rPr>
                <w:sz w:val="20"/>
                <w:szCs w:val="20"/>
                <w:color w:val="auto"/>
              </w:rPr>
            </w:pPr>
            <w:r>
              <w:rPr>
                <w:rFonts w:ascii="Arial" w:cs="Arial" w:eastAsia="Arial" w:hAnsi="Arial"/>
                <w:sz w:val="11"/>
                <w:szCs w:val="11"/>
                <w:b w:val="1"/>
                <w:bCs w:val="1"/>
                <w:color w:val="auto"/>
              </w:rPr>
              <w:t>Balance</w:t>
            </w:r>
          </w:p>
        </w:tc>
        <w:tc>
          <w:tcPr>
            <w:tcW w:w="20" w:type="dxa"/>
            <w:vAlign w:val="bottom"/>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ind w:left="80"/>
              <w:spacing w:after="0" w:line="125" w:lineRule="exact"/>
              <w:rPr>
                <w:sz w:val="20"/>
                <w:szCs w:val="20"/>
                <w:color w:val="auto"/>
              </w:rPr>
            </w:pPr>
            <w:r>
              <w:rPr>
                <w:rFonts w:ascii="Arial" w:cs="Arial" w:eastAsia="Arial" w:hAnsi="Arial"/>
                <w:sz w:val="11"/>
                <w:szCs w:val="11"/>
                <w:b w:val="1"/>
                <w:bCs w:val="1"/>
                <w:color w:val="auto"/>
              </w:rPr>
              <w:t>Interest</w:t>
            </w:r>
          </w:p>
        </w:tc>
        <w:tc>
          <w:tcPr>
            <w:tcW w:w="20" w:type="dxa"/>
            <w:vAlign w:val="bottom"/>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gridSpan w:val="2"/>
          </w:tcPr>
          <w:p>
            <w:pPr>
              <w:ind w:left="40"/>
              <w:spacing w:after="0" w:line="125" w:lineRule="exact"/>
              <w:rPr>
                <w:sz w:val="20"/>
                <w:szCs w:val="20"/>
                <w:color w:val="auto"/>
              </w:rPr>
            </w:pPr>
            <w:r>
              <w:rPr>
                <w:rFonts w:ascii="Arial" w:cs="Arial" w:eastAsia="Arial" w:hAnsi="Arial"/>
                <w:sz w:val="11"/>
                <w:szCs w:val="11"/>
                <w:b w:val="1"/>
                <w:bCs w:val="1"/>
                <w:color w:val="auto"/>
                <w:w w:val="94"/>
              </w:rPr>
              <w:t xml:space="preserve">Yield/Rate </w:t>
            </w:r>
            <w:r>
              <w:rPr>
                <w:rFonts w:ascii="Arial" w:cs="Arial" w:eastAsia="Arial" w:hAnsi="Arial"/>
                <w:sz w:val="14"/>
                <w:szCs w:val="14"/>
                <w:color w:val="auto"/>
                <w:w w:val="94"/>
                <w:vertAlign w:val="superscript"/>
              </w:rPr>
              <w:t>(1)</w:t>
            </w:r>
          </w:p>
        </w:tc>
        <w:tc>
          <w:tcPr>
            <w:tcW w:w="20" w:type="dxa"/>
            <w:vAlign w:val="bottom"/>
          </w:tcPr>
          <w:p>
            <w:pPr>
              <w:spacing w:after="0"/>
              <w:rPr>
                <w:sz w:val="10"/>
                <w:szCs w:val="10"/>
                <w:color w:val="auto"/>
              </w:rPr>
            </w:pPr>
          </w:p>
        </w:tc>
      </w:tr>
      <w:tr>
        <w:trPr>
          <w:trHeight w:val="181"/>
        </w:trPr>
        <w:tc>
          <w:tcPr>
            <w:tcW w:w="26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92"/>
        </w:trPr>
        <w:tc>
          <w:tcPr>
            <w:tcW w:w="2620" w:type="dxa"/>
            <w:vAlign w:val="bottom"/>
          </w:tcPr>
          <w:p>
            <w:pPr>
              <w:spacing w:after="0"/>
              <w:rPr>
                <w:sz w:val="20"/>
                <w:szCs w:val="20"/>
                <w:color w:val="auto"/>
              </w:rPr>
            </w:pPr>
            <w:r>
              <w:rPr>
                <w:rFonts w:ascii="Arial" w:cs="Arial" w:eastAsia="Arial" w:hAnsi="Arial"/>
                <w:sz w:val="11"/>
                <w:szCs w:val="11"/>
                <w:b w:val="1"/>
                <w:bCs w:val="1"/>
                <w:color w:val="auto"/>
              </w:rPr>
              <w:t>Interest-earning assets: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Loans </w:t>
            </w:r>
            <w:r>
              <w:rPr>
                <w:rFonts w:ascii="Arial" w:cs="Arial" w:eastAsia="Arial" w:hAnsi="Arial"/>
                <w:sz w:val="14"/>
                <w:szCs w:val="14"/>
                <w:color w:val="auto"/>
                <w:vertAlign w:val="superscript"/>
              </w:rPr>
              <w:t>(2)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1,211,432</w:t>
            </w:r>
          </w:p>
        </w:tc>
        <w:tc>
          <w:tcPr>
            <w:tcW w:w="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12,982</w:t>
            </w:r>
          </w:p>
        </w:tc>
        <w:tc>
          <w:tcPr>
            <w:tcW w:w="60" w:type="dxa"/>
            <w:vAlign w:val="bottom"/>
            <w:gridSpan w:val="2"/>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4.35%</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1,071,782</w:t>
            </w: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11,868</w:t>
            </w:r>
          </w:p>
        </w:tc>
        <w:tc>
          <w:tcPr>
            <w:tcW w:w="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4.43%</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2"/>
        </w:trPr>
        <w:tc>
          <w:tcPr>
            <w:tcW w:w="2620" w:type="dxa"/>
            <w:vAlign w:val="bottom"/>
          </w:tcPr>
          <w:p>
            <w:pPr>
              <w:ind w:left="100"/>
              <w:spacing w:after="0"/>
              <w:rPr>
                <w:sz w:val="20"/>
                <w:szCs w:val="20"/>
                <w:color w:val="auto"/>
              </w:rPr>
            </w:pPr>
            <w:r>
              <w:rPr>
                <w:rFonts w:ascii="Arial" w:cs="Arial" w:eastAsia="Arial" w:hAnsi="Arial"/>
                <w:sz w:val="11"/>
                <w:szCs w:val="11"/>
                <w:color w:val="auto"/>
              </w:rPr>
              <w:t xml:space="preserve">Investment securities </w:t>
            </w:r>
            <w:r>
              <w:rPr>
                <w:rFonts w:ascii="Arial" w:cs="Arial" w:eastAsia="Arial" w:hAnsi="Arial"/>
                <w:sz w:val="14"/>
                <w:szCs w:val="14"/>
                <w:color w:val="auto"/>
                <w:vertAlign w:val="superscript"/>
              </w:rPr>
              <w:t>(3)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510,257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2,329</w:t>
            </w:r>
          </w:p>
        </w:tc>
        <w:tc>
          <w:tcPr>
            <w:tcW w:w="740" w:type="dxa"/>
            <w:vAlign w:val="bottom"/>
            <w:gridSpan w:val="4"/>
          </w:tcPr>
          <w:p>
            <w:pPr>
              <w:jc w:val="right"/>
              <w:spacing w:after="0"/>
              <w:rPr>
                <w:sz w:val="20"/>
                <w:szCs w:val="20"/>
                <w:color w:val="auto"/>
              </w:rPr>
            </w:pPr>
            <w:r>
              <w:rPr>
                <w:rFonts w:ascii="Arial" w:cs="Arial" w:eastAsia="Arial" w:hAnsi="Arial"/>
                <w:sz w:val="11"/>
                <w:szCs w:val="11"/>
                <w:color w:val="auto"/>
              </w:rPr>
              <w:t>1.85%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337,434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1,844</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2.19%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1"/>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interest-earnings assets</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90,137</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4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0.14%</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78,568</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0.08%</w:t>
            </w:r>
          </w:p>
        </w:tc>
        <w:tc>
          <w:tcPr>
            <w:tcW w:w="4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3"/>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interest-earning assets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1,811,826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15,342</w:t>
            </w:r>
          </w:p>
        </w:tc>
        <w:tc>
          <w:tcPr>
            <w:tcW w:w="740" w:type="dxa"/>
            <w:vAlign w:val="bottom"/>
            <w:gridSpan w:val="4"/>
          </w:tcPr>
          <w:p>
            <w:pPr>
              <w:jc w:val="right"/>
              <w:spacing w:after="0"/>
              <w:rPr>
                <w:sz w:val="20"/>
                <w:szCs w:val="20"/>
                <w:color w:val="auto"/>
              </w:rPr>
            </w:pPr>
            <w:r>
              <w:rPr>
                <w:rFonts w:ascii="Arial" w:cs="Arial" w:eastAsia="Arial" w:hAnsi="Arial"/>
                <w:sz w:val="11"/>
                <w:szCs w:val="11"/>
                <w:color w:val="auto"/>
              </w:rPr>
              <w:t>3.43%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1,487,784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13,728</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3.69%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Non-interest-earning assets</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101,658</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86,097</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223"/>
        </w:trPr>
        <w:tc>
          <w:tcPr>
            <w:tcW w:w="2620" w:type="dxa"/>
            <w:vAlign w:val="bottom"/>
          </w:tcPr>
          <w:p>
            <w:pPr>
              <w:ind w:left="200"/>
              <w:spacing w:after="0"/>
              <w:rPr>
                <w:sz w:val="20"/>
                <w:szCs w:val="20"/>
                <w:color w:val="auto"/>
              </w:rPr>
            </w:pPr>
            <w:r>
              <w:rPr>
                <w:rFonts w:ascii="Arial" w:cs="Arial" w:eastAsia="Arial" w:hAnsi="Arial"/>
                <w:sz w:val="11"/>
                <w:szCs w:val="11"/>
                <w:color w:val="auto"/>
              </w:rPr>
              <w:t>Total assets</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1,913,484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1,573,881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32"/>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Liabilities and stockholders' equity</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92"/>
        </w:trPr>
        <w:tc>
          <w:tcPr>
            <w:tcW w:w="2620" w:type="dxa"/>
            <w:vAlign w:val="bottom"/>
          </w:tcPr>
          <w:p>
            <w:pPr>
              <w:spacing w:after="0"/>
              <w:rPr>
                <w:sz w:val="20"/>
                <w:szCs w:val="20"/>
                <w:color w:val="auto"/>
              </w:rPr>
            </w:pPr>
            <w:r>
              <w:rPr>
                <w:rFonts w:ascii="Arial" w:cs="Arial" w:eastAsia="Arial" w:hAnsi="Arial"/>
                <w:sz w:val="11"/>
                <w:szCs w:val="11"/>
                <w:b w:val="1"/>
                <w:bCs w:val="1"/>
                <w:color w:val="auto"/>
              </w:rPr>
              <w:t>Interest-bearing liabilities: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demand deposits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64,436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60" w:type="dxa"/>
            <w:vAlign w:val="bottom"/>
            <w:gridSpan w:val="2"/>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0.10%</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44,549</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1"/>
        </w:trPr>
        <w:tc>
          <w:tcPr>
            <w:tcW w:w="2620" w:type="dxa"/>
            <w:vAlign w:val="bottom"/>
          </w:tcPr>
          <w:p>
            <w:pPr>
              <w:ind w:left="100"/>
              <w:spacing w:after="0"/>
              <w:rPr>
                <w:sz w:val="20"/>
                <w:szCs w:val="20"/>
                <w:color w:val="auto"/>
              </w:rPr>
            </w:pPr>
            <w:r>
              <w:rPr>
                <w:rFonts w:ascii="Arial" w:cs="Arial" w:eastAsia="Arial" w:hAnsi="Arial"/>
                <w:sz w:val="11"/>
                <w:szCs w:val="11"/>
                <w:color w:val="auto"/>
              </w:rPr>
              <w:t>Saving and money market deposits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736,134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551</w:t>
            </w:r>
          </w:p>
        </w:tc>
        <w:tc>
          <w:tcPr>
            <w:tcW w:w="740" w:type="dxa"/>
            <w:vAlign w:val="bottom"/>
            <w:gridSpan w:val="4"/>
          </w:tcPr>
          <w:p>
            <w:pPr>
              <w:jc w:val="right"/>
              <w:spacing w:after="0"/>
              <w:rPr>
                <w:sz w:val="20"/>
                <w:szCs w:val="20"/>
                <w:color w:val="auto"/>
              </w:rPr>
            </w:pPr>
            <w:r>
              <w:rPr>
                <w:rFonts w:ascii="Arial" w:cs="Arial" w:eastAsia="Arial" w:hAnsi="Arial"/>
                <w:sz w:val="11"/>
                <w:szCs w:val="11"/>
                <w:color w:val="auto"/>
              </w:rPr>
              <w:t>0.30%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568,595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548</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0.39%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223,274</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259</w:t>
            </w: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0.47%</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248,156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554</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0.91%</w:t>
            </w: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3"/>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interest-bearing deposits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1,023,844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826</w:t>
            </w:r>
          </w:p>
        </w:tc>
        <w:tc>
          <w:tcPr>
            <w:tcW w:w="740" w:type="dxa"/>
            <w:vAlign w:val="bottom"/>
            <w:gridSpan w:val="4"/>
          </w:tcPr>
          <w:p>
            <w:pPr>
              <w:jc w:val="right"/>
              <w:spacing w:after="0"/>
              <w:rPr>
                <w:sz w:val="20"/>
                <w:szCs w:val="20"/>
                <w:color w:val="auto"/>
              </w:rPr>
            </w:pPr>
            <w:r>
              <w:rPr>
                <w:rFonts w:ascii="Arial" w:cs="Arial" w:eastAsia="Arial" w:hAnsi="Arial"/>
                <w:sz w:val="11"/>
                <w:szCs w:val="11"/>
                <w:color w:val="auto"/>
              </w:rPr>
              <w:t>0.33%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861,300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1,116</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0.53%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Borrowings and repurchase agreements</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36,011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137</w:t>
            </w:r>
          </w:p>
        </w:tc>
        <w:tc>
          <w:tcPr>
            <w:tcW w:w="4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1.54%</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36,000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1.52%</w:t>
            </w:r>
          </w:p>
        </w:tc>
        <w:tc>
          <w:tcPr>
            <w:tcW w:w="4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3"/>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interest-bearing liabilities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1,059,855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963</w:t>
            </w:r>
          </w:p>
        </w:tc>
        <w:tc>
          <w:tcPr>
            <w:tcW w:w="740" w:type="dxa"/>
            <w:vAlign w:val="bottom"/>
            <w:gridSpan w:val="4"/>
          </w:tcPr>
          <w:p>
            <w:pPr>
              <w:jc w:val="right"/>
              <w:spacing w:after="0"/>
              <w:rPr>
                <w:sz w:val="20"/>
                <w:szCs w:val="20"/>
                <w:color w:val="auto"/>
              </w:rPr>
            </w:pPr>
            <w:r>
              <w:rPr>
                <w:rFonts w:ascii="Arial" w:cs="Arial" w:eastAsia="Arial" w:hAnsi="Arial"/>
                <w:sz w:val="11"/>
                <w:szCs w:val="11"/>
                <w:color w:val="auto"/>
              </w:rPr>
              <w:t>0.37%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897,300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1,253</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0.57%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Non-interest-bearing demand deposits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626,400</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482,376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1"/>
        </w:trPr>
        <w:tc>
          <w:tcPr>
            <w:tcW w:w="26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non-interest-bearing liabilities</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25,369</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22,629</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26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liabilities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1,711,624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1,402,305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92"/>
        </w:trPr>
        <w:tc>
          <w:tcPr>
            <w:tcW w:w="26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Stockholders' equity</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201,860</w:t>
            </w:r>
          </w:p>
        </w:tc>
        <w:tc>
          <w:tcPr>
            <w:tcW w:w="20" w:type="dxa"/>
            <w:vAlign w:val="bottom"/>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171,576</w:t>
            </w:r>
          </w:p>
        </w:tc>
        <w:tc>
          <w:tcPr>
            <w:tcW w:w="20" w:type="dxa"/>
            <w:vAlign w:val="bottom"/>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r>
      <w:tr>
        <w:trPr>
          <w:trHeight w:val="172"/>
        </w:trPr>
        <w:tc>
          <w:tcPr>
            <w:tcW w:w="26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1,913,484</w:t>
            </w: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gridSpan w:val="2"/>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1,573,881</w:t>
            </w: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5"/>
        </w:trPr>
        <w:tc>
          <w:tcPr>
            <w:tcW w:w="2620" w:type="dxa"/>
            <w:vAlign w:val="bottom"/>
          </w:tcPr>
          <w:p>
            <w:pPr>
              <w:spacing w:after="0"/>
              <w:rPr>
                <w:sz w:val="20"/>
                <w:szCs w:val="20"/>
                <w:color w:val="auto"/>
              </w:rPr>
            </w:pPr>
            <w:r>
              <w:rPr>
                <w:rFonts w:ascii="Arial" w:cs="Arial" w:eastAsia="Arial" w:hAnsi="Arial"/>
                <w:sz w:val="11"/>
                <w:szCs w:val="11"/>
                <w:color w:val="auto"/>
              </w:rPr>
              <w:t>Net interest income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14,379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12,475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 xml:space="preserve">Net interest spread </w:t>
            </w:r>
            <w:r>
              <w:rPr>
                <w:rFonts w:ascii="Arial" w:cs="Arial" w:eastAsia="Arial" w:hAnsi="Arial"/>
                <w:sz w:val="14"/>
                <w:szCs w:val="14"/>
                <w:color w:val="auto"/>
                <w:vertAlign w:val="superscript"/>
              </w:rPr>
              <w:t>(4)</w:t>
            </w: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gridSpan w:val="2"/>
            <w:shd w:val="clear" w:color="auto" w:fill="CCEEFF"/>
          </w:tcPr>
          <w:p>
            <w:pPr>
              <w:spacing w:after="0"/>
              <w:rPr>
                <w:sz w:val="14"/>
                <w:szCs w:val="14"/>
                <w:color w:val="auto"/>
              </w:rPr>
            </w:pPr>
          </w:p>
        </w:tc>
        <w:tc>
          <w:tcPr>
            <w:tcW w:w="6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3.07%</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3.13%</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44"/>
        </w:trPr>
        <w:tc>
          <w:tcPr>
            <w:tcW w:w="2620" w:type="dxa"/>
            <w:vAlign w:val="bottom"/>
          </w:tcPr>
          <w:p>
            <w:pPr>
              <w:spacing w:after="0"/>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4"/>
                <w:szCs w:val="14"/>
                <w:color w:val="auto"/>
                <w:vertAlign w:val="superscript"/>
              </w:rPr>
              <w:t>(5)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gridSpan w:val="4"/>
          </w:tcPr>
          <w:p>
            <w:pPr>
              <w:jc w:val="right"/>
              <w:spacing w:after="0"/>
              <w:rPr>
                <w:sz w:val="20"/>
                <w:szCs w:val="20"/>
                <w:color w:val="auto"/>
              </w:rPr>
            </w:pPr>
            <w:r>
              <w:rPr>
                <w:rFonts w:ascii="Arial" w:cs="Arial" w:eastAsia="Arial" w:hAnsi="Arial"/>
                <w:sz w:val="11"/>
                <w:szCs w:val="11"/>
                <w:color w:val="auto"/>
              </w:rPr>
              <w:t>3.22%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3.35%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114" w:lineRule="exact"/>
        <w:rPr>
          <w:sz w:val="20"/>
          <w:szCs w:val="20"/>
          <w:color w:val="auto"/>
        </w:rPr>
      </w:pPr>
    </w:p>
    <w:p>
      <w:pPr>
        <w:ind w:left="860" w:hanging="197"/>
        <w:spacing w:after="0"/>
        <w:tabs>
          <w:tab w:leader="none" w:pos="8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Annualized.</w:t>
      </w:r>
    </w:p>
    <w:p>
      <w:pPr>
        <w:spacing w:after="0" w:line="22" w:lineRule="exact"/>
        <w:rPr>
          <w:rFonts w:ascii="Arial" w:cs="Arial" w:eastAsia="Arial" w:hAnsi="Arial"/>
          <w:sz w:val="11"/>
          <w:szCs w:val="11"/>
          <w:color w:val="auto"/>
        </w:rPr>
      </w:pPr>
    </w:p>
    <w:p>
      <w:pPr>
        <w:ind w:left="860" w:hanging="197"/>
        <w:spacing w:after="0"/>
        <w:tabs>
          <w:tab w:leader="none" w:pos="8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 on loans includes accretion of deferred loan fees, net of deferred loan costs.</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This amount includes FHLB stock.</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Net interest spread is the average yield on total interest-earning assets minus the average rate on total interest-bearing liabilities.</w:t>
      </w:r>
    </w:p>
    <w:p>
      <w:pPr>
        <w:spacing w:after="0" w:line="22" w:lineRule="exact"/>
        <w:rPr>
          <w:rFonts w:ascii="Arial" w:cs="Arial" w:eastAsia="Arial" w:hAnsi="Arial"/>
          <w:sz w:val="11"/>
          <w:szCs w:val="11"/>
          <w:color w:val="auto"/>
        </w:rPr>
      </w:pPr>
    </w:p>
    <w:p>
      <w:pPr>
        <w:ind w:left="860" w:hanging="197"/>
        <w:spacing w:after="0"/>
        <w:tabs>
          <w:tab w:leader="none" w:pos="8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total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783"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NON-GAAP FINANCIAL MEASURES (UNAUDITED)</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(Dollars in thousands)</w:t>
      </w: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32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gridSpan w:val="13"/>
          </w:tcPr>
          <w:p>
            <w:pPr>
              <w:ind w:left="240"/>
              <w:spacing w:after="0"/>
              <w:rPr>
                <w:sz w:val="20"/>
                <w:szCs w:val="20"/>
                <w:color w:val="auto"/>
              </w:rPr>
            </w:pPr>
            <w:r>
              <w:rPr>
                <w:rFonts w:ascii="Arial" w:cs="Arial" w:eastAsia="Arial" w:hAnsi="Arial"/>
                <w:sz w:val="11"/>
                <w:szCs w:val="11"/>
                <w:b w:val="1"/>
                <w:bCs w:val="1"/>
                <w:color w:val="auto"/>
              </w:rPr>
              <w:t>As of or For the Three Months Ended</w:t>
            </w: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0"/>
        </w:trPr>
        <w:tc>
          <w:tcPr>
            <w:tcW w:w="3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7"/>
              </w:rPr>
              <w:t>3/31/2022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0"/>
              </w:rPr>
              <w:t>12/31/2021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9/30/2021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7"/>
              </w:rPr>
              <w:t>6/30/2021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3/31/2021</w:t>
            </w:r>
          </w:p>
        </w:tc>
        <w:tc>
          <w:tcPr>
            <w:tcW w:w="20" w:type="dxa"/>
            <w:vAlign w:val="bottom"/>
          </w:tcPr>
          <w:p>
            <w:pPr>
              <w:spacing w:after="0"/>
              <w:rPr>
                <w:sz w:val="12"/>
                <w:szCs w:val="12"/>
                <w:color w:val="auto"/>
              </w:rPr>
            </w:pPr>
          </w:p>
        </w:tc>
      </w:tr>
      <w:tr>
        <w:trPr>
          <w:trHeight w:val="172"/>
        </w:trPr>
        <w:tc>
          <w:tcPr>
            <w:tcW w:w="3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Pre-Tax Pre-Provision ("PTPP") Income:</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92"/>
        </w:trPr>
        <w:tc>
          <w:tcPr>
            <w:tcW w:w="320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4,854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5,650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6,593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4,053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4,781</w:t>
            </w:r>
          </w:p>
        </w:tc>
        <w:tc>
          <w:tcPr>
            <w:tcW w:w="20" w:type="dxa"/>
            <w:vAlign w:val="bottom"/>
          </w:tcPr>
          <w:p>
            <w:pPr>
              <w:spacing w:after="0"/>
              <w:rPr>
                <w:sz w:val="16"/>
                <w:szCs w:val="16"/>
                <w:color w:val="auto"/>
              </w:rPr>
            </w:pPr>
          </w:p>
        </w:tc>
      </w:tr>
      <w:tr>
        <w:trPr>
          <w:trHeight w:val="192"/>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Plus: Provision for income taxes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1,858</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1,751</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2,088</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1,498</w:t>
            </w:r>
          </w:p>
        </w:tc>
        <w:tc>
          <w:tcPr>
            <w:tcW w:w="20" w:type="dxa"/>
            <w:vAlign w:val="bottom"/>
            <w:shd w:val="clear" w:color="auto" w:fill="CCEEFF"/>
          </w:tcPr>
          <w:p>
            <w:pPr>
              <w:spacing w:after="0"/>
              <w:rPr>
                <w:sz w:val="16"/>
                <w:szCs w:val="16"/>
                <w:color w:val="auto"/>
              </w:rPr>
            </w:pPr>
          </w:p>
        </w:tc>
      </w:tr>
      <w:tr>
        <w:trPr>
          <w:trHeight w:val="181"/>
        </w:trPr>
        <w:tc>
          <w:tcPr>
            <w:tcW w:w="3200" w:type="dxa"/>
            <w:vAlign w:val="bottom"/>
          </w:tcPr>
          <w:p>
            <w:pPr>
              <w:ind w:left="100"/>
              <w:spacing w:after="0"/>
              <w:rPr>
                <w:sz w:val="20"/>
                <w:szCs w:val="20"/>
                <w:color w:val="auto"/>
              </w:rPr>
            </w:pPr>
            <w:r>
              <w:rPr>
                <w:rFonts w:ascii="Arial" w:cs="Arial" w:eastAsia="Arial" w:hAnsi="Arial"/>
                <w:sz w:val="11"/>
                <w:szCs w:val="11"/>
                <w:color w:val="auto"/>
              </w:rPr>
              <w:t>Plus: Provision for (recovery of) credit losses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1"/>
                <w:szCs w:val="11"/>
                <w:color w:val="auto"/>
              </w:rPr>
              <w:t>(160)</w:t>
            </w:r>
          </w:p>
        </w:tc>
      </w:tr>
      <w:tr>
        <w:trPr>
          <w:trHeight w:val="172"/>
        </w:trPr>
        <w:tc>
          <w:tcPr>
            <w:tcW w:w="32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PTPP income</w:t>
            </w: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6,712</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7,401</w:t>
            </w: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8,681</w:t>
            </w: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5,316</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6,119</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32"/>
        </w:trPr>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1"/>
        </w:trPr>
        <w:tc>
          <w:tcPr>
            <w:tcW w:w="3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PTPP Return on Average Assets: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92"/>
        </w:trPr>
        <w:tc>
          <w:tcPr>
            <w:tcW w:w="3200" w:type="dxa"/>
            <w:vAlign w:val="bottom"/>
          </w:tcPr>
          <w:p>
            <w:pPr>
              <w:ind w:left="100"/>
              <w:spacing w:after="0"/>
              <w:rPr>
                <w:sz w:val="20"/>
                <w:szCs w:val="20"/>
                <w:color w:val="auto"/>
              </w:rPr>
            </w:pPr>
            <w:r>
              <w:rPr>
                <w:rFonts w:ascii="Arial" w:cs="Arial" w:eastAsia="Arial" w:hAnsi="Arial"/>
                <w:sz w:val="11"/>
                <w:szCs w:val="11"/>
                <w:color w:val="auto"/>
              </w:rPr>
              <w:t>PTPP income</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6,712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7,401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8,681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5,316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6,119</w:t>
            </w:r>
          </w:p>
        </w:tc>
        <w:tc>
          <w:tcPr>
            <w:tcW w:w="20" w:type="dxa"/>
            <w:vAlign w:val="bottom"/>
          </w:tcPr>
          <w:p>
            <w:pPr>
              <w:spacing w:after="0"/>
              <w:rPr>
                <w:sz w:val="16"/>
                <w:szCs w:val="16"/>
                <w:color w:val="auto"/>
              </w:rPr>
            </w:pPr>
          </w:p>
        </w:tc>
      </w:tr>
      <w:tr>
        <w:trPr>
          <w:trHeight w:val="181"/>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1,913,484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1,828,037</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1,741,423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1,660,060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1,573,881</w:t>
            </w:r>
          </w:p>
        </w:tc>
        <w:tc>
          <w:tcPr>
            <w:tcW w:w="20" w:type="dxa"/>
            <w:vAlign w:val="bottom"/>
            <w:shd w:val="clear" w:color="auto" w:fill="CCEEFF"/>
          </w:tcPr>
          <w:p>
            <w:pPr>
              <w:spacing w:after="0"/>
              <w:rPr>
                <w:sz w:val="15"/>
                <w:szCs w:val="15"/>
                <w:color w:val="auto"/>
              </w:rPr>
            </w:pPr>
          </w:p>
        </w:tc>
      </w:tr>
      <w:tr>
        <w:trPr>
          <w:trHeight w:val="192"/>
        </w:trPr>
        <w:tc>
          <w:tcPr>
            <w:tcW w:w="3200" w:type="dxa"/>
            <w:vAlign w:val="bottom"/>
          </w:tcPr>
          <w:p>
            <w:pPr>
              <w:ind w:left="100"/>
              <w:spacing w:after="0"/>
              <w:rPr>
                <w:sz w:val="20"/>
                <w:szCs w:val="20"/>
                <w:color w:val="auto"/>
              </w:rPr>
            </w:pPr>
            <w:r>
              <w:rPr>
                <w:rFonts w:ascii="Arial" w:cs="Arial" w:eastAsia="Arial" w:hAnsi="Arial"/>
                <w:sz w:val="11"/>
                <w:szCs w:val="11"/>
                <w:color w:val="auto"/>
              </w:rPr>
              <w:t xml:space="preserve">PTPP return on average assets </w:t>
            </w:r>
            <w:r>
              <w:rPr>
                <w:rFonts w:ascii="Arial" w:cs="Arial" w:eastAsia="Arial" w:hAnsi="Arial"/>
                <w:sz w:val="14"/>
                <w:szCs w:val="14"/>
                <w:color w:val="auto"/>
                <w:vertAlign w:val="superscript"/>
              </w:rPr>
              <w:t>(1)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1"/>
                <w:szCs w:val="11"/>
                <w:color w:val="auto"/>
              </w:rPr>
              <w:t>1.61%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1.58%</w:t>
            </w:r>
          </w:p>
        </w:tc>
        <w:tc>
          <w:tcPr>
            <w:tcW w:w="20" w:type="dxa"/>
            <w:vAlign w:val="bottom"/>
          </w:tcPr>
          <w:p>
            <w:pPr>
              <w:spacing w:after="0"/>
              <w:rPr>
                <w:sz w:val="16"/>
                <w:szCs w:val="16"/>
                <w:color w:val="auto"/>
              </w:rPr>
            </w:pPr>
          </w:p>
        </w:tc>
      </w:tr>
      <w:tr>
        <w:trPr>
          <w:trHeight w:val="192"/>
        </w:trPr>
        <w:tc>
          <w:tcPr>
            <w:tcW w:w="3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1"/>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Net Income: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4,854</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5,650</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6,593</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4,781</w:t>
            </w:r>
          </w:p>
        </w:tc>
        <w:tc>
          <w:tcPr>
            <w:tcW w:w="20" w:type="dxa"/>
            <w:vAlign w:val="bottom"/>
            <w:shd w:val="clear" w:color="auto" w:fill="CCEEFF"/>
          </w:tcPr>
          <w:p>
            <w:pPr>
              <w:spacing w:after="0"/>
              <w:rPr>
                <w:sz w:val="16"/>
                <w:szCs w:val="16"/>
                <w:color w:val="auto"/>
              </w:rPr>
            </w:pPr>
          </w:p>
        </w:tc>
      </w:tr>
      <w:tr>
        <w:trPr>
          <w:trHeight w:val="181"/>
        </w:trPr>
        <w:tc>
          <w:tcPr>
            <w:tcW w:w="3200" w:type="dxa"/>
            <w:vAlign w:val="bottom"/>
          </w:tcPr>
          <w:p>
            <w:pPr>
              <w:ind w:left="100"/>
              <w:spacing w:after="0"/>
              <w:rPr>
                <w:sz w:val="20"/>
                <w:szCs w:val="20"/>
                <w:color w:val="auto"/>
              </w:rPr>
            </w:pPr>
            <w:r>
              <w:rPr>
                <w:rFonts w:ascii="Arial" w:cs="Arial" w:eastAsia="Arial" w:hAnsi="Arial"/>
                <w:sz w:val="11"/>
                <w:szCs w:val="11"/>
                <w:color w:val="auto"/>
              </w:rPr>
              <w:t>Less: Net gains (losses) on sale of securities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(70)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62</w:t>
            </w:r>
          </w:p>
        </w:tc>
        <w:tc>
          <w:tcPr>
            <w:tcW w:w="20" w:type="dxa"/>
            <w:vAlign w:val="bottom"/>
          </w:tcPr>
          <w:p>
            <w:pPr>
              <w:spacing w:after="0"/>
              <w:rPr>
                <w:sz w:val="15"/>
                <w:szCs w:val="15"/>
                <w:color w:val="auto"/>
              </w:rPr>
            </w:pPr>
          </w:p>
        </w:tc>
      </w:tr>
      <w:tr>
        <w:trPr>
          <w:trHeight w:val="181"/>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Tax effect on sale of securities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(9)</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(15)</w:t>
            </w:r>
          </w:p>
        </w:tc>
      </w:tr>
      <w:tr>
        <w:trPr>
          <w:trHeight w:val="223"/>
        </w:trPr>
        <w:tc>
          <w:tcPr>
            <w:tcW w:w="3200" w:type="dxa"/>
            <w:vAlign w:val="bottom"/>
            <w:tcBorders>
              <w:top w:val="single" w:sz="8" w:color="CCEEFF"/>
            </w:tcBorders>
          </w:tcPr>
          <w:p>
            <w:pPr>
              <w:ind w:left="200"/>
              <w:spacing w:after="0"/>
              <w:rPr>
                <w:sz w:val="20"/>
                <w:szCs w:val="20"/>
                <w:color w:val="auto"/>
              </w:rPr>
            </w:pPr>
            <w:r>
              <w:rPr>
                <w:rFonts w:ascii="Arial" w:cs="Arial" w:eastAsia="Arial" w:hAnsi="Arial"/>
                <w:sz w:val="11"/>
                <w:szCs w:val="11"/>
                <w:color w:val="auto"/>
              </w:rPr>
              <w:t>Operating net income</w:t>
            </w: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4,838</w:t>
            </w: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5,624</w:t>
            </w: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6,646</w:t>
            </w: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3,912</w:t>
            </w: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4,734</w:t>
            </w:r>
          </w:p>
        </w:tc>
        <w:tc>
          <w:tcPr>
            <w:tcW w:w="20" w:type="dxa"/>
            <w:vAlign w:val="bottom"/>
            <w:tcBorders>
              <w:top w:val="single" w:sz="8" w:color="CCEEFF"/>
            </w:tcBorders>
          </w:tcPr>
          <w:p>
            <w:pPr>
              <w:spacing w:after="0"/>
              <w:rPr>
                <w:sz w:val="19"/>
                <w:szCs w:val="19"/>
                <w:color w:val="auto"/>
              </w:rPr>
            </w:pPr>
          </w:p>
        </w:tc>
      </w:tr>
      <w:tr>
        <w:trPr>
          <w:trHeight w:val="121"/>
        </w:trPr>
        <w:tc>
          <w:tcPr>
            <w:tcW w:w="32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PTPP Income: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1"/>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PTPP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6,712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8,681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5,316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6,119</w:t>
            </w:r>
          </w:p>
        </w:tc>
        <w:tc>
          <w:tcPr>
            <w:tcW w:w="20" w:type="dxa"/>
            <w:vAlign w:val="bottom"/>
            <w:shd w:val="clear" w:color="auto" w:fill="CCEEFF"/>
          </w:tcPr>
          <w:p>
            <w:pPr>
              <w:spacing w:after="0"/>
              <w:rPr>
                <w:sz w:val="15"/>
                <w:szCs w:val="15"/>
                <w:color w:val="auto"/>
              </w:rPr>
            </w:pPr>
          </w:p>
        </w:tc>
      </w:tr>
      <w:tr>
        <w:trPr>
          <w:trHeight w:val="192"/>
        </w:trPr>
        <w:tc>
          <w:tcPr>
            <w:tcW w:w="3200" w:type="dxa"/>
            <w:vAlign w:val="bottom"/>
          </w:tcPr>
          <w:p>
            <w:pPr>
              <w:ind w:left="100"/>
              <w:spacing w:after="0"/>
              <w:rPr>
                <w:sz w:val="20"/>
                <w:szCs w:val="20"/>
                <w:color w:val="auto"/>
              </w:rPr>
            </w:pPr>
            <w:r>
              <w:rPr>
                <w:rFonts w:ascii="Arial" w:cs="Arial" w:eastAsia="Arial" w:hAnsi="Arial"/>
                <w:sz w:val="11"/>
                <w:szCs w:val="11"/>
                <w:color w:val="auto"/>
              </w:rPr>
              <w:t>Less: Net gains (losses) on sale of securities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(70)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62</w:t>
            </w:r>
          </w:p>
        </w:tc>
        <w:tc>
          <w:tcPr>
            <w:tcW w:w="20" w:type="dxa"/>
            <w:vAlign w:val="bottom"/>
          </w:tcPr>
          <w:p>
            <w:pPr>
              <w:spacing w:after="0"/>
              <w:rPr>
                <w:sz w:val="16"/>
                <w:szCs w:val="16"/>
                <w:color w:val="auto"/>
              </w:rPr>
            </w:pPr>
          </w:p>
        </w:tc>
      </w:tr>
      <w:tr>
        <w:trPr>
          <w:trHeight w:val="172"/>
        </w:trPr>
        <w:tc>
          <w:tcPr>
            <w:tcW w:w="32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Operating PTPP Income</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6,691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7,366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8,751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5,129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6,057</w:t>
            </w:r>
          </w:p>
        </w:tc>
        <w:tc>
          <w:tcPr>
            <w:tcW w:w="20" w:type="dxa"/>
            <w:vAlign w:val="bottom"/>
            <w:shd w:val="clear" w:color="auto" w:fill="CCEEFF"/>
          </w:tcPr>
          <w:p>
            <w:pPr>
              <w:spacing w:after="0"/>
              <w:rPr>
                <w:sz w:val="14"/>
                <w:szCs w:val="14"/>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32"/>
        </w:trPr>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1"/>
        </w:trPr>
        <w:tc>
          <w:tcPr>
            <w:tcW w:w="3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PTPP Return on Average Assets: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92"/>
        </w:trPr>
        <w:tc>
          <w:tcPr>
            <w:tcW w:w="3200" w:type="dxa"/>
            <w:vAlign w:val="bottom"/>
          </w:tcPr>
          <w:p>
            <w:pPr>
              <w:ind w:left="100"/>
              <w:spacing w:after="0"/>
              <w:rPr>
                <w:sz w:val="20"/>
                <w:szCs w:val="20"/>
                <w:color w:val="auto"/>
              </w:rPr>
            </w:pPr>
            <w:r>
              <w:rPr>
                <w:rFonts w:ascii="Arial" w:cs="Arial" w:eastAsia="Arial" w:hAnsi="Arial"/>
                <w:sz w:val="11"/>
                <w:szCs w:val="11"/>
                <w:color w:val="auto"/>
              </w:rPr>
              <w:t>Operating PTPP income</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6,691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7,366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8,751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5,129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6,057</w:t>
            </w:r>
          </w:p>
        </w:tc>
        <w:tc>
          <w:tcPr>
            <w:tcW w:w="20" w:type="dxa"/>
            <w:vAlign w:val="bottom"/>
          </w:tcPr>
          <w:p>
            <w:pPr>
              <w:spacing w:after="0"/>
              <w:rPr>
                <w:sz w:val="16"/>
                <w:szCs w:val="16"/>
                <w:color w:val="auto"/>
              </w:rPr>
            </w:pPr>
          </w:p>
        </w:tc>
      </w:tr>
      <w:tr>
        <w:trPr>
          <w:trHeight w:val="181"/>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1,913,484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1,828,037</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1,741,423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1,660,060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1,573,881</w:t>
            </w:r>
          </w:p>
        </w:tc>
        <w:tc>
          <w:tcPr>
            <w:tcW w:w="20" w:type="dxa"/>
            <w:vAlign w:val="bottom"/>
            <w:shd w:val="clear" w:color="auto" w:fill="CCEEFF"/>
          </w:tcPr>
          <w:p>
            <w:pPr>
              <w:spacing w:after="0"/>
              <w:rPr>
                <w:sz w:val="15"/>
                <w:szCs w:val="15"/>
                <w:color w:val="auto"/>
              </w:rPr>
            </w:pPr>
          </w:p>
        </w:tc>
      </w:tr>
      <w:tr>
        <w:trPr>
          <w:trHeight w:val="192"/>
        </w:trPr>
        <w:tc>
          <w:tcPr>
            <w:tcW w:w="3200" w:type="dxa"/>
            <w:vAlign w:val="bottom"/>
          </w:tcPr>
          <w:p>
            <w:pPr>
              <w:ind w:left="100"/>
              <w:spacing w:after="0"/>
              <w:rPr>
                <w:sz w:val="20"/>
                <w:szCs w:val="20"/>
                <w:color w:val="auto"/>
              </w:rPr>
            </w:pPr>
            <w:r>
              <w:rPr>
                <w:rFonts w:ascii="Arial" w:cs="Arial" w:eastAsia="Arial" w:hAnsi="Arial"/>
                <w:sz w:val="11"/>
                <w:szCs w:val="11"/>
                <w:color w:val="auto"/>
              </w:rPr>
              <w:t xml:space="preserve">Operating PTPP Return on average assets </w:t>
            </w:r>
            <w:r>
              <w:rPr>
                <w:rFonts w:ascii="Arial" w:cs="Arial" w:eastAsia="Arial" w:hAnsi="Arial"/>
                <w:sz w:val="14"/>
                <w:szCs w:val="14"/>
                <w:color w:val="auto"/>
                <w:vertAlign w:val="superscript"/>
              </w:rPr>
              <w:t>(1)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1"/>
                <w:szCs w:val="11"/>
                <w:color w:val="auto"/>
              </w:rPr>
              <w:t>1.60%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1.56%</w:t>
            </w:r>
          </w:p>
        </w:tc>
        <w:tc>
          <w:tcPr>
            <w:tcW w:w="20" w:type="dxa"/>
            <w:vAlign w:val="bottom"/>
          </w:tcPr>
          <w:p>
            <w:pPr>
              <w:spacing w:after="0"/>
              <w:rPr>
                <w:sz w:val="16"/>
                <w:szCs w:val="16"/>
                <w:color w:val="auto"/>
              </w:rPr>
            </w:pPr>
          </w:p>
        </w:tc>
      </w:tr>
      <w:tr>
        <w:trPr>
          <w:trHeight w:val="181"/>
        </w:trPr>
        <w:tc>
          <w:tcPr>
            <w:tcW w:w="3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Return on Average Assets: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Operating net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4,838</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5,624</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6,646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4,734</w:t>
            </w:r>
          </w:p>
        </w:tc>
        <w:tc>
          <w:tcPr>
            <w:tcW w:w="20" w:type="dxa"/>
            <w:vAlign w:val="bottom"/>
            <w:shd w:val="clear" w:color="auto" w:fill="CCEEFF"/>
          </w:tcPr>
          <w:p>
            <w:pPr>
              <w:spacing w:after="0"/>
              <w:rPr>
                <w:sz w:val="16"/>
                <w:szCs w:val="16"/>
                <w:color w:val="auto"/>
              </w:rPr>
            </w:pPr>
          </w:p>
        </w:tc>
      </w:tr>
      <w:tr>
        <w:trPr>
          <w:trHeight w:val="181"/>
        </w:trPr>
        <w:tc>
          <w:tcPr>
            <w:tcW w:w="3200" w:type="dxa"/>
            <w:vAlign w:val="bottom"/>
          </w:tcPr>
          <w:p>
            <w:pPr>
              <w:ind w:left="100"/>
              <w:spacing w:after="0"/>
              <w:rPr>
                <w:sz w:val="20"/>
                <w:szCs w:val="20"/>
                <w:color w:val="auto"/>
              </w:rPr>
            </w:pPr>
            <w:r>
              <w:rPr>
                <w:rFonts w:ascii="Arial" w:cs="Arial" w:eastAsia="Arial" w:hAnsi="Arial"/>
                <w:sz w:val="11"/>
                <w:szCs w:val="11"/>
                <w:color w:val="auto"/>
              </w:rPr>
              <w:t>Average assets</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1,913,484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1,828,037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1,741,423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1,660,060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1,573,881</w:t>
            </w:r>
          </w:p>
        </w:tc>
        <w:tc>
          <w:tcPr>
            <w:tcW w:w="20" w:type="dxa"/>
            <w:vAlign w:val="bottom"/>
          </w:tcPr>
          <w:p>
            <w:pPr>
              <w:spacing w:after="0"/>
              <w:rPr>
                <w:sz w:val="15"/>
                <w:szCs w:val="15"/>
                <w:color w:val="auto"/>
              </w:rPr>
            </w:pPr>
          </w:p>
        </w:tc>
      </w:tr>
      <w:tr>
        <w:trPr>
          <w:trHeight w:val="192"/>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Operating return on average assets </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20" w:type="dxa"/>
            <w:vAlign w:val="bottom"/>
            <w:shd w:val="clear" w:color="auto" w:fill="CCEEFF"/>
          </w:tcPr>
          <w:p>
            <w:pPr>
              <w:spacing w:after="0"/>
              <w:rPr>
                <w:sz w:val="16"/>
                <w:szCs w:val="16"/>
                <w:color w:val="auto"/>
              </w:rPr>
            </w:pPr>
          </w:p>
        </w:tc>
      </w:tr>
    </w:tbl>
    <w:p>
      <w:pPr>
        <w:spacing w:after="0" w:line="176" w:lineRule="exact"/>
        <w:rPr>
          <w:sz w:val="20"/>
          <w:szCs w:val="20"/>
          <w:color w:val="auto"/>
        </w:rPr>
      </w:pPr>
    </w:p>
    <w:p>
      <w:pPr>
        <w:ind w:left="660"/>
        <w:spacing w:after="0"/>
        <w:rPr>
          <w:sz w:val="20"/>
          <w:szCs w:val="20"/>
          <w:color w:val="auto"/>
        </w:rPr>
      </w:pPr>
      <w:r>
        <w:rPr>
          <w:rFonts w:ascii="Arial" w:cs="Arial" w:eastAsia="Arial" w:hAnsi="Arial"/>
          <w:sz w:val="11"/>
          <w:szCs w:val="11"/>
          <w:color w:val="auto"/>
        </w:rPr>
        <w:t>(1) 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762"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USCB FINANCIAL HOLDINGS,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NON-GAAP FINANCIAL MEASURES (UNAUDITED)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 except per share data)</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5"/>
        </w:trPr>
        <w:tc>
          <w:tcPr>
            <w:tcW w:w="1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8"/>
          </w:tcPr>
          <w:p>
            <w:pPr>
              <w:jc w:val="right"/>
              <w:ind w:right="303"/>
              <w:spacing w:after="0"/>
              <w:rPr>
                <w:sz w:val="20"/>
                <w:szCs w:val="20"/>
                <w:color w:val="auto"/>
              </w:rPr>
            </w:pPr>
            <w:r>
              <w:rPr>
                <w:rFonts w:ascii="Arial" w:cs="Arial" w:eastAsia="Arial" w:hAnsi="Arial"/>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 w:type="dxa"/>
            <w:vAlign w:val="bottom"/>
            <w:tcBorders>
              <w:bottom w:val="single" w:sz="8" w:color="CCEEFF"/>
            </w:tcBorders>
          </w:tcPr>
          <w:p>
            <w:pPr>
              <w:spacing w:after="0"/>
              <w:rPr>
                <w:sz w:val="11"/>
                <w:szCs w:val="11"/>
                <w:color w:val="auto"/>
              </w:rPr>
            </w:pPr>
          </w:p>
        </w:tc>
        <w:tc>
          <w:tcPr>
            <w:tcW w:w="32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3/31/2022</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8"/>
              </w:rPr>
              <w:t>12/31/2021</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9/30/2021</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6/30/2021</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3/31/2021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Tangible book value per common share (at period-end):</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3220" w:type="dxa"/>
            <w:vAlign w:val="bottom"/>
          </w:tcPr>
          <w:p>
            <w:pPr>
              <w:ind w:left="100"/>
              <w:spacing w:after="0"/>
              <w:rPr>
                <w:sz w:val="20"/>
                <w:szCs w:val="20"/>
                <w:color w:val="auto"/>
              </w:rPr>
            </w:pPr>
            <w:r>
              <w:rPr>
                <w:rFonts w:ascii="Arial" w:cs="Arial" w:eastAsia="Arial" w:hAnsi="Arial"/>
                <w:sz w:val="11"/>
                <w:szCs w:val="11"/>
                <w:color w:val="auto"/>
              </w:rPr>
              <w:t>Total stockholders' equity (GAAP)</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192,039</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203,897</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201,918</w:t>
            </w:r>
          </w:p>
        </w:tc>
        <w:tc>
          <w:tcPr>
            <w:tcW w:w="2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166,302</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170,425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Intangible assets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tcBorders>
              <w:bottom w:val="single" w:sz="8" w:color="CCEEFF"/>
            </w:tcBorders>
          </w:tcPr>
          <w:p>
            <w:pPr>
              <w:spacing w:after="0"/>
              <w:rPr>
                <w:sz w:val="12"/>
                <w:szCs w:val="12"/>
                <w:color w:val="auto"/>
              </w:rPr>
            </w:pPr>
          </w:p>
        </w:tc>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Less: Preferred stock</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24,616</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32,077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Tangible stockholders' equity (non-GAAP)</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192,039</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203,897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201,918</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141,686</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138,348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gridSpan w:val="2"/>
          </w:tcPr>
          <w:p>
            <w:pPr>
              <w:ind w:left="100"/>
              <w:spacing w:after="0"/>
              <w:rPr>
                <w:sz w:val="20"/>
                <w:szCs w:val="20"/>
                <w:color w:val="auto"/>
              </w:rPr>
            </w:pPr>
            <w:r>
              <w:rPr>
                <w:rFonts w:ascii="Arial" w:cs="Arial" w:eastAsia="Arial" w:hAnsi="Arial"/>
                <w:sz w:val="11"/>
                <w:szCs w:val="11"/>
                <w:b w:val="1"/>
                <w:bCs w:val="1"/>
                <w:color w:val="auto"/>
              </w:rPr>
              <w:t>Total shares issued and outstanding (at period-end):</w:t>
            </w:r>
            <w:r>
              <w:rPr>
                <w:rFonts w:ascii="Arial" w:cs="Arial" w:eastAsia="Arial" w:hAnsi="Arial"/>
                <w:sz w:val="14"/>
                <w:szCs w:val="14"/>
                <w:color w:val="auto"/>
                <w:vertAlign w:val="superscript"/>
              </w:rPr>
              <w:t>(2)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A common shares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19,991,753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18,767,541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3,889,469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3,889,469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Borders>
              <w:bottom w:val="single" w:sz="8" w:color="CCEEFF"/>
            </w:tcBorders>
          </w:tcPr>
          <w:p>
            <w:pPr>
              <w:spacing w:after="0"/>
              <w:rPr>
                <w:sz w:val="13"/>
                <w:szCs w:val="13"/>
                <w:color w:val="auto"/>
              </w:rPr>
            </w:pPr>
          </w:p>
        </w:tc>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Class B common shares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1,224,212</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1,224,212</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1,224,212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00" w:type="dxa"/>
            <w:vAlign w:val="bottom"/>
            <w:tcBorders>
              <w:bottom w:val="single" w:sz="8" w:color="CCEEFF"/>
            </w:tcBorders>
            <w:shd w:val="clear" w:color="auto" w:fill="CCEEFF"/>
          </w:tcPr>
          <w:p>
            <w:pPr>
              <w:spacing w:after="0"/>
              <w:rPr>
                <w:sz w:val="12"/>
                <w:szCs w:val="12"/>
                <w:color w:val="auto"/>
              </w:rPr>
            </w:pPr>
          </w:p>
        </w:tc>
        <w:tc>
          <w:tcPr>
            <w:tcW w:w="3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common shares issued and outstanding</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19,991,753</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19,991,753</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5,113,681</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5,113,681</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3220" w:type="dxa"/>
            <w:vAlign w:val="bottom"/>
          </w:tcPr>
          <w:p>
            <w:pPr>
              <w:ind w:left="100"/>
              <w:spacing w:after="0"/>
              <w:rPr>
                <w:sz w:val="20"/>
                <w:szCs w:val="20"/>
                <w:color w:val="auto"/>
              </w:rPr>
            </w:pPr>
            <w:r>
              <w:rPr>
                <w:rFonts w:ascii="Arial" w:cs="Arial" w:eastAsia="Arial" w:hAnsi="Arial"/>
                <w:sz w:val="11"/>
                <w:szCs w:val="11"/>
                <w:color w:val="auto"/>
              </w:rPr>
              <w:t>Tangible book value per common share (non-GAAP)</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9.60</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10.20</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10.10</w:t>
            </w:r>
          </w:p>
        </w:tc>
        <w:tc>
          <w:tcPr>
            <w:tcW w:w="2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27.71</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27.05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100" w:type="dxa"/>
            <w:vAlign w:val="bottom"/>
            <w:tcBorders>
              <w:top w:val="single" w:sz="8" w:color="CCEEFF"/>
            </w:tcBorders>
            <w:shd w:val="clear" w:color="auto" w:fill="CCEEFF"/>
          </w:tcPr>
          <w:p>
            <w:pPr>
              <w:spacing w:after="0"/>
              <w:rPr>
                <w:sz w:val="8"/>
                <w:szCs w:val="8"/>
                <w:color w:val="auto"/>
              </w:rPr>
            </w:pPr>
          </w:p>
        </w:tc>
        <w:tc>
          <w:tcPr>
            <w:tcW w:w="32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3320" w:type="dxa"/>
            <w:vAlign w:val="bottom"/>
            <w:gridSpan w:val="2"/>
          </w:tcPr>
          <w:p>
            <w:pPr>
              <w:spacing w:after="0"/>
              <w:rPr>
                <w:sz w:val="20"/>
                <w:szCs w:val="20"/>
                <w:color w:val="auto"/>
              </w:rPr>
            </w:pPr>
            <w:r>
              <w:rPr>
                <w:rFonts w:ascii="Arial" w:cs="Arial" w:eastAsia="Arial" w:hAnsi="Arial"/>
                <w:sz w:val="11"/>
                <w:szCs w:val="11"/>
                <w:b w:val="1"/>
                <w:bCs w:val="1"/>
                <w:color w:val="auto"/>
              </w:rPr>
              <w:t>Operating net income available to common stockholders:</w:t>
            </w:r>
            <w:r>
              <w:rPr>
                <w:rFonts w:ascii="Arial" w:cs="Arial" w:eastAsia="Arial" w:hAnsi="Arial"/>
                <w:sz w:val="14"/>
                <w:szCs w:val="14"/>
                <w:color w:val="auto"/>
                <w:vertAlign w:val="superscript"/>
              </w:rPr>
              <w:t>(1)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(GAAP)</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4,854</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6,593</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4,053</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4,781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3220" w:type="dxa"/>
            <w:vAlign w:val="bottom"/>
          </w:tcPr>
          <w:p>
            <w:pPr>
              <w:ind w:left="100"/>
              <w:spacing w:after="0"/>
              <w:rPr>
                <w:sz w:val="20"/>
                <w:szCs w:val="20"/>
                <w:color w:val="auto"/>
              </w:rPr>
            </w:pPr>
            <w:r>
              <w:rPr>
                <w:rFonts w:ascii="Arial" w:cs="Arial" w:eastAsia="Arial" w:hAnsi="Arial"/>
                <w:sz w:val="11"/>
                <w:szCs w:val="11"/>
                <w:color w:val="auto"/>
              </w:rPr>
              <w:t>Less: Preferred dividends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542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754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Exchange and redemption of preferred shares</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89,585</w:t>
            </w: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3220" w:type="dxa"/>
            <w:vAlign w:val="bottom"/>
          </w:tcPr>
          <w:p>
            <w:pPr>
              <w:ind w:left="200"/>
              <w:spacing w:after="0"/>
              <w:rPr>
                <w:sz w:val="20"/>
                <w:szCs w:val="20"/>
                <w:color w:val="auto"/>
              </w:rPr>
            </w:pPr>
            <w:r>
              <w:rPr>
                <w:rFonts w:ascii="Arial" w:cs="Arial" w:eastAsia="Arial" w:hAnsi="Arial"/>
                <w:sz w:val="11"/>
                <w:szCs w:val="11"/>
                <w:color w:val="auto"/>
              </w:rPr>
              <w:t>Net income (loss) available to common stockholders (GAAP)</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4,854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5,650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(83,534)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3,299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Add back: Exchange and redemption of preferred shares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89,585</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220" w:type="dxa"/>
            <w:vAlign w:val="bottom"/>
          </w:tcPr>
          <w:p>
            <w:pPr>
              <w:ind w:left="200"/>
              <w:spacing w:after="0"/>
              <w:rPr>
                <w:sz w:val="20"/>
                <w:szCs w:val="20"/>
                <w:color w:val="auto"/>
              </w:rPr>
            </w:pPr>
            <w:r>
              <w:rPr>
                <w:rFonts w:ascii="Arial" w:cs="Arial" w:eastAsia="Arial" w:hAnsi="Arial"/>
                <w:sz w:val="11"/>
                <w:szCs w:val="11"/>
                <w:color w:val="auto"/>
              </w:rPr>
              <w:t>Operating net income avail. to common stock (non-GAAP)</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4,854</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5,650</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6,051</w:t>
            </w:r>
          </w:p>
        </w:tc>
        <w:tc>
          <w:tcPr>
            <w:tcW w:w="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3,299</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100" w:type="dxa"/>
            <w:vAlign w:val="bottom"/>
            <w:tcBorders>
              <w:top w:val="single" w:sz="8" w:color="CCEEFF"/>
            </w:tcBorders>
            <w:shd w:val="clear" w:color="auto" w:fill="CCEEFF"/>
          </w:tcPr>
          <w:p>
            <w:pPr>
              <w:spacing w:after="0"/>
              <w:rPr>
                <w:sz w:val="9"/>
                <w:szCs w:val="9"/>
                <w:color w:val="auto"/>
              </w:rPr>
            </w:pPr>
          </w:p>
        </w:tc>
        <w:tc>
          <w:tcPr>
            <w:tcW w:w="3220" w:type="dxa"/>
            <w:vAlign w:val="bottom"/>
            <w:tcBorders>
              <w:top w:val="single" w:sz="8" w:color="CCEEFF"/>
            </w:tcBorders>
            <w:shd w:val="clear" w:color="auto" w:fill="CCEEFF"/>
          </w:tcPr>
          <w:p>
            <w:pPr>
              <w:spacing w:after="0" w:line="112" w:lineRule="exact"/>
              <w:rPr>
                <w:sz w:val="20"/>
                <w:szCs w:val="20"/>
                <w:color w:val="auto"/>
              </w:rPr>
            </w:pPr>
            <w:r>
              <w:rPr>
                <w:rFonts w:ascii="Arial" w:cs="Arial" w:eastAsia="Arial" w:hAnsi="Arial"/>
                <w:sz w:val="11"/>
                <w:szCs w:val="11"/>
                <w:b w:val="1"/>
                <w:bCs w:val="1"/>
                <w:color w:val="auto"/>
              </w:rPr>
              <w:t>Allocation of operating net income per common stock class:</w:t>
            </w: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3220" w:type="dxa"/>
            <w:vAlign w:val="bottom"/>
          </w:tcPr>
          <w:p>
            <w:pPr>
              <w:ind w:left="100"/>
              <w:spacing w:after="0"/>
              <w:rPr>
                <w:sz w:val="20"/>
                <w:szCs w:val="20"/>
                <w:color w:val="auto"/>
              </w:rPr>
            </w:pPr>
            <w:r>
              <w:rPr>
                <w:rFonts w:ascii="Arial" w:cs="Arial" w:eastAsia="Arial" w:hAnsi="Arial"/>
                <w:sz w:val="11"/>
                <w:szCs w:val="11"/>
                <w:color w:val="auto"/>
              </w:rPr>
              <w:t>Class A common stock</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4,854</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5,650</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5,598</w:t>
            </w:r>
          </w:p>
        </w:tc>
        <w:tc>
          <w:tcPr>
            <w:tcW w:w="2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2,509</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3,042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B common stock</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453</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790</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gridSpan w:val="2"/>
          </w:tcPr>
          <w:p>
            <w:pPr>
              <w:ind w:left="100"/>
              <w:spacing w:after="0"/>
              <w:rPr>
                <w:sz w:val="20"/>
                <w:szCs w:val="20"/>
                <w:color w:val="auto"/>
              </w:rPr>
            </w:pPr>
            <w:r>
              <w:rPr>
                <w:rFonts w:ascii="Arial" w:cs="Arial" w:eastAsia="Arial" w:hAnsi="Arial"/>
                <w:sz w:val="11"/>
                <w:szCs w:val="11"/>
                <w:b w:val="1"/>
                <w:bCs w:val="1"/>
                <w:color w:val="auto"/>
              </w:rPr>
              <w:t>Weighted average shares outstanding: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A common stock</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3220" w:type="dxa"/>
            <w:vAlign w:val="bottom"/>
          </w:tcPr>
          <w:p>
            <w:pPr>
              <w:ind w:left="200"/>
              <w:spacing w:after="0"/>
              <w:rPr>
                <w:sz w:val="20"/>
                <w:szCs w:val="20"/>
                <w:color w:val="auto"/>
              </w:rPr>
            </w:pPr>
            <w:r>
              <w:rPr>
                <w:rFonts w:ascii="Arial" w:cs="Arial" w:eastAsia="Arial" w:hAnsi="Arial"/>
                <w:sz w:val="11"/>
                <w:szCs w:val="11"/>
                <w:color w:val="auto"/>
              </w:rPr>
              <w:t>Basic</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19,994,953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18,913,914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15,121,460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3,889,469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3,889,469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20,109,783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19,023,686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15,187,729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3,933,636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3,913,279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3220" w:type="dxa"/>
            <w:vAlign w:val="bottom"/>
          </w:tcPr>
          <w:p>
            <w:pPr>
              <w:ind w:left="100"/>
              <w:spacing w:after="0"/>
              <w:rPr>
                <w:sz w:val="20"/>
                <w:szCs w:val="20"/>
                <w:color w:val="auto"/>
              </w:rPr>
            </w:pPr>
            <w:r>
              <w:rPr>
                <w:rFonts w:ascii="Arial" w:cs="Arial" w:eastAsia="Arial" w:hAnsi="Arial"/>
                <w:sz w:val="11"/>
                <w:szCs w:val="11"/>
                <w:color w:val="auto"/>
              </w:rPr>
              <w:t>Class B common stock</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Basic</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3220" w:type="dxa"/>
            <w:vAlign w:val="bottom"/>
          </w:tcPr>
          <w:p>
            <w:pPr>
              <w:ind w:left="200"/>
              <w:spacing w:after="0"/>
              <w:rPr>
                <w:sz w:val="20"/>
                <w:szCs w:val="20"/>
                <w:color w:val="auto"/>
              </w:rPr>
            </w:pPr>
            <w:r>
              <w:rPr>
                <w:rFonts w:ascii="Arial" w:cs="Arial" w:eastAsia="Arial" w:hAnsi="Arial"/>
                <w:sz w:val="11"/>
                <w:szCs w:val="11"/>
                <w:color w:val="auto"/>
              </w:rPr>
              <w:t>Diluted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Diluted EPS: </w:t>
            </w:r>
            <w:r>
              <w:rPr>
                <w:rFonts w:ascii="Arial" w:cs="Arial" w:eastAsia="Arial" w:hAnsi="Arial"/>
                <w:sz w:val="14"/>
                <w:szCs w:val="14"/>
                <w:color w:val="auto"/>
                <w:vertAlign w:val="superscript"/>
              </w:rPr>
              <w:t>(3) (4)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3220" w:type="dxa"/>
            <w:vAlign w:val="bottom"/>
          </w:tcPr>
          <w:p>
            <w:pPr>
              <w:ind w:left="100"/>
              <w:spacing w:after="0"/>
              <w:rPr>
                <w:sz w:val="20"/>
                <w:szCs w:val="20"/>
                <w:color w:val="auto"/>
              </w:rPr>
            </w:pPr>
            <w:r>
              <w:rPr>
                <w:rFonts w:ascii="Arial" w:cs="Arial" w:eastAsia="Arial" w:hAnsi="Arial"/>
                <w:sz w:val="11"/>
                <w:szCs w:val="11"/>
                <w:color w:val="auto"/>
              </w:rPr>
              <w:t>Class A common stock</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(loss) per diluted share (GAAP)</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0.24</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(5.11)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0.64</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3220" w:type="dxa"/>
            <w:vAlign w:val="bottom"/>
          </w:tcPr>
          <w:p>
            <w:pPr>
              <w:ind w:left="200"/>
              <w:spacing w:after="0"/>
              <w:rPr>
                <w:sz w:val="20"/>
                <w:szCs w:val="20"/>
                <w:color w:val="auto"/>
              </w:rPr>
            </w:pPr>
            <w:r>
              <w:rPr>
                <w:rFonts w:ascii="Arial" w:cs="Arial" w:eastAsia="Arial" w:hAnsi="Arial"/>
                <w:sz w:val="11"/>
                <w:szCs w:val="11"/>
                <w:color w:val="auto"/>
              </w:rPr>
              <w:t>Add back: Exchange and redemption of preferred shares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5.48</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00" w:type="dxa"/>
            <w:vAlign w:val="bottom"/>
            <w:tcBorders>
              <w:top w:val="single" w:sz="8" w:color="CCEEFF"/>
            </w:tcBorders>
            <w:shd w:val="clear" w:color="auto" w:fill="CCEEFF"/>
          </w:tcPr>
          <w:p>
            <w:pPr>
              <w:spacing w:after="0"/>
              <w:rPr>
                <w:sz w:val="11"/>
                <w:szCs w:val="11"/>
                <w:color w:val="auto"/>
              </w:rPr>
            </w:pPr>
          </w:p>
        </w:tc>
        <w:tc>
          <w:tcPr>
            <w:tcW w:w="32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Operating net income per diluted share (non-GAAP)</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0.24</w:t>
            </w:r>
          </w:p>
        </w:tc>
        <w:tc>
          <w:tcPr>
            <w:tcW w:w="20" w:type="dxa"/>
            <w:vAlign w:val="bottom"/>
            <w:tcBorders>
              <w:bottom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0.30</w:t>
            </w: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0.37</w:t>
            </w:r>
          </w:p>
        </w:tc>
        <w:tc>
          <w:tcPr>
            <w:tcW w:w="20" w:type="dxa"/>
            <w:vAlign w:val="bottom"/>
            <w:tcBorders>
              <w:bottom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0.64</w:t>
            </w:r>
          </w:p>
        </w:tc>
        <w:tc>
          <w:tcPr>
            <w:tcW w:w="20" w:type="dxa"/>
            <w:vAlign w:val="bottom"/>
            <w:tcBorders>
              <w:bottom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0.78</w:t>
            </w:r>
          </w:p>
        </w:tc>
        <w:tc>
          <w:tcPr>
            <w:tcW w:w="2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20" w:type="dxa"/>
            <w:vAlign w:val="bottom"/>
            <w:vMerge w:val="restart"/>
          </w:tcPr>
          <w:p>
            <w:pPr>
              <w:ind w:left="100"/>
              <w:spacing w:after="0"/>
              <w:rPr>
                <w:sz w:val="20"/>
                <w:szCs w:val="20"/>
                <w:color w:val="auto"/>
              </w:rPr>
            </w:pPr>
            <w:r>
              <w:rPr>
                <w:rFonts w:ascii="Arial" w:cs="Arial" w:eastAsia="Arial" w:hAnsi="Arial"/>
                <w:sz w:val="11"/>
                <w:szCs w:val="11"/>
                <w:color w:val="auto"/>
              </w:rPr>
              <w:t>Class B common stock</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00" w:type="dxa"/>
            <w:vAlign w:val="bottom"/>
          </w:tcPr>
          <w:p>
            <w:pPr>
              <w:spacing w:after="0"/>
              <w:rPr>
                <w:sz w:val="11"/>
                <w:szCs w:val="11"/>
                <w:color w:val="auto"/>
              </w:rPr>
            </w:pPr>
          </w:p>
        </w:tc>
        <w:tc>
          <w:tcPr>
            <w:tcW w:w="32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(loss) per diluted share (GAAP)</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3220" w:type="dxa"/>
            <w:vAlign w:val="bottom"/>
          </w:tcPr>
          <w:p>
            <w:pPr>
              <w:ind w:left="200"/>
              <w:spacing w:after="0"/>
              <w:rPr>
                <w:sz w:val="20"/>
                <w:szCs w:val="20"/>
                <w:color w:val="auto"/>
              </w:rPr>
            </w:pPr>
            <w:r>
              <w:rPr>
                <w:rFonts w:ascii="Arial" w:cs="Arial" w:eastAsia="Arial" w:hAnsi="Arial"/>
                <w:sz w:val="11"/>
                <w:szCs w:val="11"/>
                <w:color w:val="auto"/>
              </w:rPr>
              <w:t>Add back: Exchange and redemption of preferred shares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00" w:type="dxa"/>
            <w:vAlign w:val="bottom"/>
            <w:tcBorders>
              <w:top w:val="single" w:sz="8" w:color="CCEEFF"/>
            </w:tcBorders>
            <w:shd w:val="clear" w:color="auto" w:fill="CCEEFF"/>
          </w:tcPr>
          <w:p>
            <w:pPr>
              <w:spacing w:after="0"/>
              <w:rPr>
                <w:sz w:val="11"/>
                <w:szCs w:val="11"/>
                <w:color w:val="auto"/>
              </w:rPr>
            </w:pPr>
          </w:p>
        </w:tc>
        <w:tc>
          <w:tcPr>
            <w:tcW w:w="32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Operating net income per diluted share (non-GAAP)</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0.07</w:t>
            </w:r>
          </w:p>
        </w:tc>
        <w:tc>
          <w:tcPr>
            <w:tcW w:w="20" w:type="dxa"/>
            <w:vAlign w:val="bottom"/>
            <w:tcBorders>
              <w:bottom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20" w:type="dxa"/>
            <w:vAlign w:val="bottom"/>
            <w:tcBorders>
              <w:bottom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0.16</w:t>
            </w:r>
          </w:p>
        </w:tc>
        <w:tc>
          <w:tcPr>
            <w:tcW w:w="2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860" w:hanging="197"/>
        <w:spacing w:after="0"/>
        <w:tabs>
          <w:tab w:leader="none" w:pos="8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 a key indicator of the ongoing earnings power of the Company.</w:t>
      </w:r>
    </w:p>
    <w:p>
      <w:pPr>
        <w:spacing w:after="0" w:line="22" w:lineRule="exact"/>
        <w:rPr>
          <w:rFonts w:ascii="Arial" w:cs="Arial" w:eastAsia="Arial" w:hAnsi="Arial"/>
          <w:sz w:val="11"/>
          <w:szCs w:val="11"/>
          <w:color w:val="auto"/>
        </w:rPr>
      </w:pPr>
    </w:p>
    <w:p>
      <w:pPr>
        <w:ind w:left="660" w:right="679" w:firstLine="3"/>
        <w:spacing w:after="0" w:line="289" w:lineRule="auto"/>
        <w:tabs>
          <w:tab w:leader="none" w:pos="851" w:val="left"/>
        </w:tabs>
        <w:numPr>
          <w:ilvl w:val="0"/>
          <w:numId w:val="15"/>
        </w:numPr>
        <w:rPr>
          <w:rFonts w:ascii="Arial" w:cs="Arial" w:eastAsia="Arial" w:hAnsi="Arial"/>
          <w:sz w:val="10"/>
          <w:szCs w:val="10"/>
          <w:color w:val="auto"/>
        </w:rPr>
      </w:pPr>
      <w:r>
        <w:rPr>
          <w:rFonts w:ascii="Arial" w:cs="Arial" w:eastAsia="Arial" w:hAnsi="Arial"/>
          <w:sz w:val="10"/>
          <w:szCs w:val="10"/>
          <w:color w:val="auto"/>
        </w:rPr>
        <w:t>During the quarter ended September 30, 2021, 47,473 shares of Class C preferred stock and 11,061,552 shares of Class D preferred stock converted into 10,278,072 shares of Class A common stock. Additionally, the Bank closed on the initial public offering of its Class A common stock on July 27, 2021, in which it issued 4,600,000 shares of Class A common stock. As such, the total shares issued and outstanding of Class A common stock was 18,767,541 shares at September 30, 2021.</w:t>
      </w:r>
    </w:p>
    <w:p>
      <w:pPr>
        <w:ind w:left="660" w:right="979" w:firstLine="3"/>
        <w:spacing w:after="0" w:line="262" w:lineRule="auto"/>
        <w:tabs>
          <w:tab w:leader="none" w:pos="851" w:val="left"/>
        </w:tabs>
        <w:numPr>
          <w:ilvl w:val="0"/>
          <w:numId w:val="15"/>
        </w:numPr>
        <w:rPr>
          <w:rFonts w:ascii="Arial" w:cs="Arial" w:eastAsia="Arial" w:hAnsi="Arial"/>
          <w:sz w:val="11"/>
          <w:szCs w:val="11"/>
          <w:color w:val="auto"/>
        </w:rPr>
      </w:pPr>
      <w:r>
        <w:rPr>
          <w:rFonts w:ascii="Arial" w:cs="Arial" w:eastAsia="Arial" w:hAnsi="Arial"/>
          <w:sz w:val="11"/>
          <w:szCs w:val="11"/>
          <w:color w:val="auto"/>
        </w:rPr>
        <w:t>During the quarter ended September 30, 2021, basic net loss per share is the same as diluted net loss per share as the inclusion of all potential common shares outstanding would have been antidilutive.</w:t>
      </w:r>
    </w:p>
    <w:p>
      <w:pPr>
        <w:ind w:left="660" w:right="739" w:firstLine="3"/>
        <w:spacing w:after="0" w:line="252" w:lineRule="auto"/>
        <w:tabs>
          <w:tab w:leader="none" w:pos="851" w:val="left"/>
        </w:tabs>
        <w:numPr>
          <w:ilvl w:val="0"/>
          <w:numId w:val="15"/>
        </w:numPr>
        <w:rPr>
          <w:rFonts w:ascii="Arial" w:cs="Arial" w:eastAsia="Arial" w:hAnsi="Arial"/>
          <w:sz w:val="11"/>
          <w:szCs w:val="11"/>
          <w:color w:val="auto"/>
        </w:rPr>
      </w:pPr>
      <w:r>
        <w:rPr>
          <w:rFonts w:ascii="Arial" w:cs="Arial" w:eastAsia="Arial" w:hAnsi="Arial"/>
          <w:sz w:val="11"/>
          <w:szCs w:val="11"/>
          <w:color w:val="auto"/>
        </w:rPr>
        <w:t>During the quarter ended December 31, 2021, the Company entered into agreements with the Class B shareholders to exchange all outstanding Class B non-voting stock for Class A voting common stock at a ratio of 5 to 1. In calculating net income (loss) per diluted share for the prior quarters presented, the allocation of operating net income available to common stockholders was based on the weighted average shares outstanding per common share class to the total weighted average shares outstanding during each period. The operating net income allocation was calculated using the weighted average shares outstanding of Class B common stock on a as-converted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019"/>
          </w:cols>
          <w:pgMar w:left="1440" w:top="762" w:right="1440" w:bottom="1440"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636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2022-04-28T16:39:00Z</dcterms:created>
  <dcterms:modified xsi:type="dcterms:W3CDTF">2022-04-28T16:39:00Z</dcterms:modified>
</cp:coreProperties>
</file>