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23, 2025</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79" w:firstLine="512"/>
        <w:spacing w:after="0" w:line="263" w:lineRule="auto"/>
        <w:rPr>
          <w:sz w:val="20"/>
          <w:szCs w:val="20"/>
          <w:color w:val="auto"/>
        </w:rPr>
      </w:pPr>
      <w:r>
        <w:rPr>
          <w:rFonts w:ascii="Times New Roman" w:cs="Times New Roman" w:eastAsia="Times New Roman" w:hAnsi="Times New Roman"/>
          <w:sz w:val="14"/>
          <w:szCs w:val="14"/>
          <w:color w:val="auto"/>
        </w:rPr>
        <w:t>On January 23, 2025, USCB Financial Holdings, Inc. (the “Company”) issued a press release announcing its financial results for the quarter ended December 31, 2024. A copy of the press release is furnished as Exhibit 99.1 to this Current Report on Form 8-K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 except as expressly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11:00 a.m. ET on January 24, 2025, the Company will hold an earnings conference call to discuss its financial performance for the quarter ended December 31, 2024. A copy of the slides forming the basis of the presentation is being furnished as Exhibit 99.2 to this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5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7.01, including Exhibit 99.2, is being furnished and shall not be deemed “filed” for purposes of Section 18 of the Exchange Act, or otherwise subject to the liability of that section, and shall not be deemed to be incorporated by reference into any filing under the Securities Act or the Exchange Act except as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626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January 23, 2025</w:t>
            </w:r>
          </w:p>
        </w:tc>
      </w:tr>
      <w:tr>
        <w:trPr>
          <w:trHeight w:val="151"/>
        </w:trPr>
        <w:tc>
          <w:tcPr>
            <w:tcW w:w="9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99.2</w:t>
            </w:r>
          </w:p>
        </w:tc>
        <w:tc>
          <w:tcPr>
            <w:tcW w:w="3680" w:type="dxa"/>
            <w:vAlign w:val="bottom"/>
            <w:tcBorders>
              <w:top w:val="single" w:sz="8" w:color="0563C1"/>
            </w:tcBorders>
            <w:gridSpan w:val="2"/>
          </w:tcPr>
          <w:p>
            <w:pPr>
              <w:spacing w:after="0" w:line="151" w:lineRule="exact"/>
              <w:rPr>
                <w:sz w:val="20"/>
                <w:szCs w:val="20"/>
                <w:color w:val="auto"/>
              </w:rPr>
            </w:pPr>
            <w:r>
              <w:rPr>
                <w:rFonts w:ascii="Times New Roman" w:cs="Times New Roman" w:eastAsia="Times New Roman" w:hAnsi="Times New Roman"/>
                <w:sz w:val="14"/>
                <w:szCs w:val="14"/>
                <w:color w:val="0563C1"/>
              </w:rPr>
              <w:t>Earnings Presentation, dated January 23, 2025</w:t>
            </w:r>
          </w:p>
        </w:tc>
        <w:tc>
          <w:tcPr>
            <w:tcW w:w="20" w:type="dxa"/>
            <w:vAlign w:val="bottom"/>
          </w:tcPr>
          <w:p>
            <w:pPr>
              <w:spacing w:after="0"/>
              <w:rPr>
                <w:sz w:val="13"/>
                <w:szCs w:val="13"/>
                <w:color w:val="auto"/>
              </w:rPr>
            </w:pPr>
          </w:p>
        </w:tc>
        <w:tc>
          <w:tcPr>
            <w:tcW w:w="280" w:type="dxa"/>
            <w:vAlign w:val="bottom"/>
            <w:tcBorders>
              <w:top w:val="single" w:sz="8" w:color="0563C1"/>
            </w:tcBorders>
          </w:tcPr>
          <w:p>
            <w:pPr>
              <w:spacing w:after="0"/>
              <w:rPr>
                <w:sz w:val="13"/>
                <w:szCs w:val="13"/>
                <w:color w:val="auto"/>
              </w:rPr>
            </w:pPr>
          </w:p>
        </w:tc>
        <w:tc>
          <w:tcPr>
            <w:tcW w:w="2280" w:type="dxa"/>
            <w:vAlign w:val="bottom"/>
          </w:tcPr>
          <w:p>
            <w:pPr>
              <w:spacing w:after="0"/>
              <w:rPr>
                <w:sz w:val="13"/>
                <w:szCs w:val="13"/>
                <w:color w:val="auto"/>
              </w:rPr>
            </w:pP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62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w:t>
            </w:r>
          </w:p>
        </w:tc>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January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76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60" w:right="659"/>
        <w:spacing w:after="0" w:line="267" w:lineRule="auto"/>
        <w:rPr>
          <w:sz w:val="20"/>
          <w:szCs w:val="20"/>
          <w:color w:val="auto"/>
        </w:rPr>
      </w:pPr>
      <w:r>
        <w:rPr>
          <w:rFonts w:ascii="Times New Roman" w:cs="Times New Roman" w:eastAsia="Times New Roman" w:hAnsi="Times New Roman"/>
          <w:sz w:val="16"/>
          <w:szCs w:val="16"/>
          <w:b w:val="1"/>
          <w:bCs w:val="1"/>
          <w:color w:val="auto"/>
        </w:rPr>
        <w:t>USCB Financial Holdings, Inc. Reports Fully Diluted EPS of $0.34 for Q4 2024 and doubles the quarterly dividend to $0.10 per share; ROAA of 1.08% and ROAE of 12.73%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MIAMI, FL – January 23, 2025 – USCB Financial Holdings, Inc. (the “Company”) (NASDAQ: USCB)</w:t>
      </w:r>
      <w:r>
        <w:rPr>
          <w:rFonts w:ascii="Times New Roman" w:cs="Times New Roman" w:eastAsia="Times New Roman" w:hAnsi="Times New Roman"/>
          <w:sz w:val="14"/>
          <w:szCs w:val="14"/>
          <w:color w:val="auto"/>
        </w:rPr>
        <w:t>, the holding company for</w:t>
      </w:r>
    </w:p>
    <w:p>
      <w:pPr>
        <w:spacing w:after="0" w:line="25" w:lineRule="exact"/>
        <w:rPr>
          <w:sz w:val="20"/>
          <w:szCs w:val="20"/>
          <w:color w:val="auto"/>
        </w:rPr>
      </w:pPr>
    </w:p>
    <w:p>
      <w:pPr>
        <w:jc w:val="both"/>
        <w:ind w:left="660" w:right="679"/>
        <w:spacing w:after="0" w:line="253" w:lineRule="auto"/>
        <w:rPr>
          <w:sz w:val="20"/>
          <w:szCs w:val="20"/>
          <w:color w:val="auto"/>
        </w:rPr>
      </w:pPr>
      <w:r>
        <w:rPr>
          <w:rFonts w:ascii="Times New Roman" w:cs="Times New Roman" w:eastAsia="Times New Roman" w:hAnsi="Times New Roman"/>
          <w:sz w:val="14"/>
          <w:szCs w:val="14"/>
          <w:color w:val="auto"/>
        </w:rPr>
        <w:t>U.S. Century Bank (the “Bank”), reported net income of $6.9 million or $0.34 per fully diluted share for the three months ended December 31, 2024, compared with net income of $2.7 million or $0.14 per fully diluted share for the same period in 2023.</w:t>
      </w:r>
    </w:p>
    <w:p>
      <w:pPr>
        <w:spacing w:after="0" w:line="138" w:lineRule="exact"/>
        <w:rPr>
          <w:sz w:val="20"/>
          <w:szCs w:val="20"/>
          <w:color w:val="auto"/>
        </w:rPr>
      </w:pPr>
    </w:p>
    <w:p>
      <w:pPr>
        <w:jc w:val="both"/>
        <w:ind w:left="660" w:right="679"/>
        <w:spacing w:after="0" w:line="248" w:lineRule="auto"/>
        <w:rPr>
          <w:sz w:val="20"/>
          <w:szCs w:val="20"/>
          <w:color w:val="auto"/>
        </w:rPr>
      </w:pPr>
      <w:r>
        <w:rPr>
          <w:rFonts w:ascii="Times New Roman" w:cs="Times New Roman" w:eastAsia="Times New Roman" w:hAnsi="Times New Roman"/>
          <w:sz w:val="14"/>
          <w:szCs w:val="14"/>
          <w:color w:val="auto"/>
        </w:rPr>
        <w:t>“The results in Q4 2024, highlight a record year for USCB. The team outperformed our internal budget and delivered impressive results for our shareholders. A year ago, we posted $0.14 per share in diluted EPS in Q4 2023 and more than doubled those earnings this quarter to $0.34 per share. Our continued focus on reducing deposit costs has contributed to the net interest margin (NIM) expansion, helping us maintain solid profitability. While we did experience an increase in non-interest expense, primarily due to non-routine items, overall profitability was consistent with the third quarter. Given the earnings power of the Company, outlook for 2025, and strong capital levels, the board approved to double the quarterly cash dividend to $0.10 per share. For 2025, we remain focused on managing operating costs efficiently to drive sustainable performance and delivering value to our shareholders.” said Luis de la Aguilera, Chairman, President, and CEO.</w:t>
      </w:r>
    </w:p>
    <w:p>
      <w:pPr>
        <w:spacing w:after="0" w:line="142" w:lineRule="exact"/>
        <w:rPr>
          <w:sz w:val="20"/>
          <w:szCs w:val="20"/>
          <w:color w:val="auto"/>
        </w:rPr>
      </w:pPr>
    </w:p>
    <w:p>
      <w:pPr>
        <w:ind w:left="660" w:right="699"/>
        <w:spacing w:after="0" w:line="273" w:lineRule="auto"/>
        <w:rPr>
          <w:sz w:val="20"/>
          <w:szCs w:val="20"/>
          <w:color w:val="auto"/>
        </w:rPr>
      </w:pPr>
      <w:r>
        <w:rPr>
          <w:rFonts w:ascii="Times New Roman" w:cs="Times New Roman" w:eastAsia="Times New Roman" w:hAnsi="Times New Roman"/>
          <w:sz w:val="14"/>
          <w:szCs w:val="14"/>
          <w:color w:val="auto"/>
        </w:rPr>
        <w:t>Unless otherwise stated, all percentage comparisons in the bullet points below are calculated at or for the quarter ended December 31, 2024 compared to at or for the quarter ended December 31, 2023 and annualized where appropriate.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Profitability</w:t>
      </w:r>
    </w:p>
    <w:p>
      <w:pPr>
        <w:spacing w:after="0" w:line="161" w:lineRule="exact"/>
        <w:rPr>
          <w:sz w:val="20"/>
          <w:szCs w:val="20"/>
          <w:color w:val="auto"/>
        </w:rPr>
      </w:pPr>
    </w:p>
    <w:p>
      <w:pPr>
        <w:ind w:left="920" w:right="659" w:hanging="257"/>
        <w:spacing w:after="0" w:line="289"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assets for the quarter ended December 31, 2024 was 1.08% compared to 0.48% for the fourth quarter of 2023.</w:t>
      </w:r>
    </w:p>
    <w:p>
      <w:pPr>
        <w:spacing w:after="0" w:line="10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stockholders’ equity for the quarter ended December 31, 2024 was 12.73% compared to 5.88% for the fourth quarter of 2023.</w:t>
      </w:r>
    </w:p>
    <w:p>
      <w:pPr>
        <w:spacing w:after="0" w:line="113"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for the quarter ended December 31, 2024 was 55.92% compared to 68.27% for the fourth quarter of 2023.</w:t>
      </w:r>
    </w:p>
    <w:p>
      <w:pPr>
        <w:spacing w:after="0" w:line="15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for the quarter ended December 31, 2024 was 3.16% compared to 2.65% for the fourth quarter of 2023.</w:t>
      </w:r>
    </w:p>
    <w:p>
      <w:pPr>
        <w:spacing w:after="0" w:line="169" w:lineRule="exact"/>
        <w:rPr>
          <w:rFonts w:ascii="Times New Roman" w:cs="Times New Roman" w:eastAsia="Times New Roman" w:hAnsi="Times New Roman"/>
          <w:sz w:val="14"/>
          <w:szCs w:val="14"/>
          <w:color w:val="auto"/>
        </w:rPr>
      </w:pPr>
    </w:p>
    <w:p>
      <w:pPr>
        <w:ind w:left="920" w:right="69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before provision for credit losses was $19.4 million for the quarter ended December 31, 2024, an increase of $5.0 million or 34.7% compared to the fourth quarter of 2023.</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161" w:lineRule="exact"/>
        <w:rPr>
          <w:sz w:val="20"/>
          <w:szCs w:val="20"/>
          <w:color w:val="auto"/>
        </w:rPr>
      </w:pPr>
    </w:p>
    <w:p>
      <w:pPr>
        <w:ind w:left="920" w:right="67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were $2.6 billion at December 31, 2024, representing an increase of $242.1 million or 10.4% from $2.3 billion at December 31, 2023.</w:t>
      </w:r>
    </w:p>
    <w:p>
      <w:pPr>
        <w:spacing w:after="0" w:line="113" w:lineRule="exact"/>
        <w:rPr>
          <w:rFonts w:ascii="Times New Roman" w:cs="Times New Roman" w:eastAsia="Times New Roman" w:hAnsi="Times New Roman"/>
          <w:sz w:val="14"/>
          <w:szCs w:val="14"/>
          <w:color w:val="auto"/>
        </w:rPr>
      </w:pPr>
    </w:p>
    <w:p>
      <w:pPr>
        <w:ind w:left="920" w:right="699" w:hanging="257"/>
        <w:spacing w:after="0" w:line="27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loans held for investment were $2.0 billion at December 31, 2024, representing an increase of $192.0 million or 10.8% from $1.8 billion at December 31, 2023.</w:t>
      </w:r>
    </w:p>
    <w:p>
      <w:pPr>
        <w:spacing w:after="0" w:line="11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were $2.2 billion at December 31, 2024, representing an increase of $236.9 million or 12.2% from $1.9 billion at December 31, 2023.</w:t>
      </w:r>
    </w:p>
    <w:p>
      <w:pPr>
        <w:spacing w:after="0" w:line="113" w:lineRule="exact"/>
        <w:rPr>
          <w:rFonts w:ascii="Times New Roman" w:cs="Times New Roman" w:eastAsia="Times New Roman" w:hAnsi="Times New Roman"/>
          <w:sz w:val="14"/>
          <w:szCs w:val="14"/>
          <w:color w:val="auto"/>
        </w:rPr>
      </w:pPr>
    </w:p>
    <w:p>
      <w:pPr>
        <w:jc w:val="both"/>
        <w:ind w:left="920" w:right="679" w:hanging="257"/>
        <w:spacing w:after="0" w:line="255"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Total stockholders’ equity was $</w:t>
      </w:r>
      <w:r>
        <w:rPr>
          <w:rFonts w:ascii="Times New Roman" w:cs="Times New Roman" w:eastAsia="Times New Roman" w:hAnsi="Times New Roman"/>
          <w:sz w:val="14"/>
          <w:szCs w:val="14"/>
          <w:color w:val="auto"/>
        </w:rPr>
        <w:t>215.4</w:t>
      </w:r>
      <w:r>
        <w:rPr>
          <w:rFonts w:ascii="Times New Roman" w:cs="Times New Roman" w:eastAsia="Times New Roman" w:hAnsi="Times New Roman"/>
          <w:sz w:val="14"/>
          <w:szCs w:val="14"/>
          <w:color w:val="auto"/>
          <w:highlight w:val="white"/>
        </w:rPr>
        <w:t xml:space="preserve"> million at December 31, 2024, representing </w:t>
      </w:r>
      <w:r>
        <w:rPr>
          <w:rFonts w:ascii="Times New Roman" w:cs="Times New Roman" w:eastAsia="Times New Roman" w:hAnsi="Times New Roman"/>
          <w:sz w:val="14"/>
          <w:szCs w:val="14"/>
          <w:color w:val="auto"/>
        </w:rPr>
        <w:t>an increase of $23.4</w:t>
      </w:r>
      <w:r>
        <w:rPr>
          <w:rFonts w:ascii="Times New Roman" w:cs="Times New Roman" w:eastAsia="Times New Roman" w:hAnsi="Times New Roman"/>
          <w:sz w:val="14"/>
          <w:szCs w:val="14"/>
          <w:color w:val="auto"/>
          <w:highlight w:val="white"/>
        </w:rPr>
        <w:t xml:space="preserve"> million or </w:t>
      </w:r>
      <w:r>
        <w:rPr>
          <w:rFonts w:ascii="Times New Roman" w:cs="Times New Roman" w:eastAsia="Times New Roman" w:hAnsi="Times New Roman"/>
          <w:sz w:val="14"/>
          <w:szCs w:val="14"/>
          <w:color w:val="auto"/>
        </w:rPr>
        <w:t>12.2% from</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192.0</w:t>
      </w:r>
      <w:r>
        <w:rPr>
          <w:rFonts w:ascii="Times New Roman" w:cs="Times New Roman" w:eastAsia="Times New Roman" w:hAnsi="Times New Roman"/>
          <w:sz w:val="14"/>
          <w:szCs w:val="14"/>
          <w:color w:val="auto"/>
          <w:highlight w:val="white"/>
        </w:rPr>
        <w:t xml:space="preserve"> million at </w:t>
      </w:r>
      <w:r>
        <w:rPr>
          <w:rFonts w:ascii="Times New Roman" w:cs="Times New Roman" w:eastAsia="Times New Roman" w:hAnsi="Times New Roman"/>
          <w:sz w:val="14"/>
          <w:szCs w:val="14"/>
          <w:color w:val="auto"/>
        </w:rPr>
        <w:t>December 31, 2023. Total stockholders’ equity included accumulated comprehensive loss of $44.5 million at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December 31, 2024 compared to accumulated comprehensive loss of $44.3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1" w:right="1440"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Asset Quality</w:t>
      </w:r>
    </w:p>
    <w:p>
      <w:pPr>
        <w:spacing w:after="0" w:line="172" w:lineRule="exact"/>
        <w:rPr>
          <w:sz w:val="20"/>
          <w:szCs w:val="20"/>
          <w:color w:val="auto"/>
        </w:rPr>
      </w:pPr>
    </w:p>
    <w:p>
      <w:pPr>
        <w:ind w:left="920" w:right="69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(“ACL”) increased by $3.0 million to $24.1 million at December 31, 2024 from $21.1 million at December 31, 2023.</w:t>
      </w:r>
    </w:p>
    <w:p>
      <w:pPr>
        <w:spacing w:after="0" w:line="124"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ACL represented 1.22% of total loans at December 31, 2024 and 1.18% at December 31, 2023.</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credit loss was $1.0 million for the quarter ended December 31, 2024, a decrease of $445 thousand compared to the fourth quarter of 2023.</w:t>
      </w:r>
    </w:p>
    <w:p>
      <w:pPr>
        <w:spacing w:after="0" w:line="124"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loans to total loans was 0.14% at December 31, 2024 and 0.03% at December 31, 2023. Nonperforming loans totaled $2.7 million at December 31, 2024 and $468 thousand at December 31, 2023.</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61" w:lineRule="exact"/>
        <w:rPr>
          <w:sz w:val="20"/>
          <w:szCs w:val="20"/>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income was $3.6 million for the three months ended December 31, 2024, an increase of $2.3 million or 173.5% compared to $1.3 million for the same period in 2023.</w:t>
      </w:r>
    </w:p>
    <w:p>
      <w:pPr>
        <w:spacing w:after="0" w:line="10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was $12.9 million for the three months ended December 31, 2024, an increase of $2.1 million or 19.9% compared to $10.7 million for the same period in 2023.</w:t>
      </w:r>
    </w:p>
    <w:p>
      <w:pPr>
        <w:spacing w:after="0" w:line="103" w:lineRule="exact"/>
        <w:rPr>
          <w:rFonts w:ascii="Times New Roman" w:cs="Times New Roman" w:eastAsia="Times New Roman" w:hAnsi="Times New Roman"/>
          <w:sz w:val="14"/>
          <w:szCs w:val="14"/>
          <w:color w:val="auto"/>
        </w:rPr>
      </w:pPr>
    </w:p>
    <w:p>
      <w:pPr>
        <w:jc w:val="both"/>
        <w:ind w:left="920" w:right="679" w:hanging="257"/>
        <w:spacing w:after="0" w:line="247"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for the three months ended December 31, 2024, increased $1.4 million compared to the three months ended September 30, 2024 due to routine increases of $362 thousand and non-routine increases of $1.0 million. Routine increases for the fourth quarter 2024 were: $110 thousand increase to salaries and employee benefits due to merit increases and higher replacement cost of personnel, $218 thousand increase in consulting and legal fees due to timing of billings throughout the year, and $104 thousand increase in other operating expense. Occupancy, regulatory assessment and fees, and network and information technology had a net decrease of $70 thousand. Non-routine increases for the fourth quarter 2024 were: $620 thousand in salaries and employee benefits due to restricted stock award expense (a shorter initial vesting period; annual expense was recognized in two months), $173 thousand in legal expenses for various items which the Company expects to be reimbursed in coming quarters, $174 thousand increase in other operating expenses due to forced placed-insurance expense related to borrowers which the Company expects to be reimbursed in coming quarters, and $71 thousand due to excise tax related to the Company’s stock repurchases pursuant to its previously announced stock repurchase programs. Non-routine expenses had an impact of ($0.04) on diluted EPS for the fourth quarter 2024.</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61" w:lineRule="exact"/>
        <w:rPr>
          <w:sz w:val="20"/>
          <w:szCs w:val="20"/>
          <w:color w:val="auto"/>
        </w:rPr>
      </w:pPr>
    </w:p>
    <w:p>
      <w:pPr>
        <w:jc w:val="both"/>
        <w:ind w:left="920" w:right="699" w:hanging="257"/>
        <w:spacing w:after="0" w:line="26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21, 2025, the Company’s Board of Directors declared a quarterly cash dividend of $0.10 per share of the Company’s Class A common stock. The dividend will be paid on March 5, 2025 to shareholders of record at the close of business on February 14, 2025.</w:t>
      </w:r>
    </w:p>
    <w:p>
      <w:pPr>
        <w:spacing w:after="0" w:line="132"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total risk-based capital ratios for the Company and the Bank were 13.51% and 13.34%, respectively.</w:t>
      </w:r>
    </w:p>
    <w:p>
      <w:pPr>
        <w:spacing w:after="0" w:line="159" w:lineRule="exact"/>
        <w:rPr>
          <w:rFonts w:ascii="Times New Roman" w:cs="Times New Roman" w:eastAsia="Times New Roman" w:hAnsi="Times New Roman"/>
          <w:sz w:val="14"/>
          <w:szCs w:val="14"/>
          <w:color w:val="auto"/>
        </w:rPr>
      </w:pPr>
    </w:p>
    <w:p>
      <w:pPr>
        <w:jc w:val="both"/>
        <w:ind w:left="920" w:right="679" w:hanging="257"/>
        <w:spacing w:after="0" w:line="255"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per common share (a non-GAAP measure) was $10.81 at December 31, 2024, representing increase of $1.00 or 10.2% from $9.81 at December 31, 2023. At December 31, 2024, tangible book value per common share was negatively affected by ($2.24) per share due to an accumulated comprehensive loss of $44.5 million due to changes in the market value of our available for sale securities during the fourth quarter. At December 31, 2023, tangible book value per common share was negatively affected by ($2.26) per share due to an accumulated comprehensive loss of $44.3 million.</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72"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t>The Company will host a conference call on Friday, January 24, 2025, at 11:00 a.m. Eastern Time to discuss the Company’s unaudited financial results for the quarter ended December 31, 2024. To access the conference call, dial (833) 816-1416 (U.S. toll-free) and ask to join the USCB Financial Holdings Call.</w:t>
      </w:r>
    </w:p>
    <w:p>
      <w:pPr>
        <w:spacing w:after="0" w:line="122" w:lineRule="exact"/>
        <w:rPr>
          <w:sz w:val="20"/>
          <w:szCs w:val="20"/>
          <w:color w:val="auto"/>
        </w:rPr>
      </w:pPr>
    </w:p>
    <w:p>
      <w:pPr>
        <w:jc w:val="both"/>
        <w:ind w:left="660" w:right="679"/>
        <w:spacing w:after="0" w:line="289" w:lineRule="auto"/>
        <w:rPr>
          <w:sz w:val="20"/>
          <w:szCs w:val="20"/>
          <w:color w:val="auto"/>
        </w:rPr>
      </w:pPr>
      <w:r>
        <w:rPr>
          <w:rFonts w:ascii="Times New Roman" w:cs="Times New Roman" w:eastAsia="Times New Roman" w:hAnsi="Times New Roman"/>
          <w:sz w:val="14"/>
          <w:szCs w:val="14"/>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About USCB Financial Holdings, Inc.</w:t>
      </w:r>
    </w:p>
    <w:p>
      <w:pPr>
        <w:spacing w:after="0" w:line="172" w:lineRule="exact"/>
        <w:rPr>
          <w:sz w:val="20"/>
          <w:szCs w:val="20"/>
          <w:color w:val="auto"/>
        </w:rPr>
      </w:pPr>
    </w:p>
    <w:p>
      <w:pPr>
        <w:jc w:val="both"/>
        <w:ind w:left="660" w:right="699"/>
        <w:spacing w:after="0" w:line="263" w:lineRule="auto"/>
        <w:rPr>
          <w:sz w:val="20"/>
          <w:szCs w:val="20"/>
          <w:color w:val="auto"/>
        </w:rPr>
      </w:pPr>
      <w:r>
        <w:rPr>
          <w:rFonts w:ascii="Times New Roman" w:cs="Times New Roman" w:eastAsia="Times New Roman" w:hAnsi="Times New Roman"/>
          <w:sz w:val="14"/>
          <w:szCs w:val="14"/>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5" w:name="page6"/>
    <w:bookmarkEnd w:id="5"/>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range of financial products and services and supports numerous community organizations, including the Greater Miami Chamber of Commerce, the South Florida Hispanic Chamber of Commerce, and ChamberSouth. For more information about us or to find a banking center near you, please call (305) 715-5200 or visit www.uscentury.com.</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1" w:lineRule="exact"/>
        <w:rPr>
          <w:sz w:val="20"/>
          <w:szCs w:val="20"/>
          <w:color w:val="auto"/>
        </w:rPr>
      </w:pPr>
    </w:p>
    <w:p>
      <w:pPr>
        <w:jc w:val="both"/>
        <w:ind w:left="660" w:right="679"/>
        <w:spacing w:after="0" w:line="248" w:lineRule="auto"/>
        <w:rPr>
          <w:sz w:val="20"/>
          <w:szCs w:val="20"/>
          <w:color w:val="auto"/>
        </w:rPr>
      </w:pPr>
      <w:r>
        <w:rPr>
          <w:rFonts w:ascii="Times New Roman" w:cs="Times New Roman" w:eastAsia="Times New Roman" w:hAnsi="Times New Roman"/>
          <w:sz w:val="14"/>
          <w:szCs w:val="14"/>
          <w:color w:val="auto"/>
        </w:rPr>
        <w:t>This earnings release may contain statements that are nothistorical in nature and are intended to be, and are hereby identified as, forward-looking statements for purposes of the safe harbor provided by Section 21E of the Securities Exchange Act of 1934, as amended. Forward-looking statements are those that are not historical facts. The words “may,” “will,” “anticipate,” “could,” “should,” “would,” “believe,” “contemplate,” “expect,” “aim,” “plan,” “estimate,” “seek,”“continue,” and “intend,”, the negative of these terms,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our results of operations and financial condition from expected or potential developments or events, or business and growth strategies, including anticipated internal growth and balance sheet restructuring.</w:t>
      </w:r>
    </w:p>
    <w:p>
      <w:pPr>
        <w:spacing w:after="0" w:line="146"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5" w:lineRule="exact"/>
        <w:rPr>
          <w:sz w:val="20"/>
          <w:szCs w:val="20"/>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 general and the strength of the local economies in which we conduct operations;</w:t>
      </w:r>
    </w:p>
    <w:p>
      <w:pPr>
        <w:spacing w:after="0" w:line="15"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interest rate risk, credit risk, liquidity risk, and other risks inherent to our industry;</w:t>
      </w:r>
    </w:p>
    <w:p>
      <w:pPr>
        <w:ind w:left="920" w:right="67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and effectiveness of our internal control procedures and processes;</w:t>
      </w:r>
    </w:p>
    <w:p>
      <w:pPr>
        <w:ind w:left="920" w:right="67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extensive laws and regulations to which we are subject, including the laws for each jurisdiction where we operate;</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or conditions in capital and financial markets, including actual or potential stresses in the banking industry;</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attrition and the level of our uninsured deposits;</w:t>
      </w:r>
    </w:p>
    <w:p>
      <w:pPr>
        <w:spacing w:after="0" w:line="7" w:lineRule="exact"/>
        <w:rPr>
          <w:rFonts w:ascii="Times New Roman" w:cs="Times New Roman" w:eastAsia="Times New Roman" w:hAnsi="Times New Roman"/>
          <w:sz w:val="14"/>
          <w:szCs w:val="14"/>
          <w:color w:val="auto"/>
        </w:rPr>
      </w:pPr>
    </w:p>
    <w:p>
      <w:pPr>
        <w:ind w:left="920" w:right="699"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and changes in accounting principles, policies, practices or guidelines, including the on-going effects of the implementation of the Current Expected Credit Losses (“CECL”) standard;</w:t>
      </w:r>
    </w:p>
    <w:p>
      <w:pPr>
        <w:jc w:val="both"/>
        <w:ind w:left="920" w:right="679" w:hanging="257"/>
        <w:spacing w:after="0" w:line="243"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 significantly diversified loan portfolio and the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 change;</w:t>
      </w:r>
    </w:p>
    <w:p>
      <w:pPr>
        <w:spacing w:after="0" w:line="7"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ownership of our common stock;</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common stock;</w:t>
      </w:r>
    </w:p>
    <w:p>
      <w:pPr>
        <w:ind w:left="920" w:right="69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 unemployment rate, and market and monetary fluctuations;</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international hostilities and geopolitical events;</w:t>
      </w:r>
    </w:p>
    <w:p>
      <w:pPr>
        <w:spacing w:after="0" w:line="7" w:lineRule="exact"/>
        <w:rPr>
          <w:rFonts w:ascii="Times New Roman" w:cs="Times New Roman" w:eastAsia="Times New Roman" w:hAnsi="Times New Roman"/>
          <w:sz w:val="14"/>
          <w:szCs w:val="14"/>
          <w:color w:val="auto"/>
        </w:rPr>
      </w:pPr>
    </w:p>
    <w:p>
      <w:pPr>
        <w:ind w:left="920" w:right="699"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and its effect on the pricing of our products and services as well as our interest rate spread and net interest margin;</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employees;</w:t>
      </w:r>
    </w:p>
    <w:p>
      <w:pPr>
        <w:spacing w:after="0" w:line="7"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this earnings release and other filings we make with the Securities and Exchange Commission (“SEC”).</w:t>
      </w:r>
    </w:p>
    <w:p>
      <w:pPr>
        <w:spacing w:after="0" w:line="154"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filed or will file with the SEC.</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2"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operations and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3" w:right="1440" w:bottom="1440" w:gutter="0" w:footer="0" w:header="0"/>
        </w:sectPr>
      </w:pPr>
    </w:p>
    <w:bookmarkStart w:id="6" w:name="page7"/>
    <w:bookmarkEnd w:id="6"/>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necessarily comparable to non-GAAP measures that may be presented by other companies. Reconciliations of these non-GAAP measures to the most directly comparable GAAP measures can be found in the ‘Non-GAAP Reconciliation Tables’ included in the exhibits to this earnings release.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numbers included in this press release are unaudited unless otherwise noted.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InvestorRelations@uscentury.com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Media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Martha Guerra-Kattou</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3"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8"/>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c>
          <w:tcPr>
            <w:tcW w:w="0" w:type="dxa"/>
            <w:vAlign w:val="bottom"/>
          </w:tcPr>
          <w:p>
            <w:pPr>
              <w:spacing w:after="0"/>
              <w:rPr>
                <w:sz w:val="1"/>
                <w:szCs w:val="1"/>
                <w:color w:val="auto"/>
              </w:rPr>
            </w:pPr>
          </w:p>
        </w:tc>
      </w:tr>
      <w:tr>
        <w:trPr>
          <w:trHeight w:val="131"/>
        </w:trPr>
        <w:tc>
          <w:tcPr>
            <w:tcW w:w="32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30,757</w:t>
            </w:r>
          </w:p>
        </w:tc>
        <w:tc>
          <w:tcPr>
            <w:tcW w:w="20" w:type="dxa"/>
            <w:vAlign w:val="bottom"/>
          </w:tcPr>
          <w:p>
            <w:pPr>
              <w:spacing w:after="0"/>
              <w:rPr>
                <w:sz w:val="12"/>
                <w:szCs w:val="12"/>
                <w:color w:val="auto"/>
              </w:rPr>
            </w:pPr>
          </w:p>
        </w:tc>
        <w:tc>
          <w:tcPr>
            <w:tcW w:w="32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24,803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115,236</w:t>
            </w:r>
          </w:p>
        </w:tc>
        <w:tc>
          <w:tcPr>
            <w:tcW w:w="320" w:type="dxa"/>
            <w:vAlign w:val="bottom"/>
            <w:gridSpan w:val="3"/>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4,517</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34,167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131,233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101,017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40,098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6,336</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bottom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14,809</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13,600</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61,297</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42,449</w:t>
            </w:r>
          </w:p>
        </w:tc>
        <w:tc>
          <w:tcPr>
            <w:tcW w:w="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19,358</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69,936</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3,157</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66,779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(1,859)</w:t>
            </w:r>
          </w:p>
        </w:tc>
        <w:tc>
          <w:tcPr>
            <w:tcW w:w="0" w:type="dxa"/>
            <w:vAlign w:val="bottom"/>
          </w:tcPr>
          <w:p>
            <w:pPr>
              <w:spacing w:after="0"/>
              <w:rPr>
                <w:sz w:val="1"/>
                <w:szCs w:val="1"/>
                <w:color w:val="auto"/>
              </w:rPr>
            </w:pPr>
          </w:p>
        </w:tc>
      </w:tr>
      <w:tr>
        <w:trPr>
          <w:trHeight w:val="149"/>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28,793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2,136</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7,664</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6,781</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12,854</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47,042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32,477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21,796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24,674</w:t>
            </w:r>
          </w:p>
        </w:tc>
        <w:tc>
          <w:tcPr>
            <w:tcW w:w="60" w:type="dxa"/>
            <w:vAlign w:val="bottom"/>
            <w:gridSpan w:val="2"/>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16,545</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60" w:type="dxa"/>
            <w:vAlign w:val="bottom"/>
            <w:gridSpan w:val="2"/>
            <w:shd w:val="clear" w:color="auto" w:fill="CCEEFF"/>
          </w:tcPr>
          <w:p>
            <w:pPr>
              <w:spacing w:after="0"/>
              <w:rPr>
                <w:sz w:val="12"/>
                <w:szCs w:val="12"/>
                <w:color w:val="auto"/>
              </w:rPr>
            </w:pPr>
          </w:p>
        </w:tc>
        <w:tc>
          <w:tcPr>
            <w:tcW w:w="2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tcPr>
          <w:p>
            <w:pPr>
              <w:spacing w:after="0"/>
              <w:rPr>
                <w:sz w:val="13"/>
                <w:szCs w:val="13"/>
                <w:color w:val="auto"/>
              </w:rPr>
            </w:pPr>
          </w:p>
        </w:tc>
        <w:tc>
          <w:tcPr>
            <w:tcW w:w="32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320" w:type="dxa"/>
            <w:vAlign w:val="bottom"/>
            <w:gridSpan w:val="3"/>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Cash dividends declared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60" w:type="dxa"/>
            <w:vAlign w:val="bottom"/>
            <w:gridSpan w:val="2"/>
            <w:shd w:val="clear" w:color="auto" w:fill="CCEEFF"/>
          </w:tcPr>
          <w:p>
            <w:pPr>
              <w:spacing w:after="0"/>
              <w:rPr>
                <w:sz w:val="13"/>
                <w:szCs w:val="13"/>
                <w:color w:val="auto"/>
              </w:rPr>
            </w:pPr>
          </w:p>
        </w:tc>
        <w:tc>
          <w:tcPr>
            <w:tcW w:w="2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Common shares, basic</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19,795,589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19,503,043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19,675,444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19,621,698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Common shares, diluted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20,183,731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19,573,350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19,831,421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2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interest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17,311</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17,178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16,525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(883)</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3,627</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3,438</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3,211</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2,464</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1,326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2,136</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12,854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11,454</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11,174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9,162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1,967</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8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dividends declared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77,035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38,486</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77,261</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126,546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41,062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260,221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259,527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236,444</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259,992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164,694</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167,001</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169,606</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173,038</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174,974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424,915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426,528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406,050</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433,030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1,972,848</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1,931,362</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1,869,249</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1,821,196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1,780,827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(24,070)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(22,230)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(21,454)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(21,084)</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2,581,216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2,503,954</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2,458,270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2,489,142</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2,339,093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575,159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637,313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579,243</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576,626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1,598,845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1,489,304</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1,477,459</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1,526,168</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1,384,377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2,174,004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2,126,617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2,056,702</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2,102,794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163,000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118,000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2,365,828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2,290,038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2,257,250</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2,294,131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Capital ratios:</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860" w:hanging="197"/>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660" w:right="759" w:firstLine="3"/>
        <w:spacing w:after="0" w:line="283" w:lineRule="auto"/>
        <w:tabs>
          <w:tab w:leader="none" w:pos="822"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Company's regulatory capital ratios which are provided for informational purposes only; as a small bank holding company, the Company is not subject to regulatory capital requirements. The Bank's total risk-based capital for fourth quarter 2024 was 13.34%.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9" w:name="page10"/>
    <w:bookmarkEnd w:id="9"/>
    <w:p>
      <w:pPr>
        <w:ind w:left="3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56,937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87,937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107,831</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132,266</w:t>
            </w:r>
          </w:p>
        </w:tc>
        <w:tc>
          <w:tcPr>
            <w:tcW w:w="2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57,069</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255,786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239,896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215,649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168,632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171,682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174,142</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181,151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421,617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413,514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435,027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396,800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1,958,566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1,878,230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1,828,487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1,781,528</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1,698,611</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1,547,789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1,468,067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1,473,513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1,473,831</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1,336,470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590,829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609,456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610,370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574,760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577,133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2,138,618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2,077,523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2,083,883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2,048,591</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1,913,603</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156,043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164,187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139,000</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2,328,877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2,278,793</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2,281,467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2,243,011</w:t>
            </w:r>
          </w:p>
        </w:tc>
        <w:tc>
          <w:tcPr>
            <w:tcW w:w="2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2,085,182</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206,641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Non-interest income to average assets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expense to average assets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297,979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283,477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256,807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237,906</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204,419</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1,128,399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1,095,112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1,053,030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1,057,800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1,047,593</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258,311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246,539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248,525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228,045</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219,757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Correspondent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82,438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103,815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112,510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114,945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198,091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198,604</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194,644</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194,325</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191,930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assets to total assets</w:t>
            </w:r>
            <w:r>
              <w:rPr>
                <w:rFonts w:ascii="Times New Roman" w:cs="Times New Roman" w:eastAsia="Times New Roman" w:hAnsi="Times New Roman"/>
                <w:sz w:val="14"/>
                <w:szCs w:val="14"/>
                <w:color w:val="auto"/>
                <w:vertAlign w:val="superscript"/>
              </w:rPr>
              <w:t>(5)</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Deposits</w:t>
            </w:r>
            <w:r>
              <w:rPr>
                <w:rFonts w:ascii="Times New Roman" w:cs="Times New Roman" w:eastAsia="Times New Roman" w:hAnsi="Times New Roman"/>
                <w:sz w:val="14"/>
                <w:szCs w:val="14"/>
                <w:color w:val="auto"/>
                <w:vertAlign w:val="superscript"/>
              </w:rPr>
              <w:t>(6)</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0" w:type="dxa"/>
            <w:vAlign w:val="bottom"/>
            <w:shd w:val="clear" w:color="auto" w:fill="CCEEFF"/>
          </w:tcPr>
          <w:p>
            <w:pPr>
              <w:spacing w:after="0"/>
              <w:rPr>
                <w:sz w:val="12"/>
                <w:szCs w:val="12"/>
                <w:color w:val="auto"/>
              </w:rPr>
            </w:pPr>
          </w:p>
        </w:tc>
      </w:tr>
    </w:tbl>
    <w:p>
      <w:pPr>
        <w:spacing w:after="0" w:line="163" w:lineRule="exact"/>
        <w:rPr>
          <w:sz w:val="20"/>
          <w:szCs w:val="20"/>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33" w:lineRule="exact"/>
        <w:rPr>
          <w:rFonts w:ascii="Times New Roman" w:cs="Times New Roman" w:eastAsia="Times New Roman" w:hAnsi="Times New Roman"/>
          <w:sz w:val="11"/>
          <w:szCs w:val="11"/>
          <w:color w:val="auto"/>
        </w:rPr>
      </w:pPr>
    </w:p>
    <w:p>
      <w:pPr>
        <w:ind w:left="660" w:right="739" w:firstLine="3"/>
        <w:spacing w:after="0" w:line="273" w:lineRule="auto"/>
        <w:tabs>
          <w:tab w:leader="none" w:pos="851"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for total non-performing loans and total non-performingassets are the same at the dates presented since there was no other real estate owned (OREO) recorded.</w:t>
      </w:r>
    </w:p>
    <w:p>
      <w:pPr>
        <w:ind w:left="820" w:hanging="157"/>
        <w:spacing w:after="0"/>
        <w:tabs>
          <w:tab w:leader="none" w:pos="8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effect of non-interest-bearing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6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1,958,566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30,757</w:t>
            </w:r>
          </w:p>
        </w:tc>
        <w:tc>
          <w:tcPr>
            <w:tcW w:w="6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1,698,611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24,803</w:t>
            </w:r>
          </w:p>
        </w:tc>
        <w:tc>
          <w:tcPr>
            <w:tcW w:w="6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430,465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404,850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49,561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6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6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2,438,592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34,167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2,153,044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27,976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115,767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51,033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60" w:type="dxa"/>
            <w:vAlign w:val="bottom"/>
            <w:gridSpan w:val="2"/>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49,675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60" w:type="dxa"/>
            <w:vAlign w:val="bottom"/>
            <w:gridSpan w:val="2"/>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1,155,776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1,004,805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340,980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3,447</w:t>
            </w:r>
          </w:p>
        </w:tc>
        <w:tc>
          <w:tcPr>
            <w:tcW w:w="6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281,990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w:t>
            </w:r>
          </w:p>
        </w:tc>
        <w:tc>
          <w:tcPr>
            <w:tcW w:w="6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1,547,789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1,336,470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151,804</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1,455</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139,000</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1,699,593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1,475,470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590,829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38,455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32,579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2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2,328,877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2,085,182</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215,715</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shd w:val="clear" w:color="auto" w:fill="CCEEFF"/>
          </w:tcPr>
          <w:p>
            <w:pPr>
              <w:spacing w:after="0"/>
              <w:rPr>
                <w:sz w:val="12"/>
                <w:szCs w:val="12"/>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19,358</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620" w:type="dxa"/>
            <w:vAlign w:val="bottom"/>
            <w:tcBorders>
              <w:top w:val="single" w:sz="8" w:color="CCEEFF"/>
            </w:tcBorders>
            <w:gridSpan w:val="2"/>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 xml:space="preserve">Net interest spread </w:t>
            </w:r>
            <w:r>
              <w:rPr>
                <w:rFonts w:ascii="Times New Roman" w:cs="Times New Roman" w:eastAsia="Times New Roman" w:hAnsi="Times New Roman"/>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CCEEFF"/>
            </w:tcBorders>
            <w:gridSpan w:val="3"/>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2.10%</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CCEEFF"/>
            </w:tcBorders>
            <w:gridSpan w:val="3"/>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1.50%</w:t>
            </w: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earned on total interest-earning assets minus the average rate paid on total interest-bearingliabilities.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81"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ind w:left="2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10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20" w:type="dxa"/>
            <w:vAlign w:val="bottom"/>
          </w:tcPr>
          <w:p>
            <w:pPr>
              <w:spacing w:after="0"/>
              <w:rPr>
                <w:sz w:val="12"/>
                <w:szCs w:val="12"/>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Pre-tax pre-provision ("PTPP") income:</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shd w:val="clear" w:color="auto" w:fill="CCEEFF"/>
          </w:tcPr>
          <w:p>
            <w:pPr>
              <w:spacing w:after="0"/>
              <w:rPr>
                <w:sz w:val="13"/>
                <w:szCs w:val="13"/>
                <w:color w:val="auto"/>
              </w:rPr>
            </w:pPr>
          </w:p>
        </w:tc>
      </w:tr>
      <w:tr>
        <w:trPr>
          <w:trHeight w:val="18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tcPr>
          <w:p>
            <w:pPr>
              <w:spacing w:after="0"/>
              <w:rPr>
                <w:sz w:val="15"/>
                <w:szCs w:val="15"/>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tcBorders>
              <w:bottom w:val="single" w:sz="8" w:color="auto"/>
            </w:tcBorders>
            <w:shd w:val="clear" w:color="auto" w:fill="CCEEFF"/>
          </w:tcPr>
          <w:p>
            <w:pPr>
              <w:spacing w:after="0"/>
              <w:rPr>
                <w:sz w:val="11"/>
                <w:szCs w:val="11"/>
                <w:color w:val="auto"/>
              </w:rPr>
            </w:pPr>
          </w:p>
        </w:tc>
      </w:tr>
      <w:tr>
        <w:trPr>
          <w:trHeight w:val="20"/>
        </w:trPr>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0.87%</w:t>
            </w:r>
          </w:p>
        </w:tc>
        <w:tc>
          <w:tcPr>
            <w:tcW w:w="20" w:type="dxa"/>
            <w:vAlign w:val="bottom"/>
          </w:tcPr>
          <w:p>
            <w:pPr>
              <w:spacing w:after="0"/>
              <w:rPr>
                <w:sz w:val="13"/>
                <w:szCs w:val="13"/>
                <w:color w:val="auto"/>
              </w:rPr>
            </w:pPr>
          </w:p>
        </w:tc>
      </w:tr>
      <w:tr>
        <w:trPr>
          <w:trHeight w:val="171"/>
        </w:trPr>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net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(883)</w:t>
            </w: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0" w:type="dxa"/>
            <w:vAlign w:val="bottom"/>
            <w:shd w:val="clear" w:color="auto" w:fill="CCEEFF"/>
          </w:tcPr>
          <w:p>
            <w:pPr>
              <w:spacing w:after="0"/>
              <w:rPr>
                <w:sz w:val="13"/>
                <w:szCs w:val="13"/>
                <w:color w:val="auto"/>
              </w:rPr>
            </w:pPr>
          </w:p>
        </w:tc>
      </w:tr>
      <w:tr>
        <w:trPr>
          <w:trHeight w:val="191"/>
        </w:trPr>
        <w:tc>
          <w:tcPr>
            <w:tcW w:w="100" w:type="dxa"/>
            <w:vAlign w:val="bottom"/>
          </w:tcPr>
          <w:p>
            <w:pPr>
              <w:spacing w:after="0"/>
              <w:rPr>
                <w:sz w:val="16"/>
                <w:szCs w:val="16"/>
                <w:color w:val="auto"/>
              </w:rPr>
            </w:pPr>
          </w:p>
        </w:tc>
        <w:tc>
          <w:tcPr>
            <w:tcW w:w="310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gridSpan w:val="2"/>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PTPP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(883)</w:t>
            </w:r>
          </w:p>
        </w:tc>
      </w:tr>
      <w:tr>
        <w:trPr>
          <w:trHeight w:val="140"/>
        </w:trPr>
        <w:tc>
          <w:tcPr>
            <w:tcW w:w="100" w:type="dxa"/>
            <w:vAlign w:val="bottom"/>
            <w:tcBorders>
              <w:top w:val="single" w:sz="8" w:color="CCEEFF"/>
            </w:tcBorders>
            <w:shd w:val="clear" w:color="auto" w:fill="CCEEFF"/>
          </w:tcPr>
          <w:p>
            <w:pPr>
              <w:spacing w:after="0"/>
              <w:rPr>
                <w:sz w:val="12"/>
                <w:szCs w:val="12"/>
                <w:color w:val="auto"/>
              </w:rPr>
            </w:pPr>
          </w:p>
        </w:tc>
        <w:tc>
          <w:tcPr>
            <w:tcW w:w="31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8,948</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5,866</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1"/>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8,948</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5,866</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Operating 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Operating return on average assets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equity:</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equity</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215,715</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206,641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197,755</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193,092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Operating return on average equity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Revenue: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interest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19,358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Non-interest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(883)</w:t>
            </w:r>
          </w:p>
        </w:tc>
      </w:tr>
      <w:tr>
        <w:trPr>
          <w:trHeight w:val="191"/>
        </w:trPr>
        <w:tc>
          <w:tcPr>
            <w:tcW w:w="100" w:type="dxa"/>
            <w:vAlign w:val="bottom"/>
          </w:tcPr>
          <w:p>
            <w:pPr>
              <w:spacing w:after="0"/>
              <w:rPr>
                <w:sz w:val="16"/>
                <w:szCs w:val="16"/>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21,547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20,508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16,585</w:t>
            </w:r>
          </w:p>
        </w:tc>
        <w:tc>
          <w:tcPr>
            <w:tcW w:w="20" w:type="dxa"/>
            <w:vAlign w:val="bottom"/>
          </w:tcPr>
          <w:p>
            <w:pPr>
              <w:spacing w:after="0"/>
              <w:rPr>
                <w:sz w:val="16"/>
                <w:szCs w:val="16"/>
                <w:color w:val="auto"/>
              </w:rPr>
            </w:pPr>
          </w:p>
        </w:tc>
      </w:tr>
      <w:tr>
        <w:trPr>
          <w:trHeight w:val="100"/>
        </w:trPr>
        <w:tc>
          <w:tcPr>
            <w:tcW w:w="100" w:type="dxa"/>
            <w:vAlign w:val="bottom"/>
            <w:tcBorders>
              <w:top w:val="single" w:sz="8" w:color="CCEEFF"/>
            </w:tcBorders>
            <w:shd w:val="clear" w:color="auto" w:fill="CCEEFF"/>
          </w:tcPr>
          <w:p>
            <w:pPr>
              <w:spacing w:after="0"/>
              <w:rPr>
                <w:sz w:val="8"/>
                <w:szCs w:val="8"/>
                <w:color w:val="auto"/>
              </w:rPr>
            </w:pPr>
          </w:p>
        </w:tc>
        <w:tc>
          <w:tcPr>
            <w:tcW w:w="3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Efficiency Ratio:</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12,854</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11,454</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11,174</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shd w:val="clear" w:color="auto" w:fill="CCEEFF"/>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21,547</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20,508</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16,585</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efficiency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64.63%</w:t>
            </w:r>
          </w:p>
        </w:tc>
        <w:tc>
          <w:tcPr>
            <w:tcW w:w="20" w:type="dxa"/>
            <w:vAlign w:val="bottom"/>
            <w:shd w:val="clear" w:color="auto" w:fill="CCEEFF"/>
          </w:tcPr>
          <w:p>
            <w:pPr>
              <w:spacing w:after="0"/>
              <w:rPr>
                <w:sz w:val="13"/>
                <w:szCs w:val="13"/>
                <w:color w:val="auto"/>
              </w:rPr>
            </w:pPr>
          </w:p>
        </w:tc>
      </w:tr>
    </w:tbl>
    <w:p>
      <w:pPr>
        <w:spacing w:after="0" w:line="185" w:lineRule="exact"/>
        <w:rPr>
          <w:sz w:val="20"/>
          <w:szCs w:val="20"/>
          <w:color w:val="auto"/>
        </w:rPr>
      </w:pPr>
    </w:p>
    <w:p>
      <w:pPr>
        <w:ind w:left="820" w:hanging="157"/>
        <w:spacing w:after="0"/>
        <w:tabs>
          <w:tab w:leader="none" w:pos="8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54"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0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Less: Intangible assets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19,924,632</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19,620,632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19,630,632</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19,650,463</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19,575,435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diluted net income per common share:</w:t>
            </w:r>
            <w:r>
              <w:rPr>
                <w:rFonts w:ascii="Times New Roman" w:cs="Times New Roman" w:eastAsia="Times New Roman" w:hAnsi="Times New Roman"/>
                <w:sz w:val="14"/>
                <w:szCs w:val="14"/>
                <w:color w:val="auto"/>
                <w:vertAlign w:val="superscript"/>
              </w:rPr>
              <w:t>(1)</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weighted average diluted shares of common stock</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20,183,731</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19,825,211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19,717,167</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19,698,258</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19,573,350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diluted net income per common share: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Tangible Common Equity/Tangible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Tangible total assets</w:t>
            </w:r>
            <w:r>
              <w:rPr>
                <w:rFonts w:ascii="Times New Roman" w:cs="Times New Roman" w:eastAsia="Times New Roman" w:hAnsi="Times New Roman"/>
                <w:sz w:val="14"/>
                <w:szCs w:val="14"/>
                <w:color w:val="auto"/>
                <w:vertAlign w:val="superscript"/>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2,581,216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2,503,954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2,458,270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2,489,142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2,339,093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Common Equity/Tangible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 options.</w:t>
      </w:r>
    </w:p>
    <w:p>
      <w:pPr>
        <w:spacing w:after="0" w:line="33" w:lineRule="exact"/>
        <w:rPr>
          <w:rFonts w:ascii="Times New Roman" w:cs="Times New Roman" w:eastAsia="Times New Roman" w:hAnsi="Times New Roman"/>
          <w:sz w:val="11"/>
          <w:szCs w:val="11"/>
          <w:color w:val="auto"/>
        </w:rPr>
      </w:pPr>
    </w:p>
    <w:p>
      <w:pPr>
        <w:ind w:left="820" w:hanging="157"/>
        <w:spacing w:after="0"/>
        <w:tabs>
          <w:tab w:leader="none" w:pos="8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the Company has no intangible assets, tangible total assets is the same amount as total assets calculated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760" w:right="1440" w:bottom="1440" w:gutter="0" w:footer="0" w:header="0"/>
        </w:sectPr>
      </w:pPr>
    </w:p>
    <w:bookmarkStart w:id="13" w:name="page14"/>
    <w:bookmarkEnd w:id="13"/>
    <w:p>
      <w:pPr>
        <w:ind w:left="9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99.2</w:t>
      </w:r>
    </w:p>
    <w:p>
      <w:pPr>
        <w:sectPr>
          <w:pgSz w:w="11900" w:h="16838" w:orient="portrait"/>
          <w:cols w:equalWidth="0" w:num="1">
            <w:col w:w="10100"/>
          </w:cols>
          <w:pgMar w:left="1440" w:top="433" w:right="35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2025-01-23T15:04:17Z</dcterms:created>
  <dcterms:modified xsi:type="dcterms:W3CDTF">2025-01-23T15:04:17Z</dcterms:modified>
</cp:coreProperties>
</file>