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452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45274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DE LA AGUILERA LUIS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7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46"/>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328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3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3"/>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3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0" w:type="dxa"/>
            <w:vAlign w:val="bottom"/>
            <w:tcBorders>
              <w:bottom w:val="single" w:sz="8" w:color="2C2C2C"/>
            </w:tcBorders>
          </w:tcPr>
          <w:p>
            <w:pPr>
              <w:spacing w:after="0"/>
              <w:rPr>
                <w:sz w:val="12"/>
                <w:szCs w:val="12"/>
                <w:color w:val="auto"/>
              </w:rPr>
            </w:pPr>
          </w:p>
        </w:tc>
        <w:tc>
          <w:tcPr>
            <w:tcW w:w="32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820" w:type="dxa"/>
            <w:vAlign w:val="bottom"/>
          </w:tcPr>
          <w:p>
            <w:pPr>
              <w:ind w:left="580"/>
              <w:spacing w:after="0" w:line="14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4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280" w:type="dxa"/>
            <w:vAlign w:val="bottom"/>
            <w:gridSpan w:val="2"/>
          </w:tcPr>
          <w:p>
            <w:pPr>
              <w:ind w:left="1000"/>
              <w:spacing w:after="0" w:line="191" w:lineRule="exact"/>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215"/>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05/07/2026</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05/07/2026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8"/>
              </w:rPr>
              <w:t>10,005</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252,950</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05/07/2026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8"/>
              </w:rPr>
              <w:t>10,005</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18.14</w:t>
            </w:r>
            <w:r>
              <w:rPr>
                <w:rFonts w:ascii="Times New Roman" w:cs="Times New Roman" w:eastAsia="Times New Roman" w:hAnsi="Times New Roman"/>
                <w:sz w:val="21"/>
                <w:szCs w:val="21"/>
                <w:color w:val="008000"/>
                <w:w w:val="99"/>
                <w:vertAlign w:val="superscript"/>
              </w:rPr>
              <w:t>(2)</w:t>
            </w:r>
          </w:p>
        </w:tc>
        <w:tc>
          <w:tcPr>
            <w:tcW w:w="126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242,945</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11.35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05/07/2026</w:t>
            </w:r>
          </w:p>
        </w:tc>
        <w:tc>
          <w:tcPr>
            <w:tcW w:w="108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10,005</w:t>
            </w: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09/23/2020</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09/23/2029</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0000FF"/>
              </w:rPr>
              <w:t>10,005</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ind w:left="14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12.05</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09/27/2031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7"/>
                <w:szCs w:val="17"/>
                <w:color w:val="0000FF"/>
                <w:w w:val="94"/>
              </w:rPr>
              <w:t>160,000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2"/>
          </w:tcPr>
          <w:p>
            <w:pPr>
              <w:jc w:val="right"/>
              <w:ind w:right="203"/>
              <w:spacing w:after="0"/>
              <w:rPr>
                <w:sz w:val="20"/>
                <w:szCs w:val="20"/>
                <w:color w:val="auto"/>
              </w:rPr>
            </w:pPr>
            <w:r>
              <w:rPr>
                <w:rFonts w:ascii="Times New Roman" w:cs="Times New Roman" w:eastAsia="Times New Roman" w:hAnsi="Times New Roman"/>
                <w:sz w:val="13"/>
                <w:szCs w:val="13"/>
                <w:color w:val="0000FF"/>
              </w:rPr>
              <w:t>160,000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grant of 27,632 shares of restricted stock which vest at a rate of one-third per year commencing on January 27, 2027, 17,102 shares of restricted stock from a grant of 25,653 shares which commenced vesting at a rate of one-third per year on January 21, 2026, 4,045 shares of restricted stock from a grant of 12,136 shares which commenced vesting at a rate of one-third per year on January 22, 2025, and 41,666 shares of restricted stock from a grant of 125,000 shares which commenced vesting at a rate of one-third per year on December 31, 2024.</w:t>
      </w:r>
    </w:p>
    <w:p>
      <w:pPr>
        <w:spacing w:after="0" w:line="25" w:lineRule="exact"/>
        <w:rPr>
          <w:rFonts w:ascii="Times New Roman" w:cs="Times New Roman" w:eastAsia="Times New Roman" w:hAnsi="Times New Roman"/>
          <w:sz w:val="13"/>
          <w:szCs w:val="13"/>
          <w:color w:val="008000"/>
        </w:rPr>
      </w:pPr>
    </w:p>
    <w:p>
      <w:pPr>
        <w:jc w:val="both"/>
        <w:ind w:left="40" w:right="1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price. These shares were sold in multiple transactions at prices ranging from $18.10 to $18.20, inclusive. The reporting person undertakes to provide to USCB, or any security holder of USCB, or the staff of the Securities and Exchange Commission, upon request, full information regarding the number of shares sold at each separate price within the range set forth in this footnote.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one-third per year commencing on September 23, 2020.</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one-third per year commencing on September 27, 2022.</w:t>
      </w:r>
    </w:p>
    <w:p>
      <w:pPr>
        <w:spacing w:after="0" w:line="1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Robert Anderson by P.O.A.</w:t>
      </w:r>
      <w:r>
        <w:rPr>
          <w:sz w:val="20"/>
          <w:szCs w:val="20"/>
          <w:color w:val="auto"/>
        </w:rPr>
        <w:tab/>
      </w:r>
      <w:r>
        <w:rPr>
          <w:rFonts w:ascii="Times New Roman" w:cs="Times New Roman" w:eastAsia="Times New Roman" w:hAnsi="Times New Roman"/>
          <w:sz w:val="24"/>
          <w:szCs w:val="24"/>
          <w:color w:val="0000FF"/>
          <w:vertAlign w:val="subscript"/>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280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Luis de la Aguilera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956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631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4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6660"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2026-05-11T13:22:20Z</dcterms:created>
  <dcterms:modified xsi:type="dcterms:W3CDTF">2026-05-11T13:22:20Z</dcterms:modified>
</cp:coreProperties>
</file>