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8"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2022</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49"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3" w:right="1440" w:bottom="1440" w:gutter="0" w:footer="0" w:header="0"/>
        </w:sectPr>
      </w:pPr>
    </w:p>
    <w:p>
      <w:pPr>
        <w:spacing w:after="0" w:line="240"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8" w:lineRule="exact"/>
        <w:rPr>
          <w:sz w:val="24"/>
          <w:szCs w:val="24"/>
          <w:color w:val="auto"/>
        </w:rPr>
      </w:pPr>
    </w:p>
    <w:p>
      <w:pPr>
        <w:sectPr>
          <w:pgSz w:w="11900" w:h="16838" w:orient="portrait"/>
          <w:cols w:equalWidth="0" w:num="2">
            <w:col w:w="6020" w:space="720"/>
            <w:col w:w="2279"/>
          </w:cols>
          <w:pgMar w:left="1440" w:top="793"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2" w:lineRule="exact"/>
        <w:rPr>
          <w:sz w:val="24"/>
          <w:szCs w:val="24"/>
          <w:color w:val="auto"/>
        </w:rPr>
      </w:pPr>
    </w:p>
    <w:p>
      <w:pPr>
        <w:sectPr>
          <w:pgSz w:w="11900" w:h="16838" w:orient="portrait"/>
          <w:cols w:equalWidth="0" w:num="2">
            <w:col w:w="5860" w:space="720"/>
            <w:col w:w="2439"/>
          </w:cols>
          <w:pgMar w:left="1440" w:top="793"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 Miami, FL 33172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44" w:lineRule="exact"/>
        <w:rPr>
          <w:sz w:val="24"/>
          <w:szCs w:val="24"/>
          <w:color w:val="auto"/>
        </w:rPr>
      </w:pPr>
    </w:p>
    <w:tbl>
      <w:tblPr>
        <w:tblLayout w:type="fixed"/>
        <w:tblInd w:w="680" w:type="dxa"/>
        <w:tblCellMar>
          <w:top w:w="0" w:type="dxa"/>
          <w:left w:w="0" w:type="dxa"/>
          <w:bottom w:w="0" w:type="dxa"/>
          <w:right w:w="0" w:type="dxa"/>
        </w:tblCellMar>
      </w:tblPr>
      <w:tr>
        <w:trPr>
          <w:trHeight w:val="153"/>
        </w:trPr>
        <w:tc>
          <w:tcPr>
            <w:tcW w:w="8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3"/>
                <w:szCs w:val="13"/>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89"/>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73" w:lineRule="exact"/>
        <w:rPr>
          <w:sz w:val="24"/>
          <w:szCs w:val="24"/>
          <w:color w:val="auto"/>
        </w:rPr>
      </w:pPr>
    </w:p>
    <w:p>
      <w:pPr>
        <w:jc w:val="both"/>
        <w:ind w:left="660" w:right="659"/>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7" w:lineRule="exact"/>
        <w:rPr>
          <w:sz w:val="24"/>
          <w:szCs w:val="24"/>
          <w:color w:val="auto"/>
        </w:rPr>
      </w:pPr>
    </w:p>
    <w:p>
      <w:pPr>
        <w:jc w:val="both"/>
        <w:ind w:left="660" w:right="679"/>
        <w:spacing w:after="0" w:line="25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4" w:lineRule="exact"/>
        <w:rPr>
          <w:sz w:val="24"/>
          <w:szCs w:val="24"/>
          <w:color w:val="auto"/>
        </w:rPr>
      </w:pPr>
    </w:p>
    <w:p>
      <w:pPr>
        <w:jc w:val="both"/>
        <w:ind w:left="660" w:right="659"/>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24"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6" w:lineRule="exact"/>
        <w:rPr>
          <w:sz w:val="24"/>
          <w:szCs w:val="24"/>
          <w:color w:val="auto"/>
        </w:rPr>
      </w:pPr>
    </w:p>
    <w:p>
      <w:pPr>
        <w:jc w:val="both"/>
        <w:ind w:left="660" w:right="65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3"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ind w:left="660"/>
        <w:spacing w:after="0"/>
        <w:rPr>
          <w:sz w:val="20"/>
          <w:szCs w:val="20"/>
          <w:color w:val="auto"/>
        </w:rPr>
      </w:pPr>
      <w:r>
        <w:rPr>
          <w:rFonts w:ascii="Arial" w:cs="Arial" w:eastAsia="Arial" w:hAnsi="Arial"/>
          <w:sz w:val="13"/>
          <w:szCs w:val="13"/>
          <w:color w:val="auto"/>
        </w:rPr>
        <w:t>As of November 1, 2022, the registrant had 20,000,753 shares of Class A common stock outstanding.</w:t>
      </w:r>
    </w:p>
    <w:p>
      <w:pPr>
        <w:sectPr>
          <w:pgSz w:w="11900" w:h="16838" w:orient="portrait"/>
          <w:cols w:equalWidth="0" w:num="1">
            <w:col w:w="9019"/>
          </w:cols>
          <w:pgMar w:left="1440" w:top="793"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FORM 10-Q</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 2022</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360" w:type="dxa"/>
            <w:vAlign w:val="bottom"/>
            <w:gridSpan w:val="27"/>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3</w:t>
            </w: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300" w:type="dxa"/>
            <w:vAlign w:val="bottom"/>
            <w:gridSpan w:val="28"/>
          </w:tcPr>
          <w:p>
            <w:pPr>
              <w:spacing w:after="0" w:line="119" w:lineRule="exact"/>
              <w:rPr>
                <w:sz w:val="20"/>
                <w:szCs w:val="20"/>
                <w:color w:val="auto"/>
              </w:rPr>
            </w:pPr>
            <w:r>
              <w:rPr>
                <w:rFonts w:ascii="Arial" w:cs="Arial" w:eastAsia="Arial" w:hAnsi="Arial"/>
                <w:sz w:val="13"/>
                <w:szCs w:val="13"/>
                <w:color w:val="0000FF"/>
                <w:w w:val="98"/>
              </w:rPr>
              <w:t>Consolidated Balance Sheets as of September 30, 2022 and December 31, 2021 (Unaudited)</w:t>
            </w:r>
          </w:p>
        </w:tc>
        <w:tc>
          <w:tcPr>
            <w:tcW w:w="940" w:type="dxa"/>
            <w:vAlign w:val="bottom"/>
            <w:gridSpan w:val="4"/>
          </w:tcPr>
          <w:p>
            <w:pPr>
              <w:spacing w:after="0"/>
              <w:rPr>
                <w:sz w:val="10"/>
                <w:szCs w:val="10"/>
                <w:color w:val="auto"/>
              </w:rPr>
            </w:pPr>
          </w:p>
        </w:tc>
        <w:tc>
          <w:tcPr>
            <w:tcW w:w="480" w:type="dxa"/>
            <w:vAlign w:val="bottom"/>
            <w:gridSpan w:val="2"/>
          </w:tcPr>
          <w:p>
            <w:pPr>
              <w:jc w:val="right"/>
              <w:spacing w:after="0" w:line="119" w:lineRule="exact"/>
              <w:rPr>
                <w:sz w:val="20"/>
                <w:szCs w:val="20"/>
                <w:color w:val="auto"/>
              </w:rPr>
            </w:pPr>
            <w:r>
              <w:rPr>
                <w:rFonts w:ascii="Arial" w:cs="Arial" w:eastAsia="Arial" w:hAnsi="Arial"/>
                <w:sz w:val="13"/>
                <w:szCs w:val="13"/>
                <w:color w:val="0000FF"/>
              </w:rPr>
              <w:t>3</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32"/>
          </w:tcPr>
          <w:p>
            <w:pPr>
              <w:spacing w:after="0" w:line="129" w:lineRule="exact"/>
              <w:rPr>
                <w:sz w:val="20"/>
                <w:szCs w:val="20"/>
                <w:color w:val="auto"/>
              </w:rPr>
            </w:pPr>
            <w:r>
              <w:rPr>
                <w:rFonts w:ascii="Arial" w:cs="Arial" w:eastAsia="Arial" w:hAnsi="Arial"/>
                <w:sz w:val="13"/>
                <w:szCs w:val="13"/>
                <w:color w:val="0000FF"/>
              </w:rPr>
              <w:t>Consolidated Statements of Operations for the three and nine months ended September 30, 2022 and 2021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3"/>
                <w:szCs w:val="13"/>
                <w:color w:val="0000FF"/>
              </w:rPr>
              <w:t>(Unaudited)</w:t>
            </w:r>
          </w:p>
        </w:tc>
        <w:tc>
          <w:tcPr>
            <w:tcW w:w="40" w:type="dxa"/>
            <w:vAlign w:val="bottom"/>
          </w:tcPr>
          <w:p>
            <w:pPr>
              <w:spacing w:after="0"/>
              <w:rPr>
                <w:sz w:val="11"/>
                <w:szCs w:val="11"/>
                <w:color w:val="auto"/>
              </w:rPr>
            </w:pPr>
          </w:p>
        </w:tc>
        <w:tc>
          <w:tcPr>
            <w:tcW w:w="78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tcBorders>
            <w:gridSpan w:val="2"/>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4</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32"/>
          </w:tcPr>
          <w:p>
            <w:pPr>
              <w:spacing w:after="0" w:line="129" w:lineRule="exact"/>
              <w:rPr>
                <w:sz w:val="20"/>
                <w:szCs w:val="20"/>
                <w:color w:val="auto"/>
              </w:rPr>
            </w:pPr>
            <w:r>
              <w:rPr>
                <w:rFonts w:ascii="Arial" w:cs="Arial" w:eastAsia="Arial" w:hAnsi="Arial"/>
                <w:sz w:val="13"/>
                <w:szCs w:val="13"/>
                <w:color w:val="0000FF"/>
              </w:rPr>
              <w:t>Consolidated Statements of Comprehensive Income (Loss) for the three and nine months ended September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32"/>
          </w:tcPr>
          <w:p>
            <w:pPr>
              <w:spacing w:after="0" w:line="129" w:lineRule="exact"/>
              <w:rPr>
                <w:sz w:val="20"/>
                <w:szCs w:val="20"/>
                <w:color w:val="auto"/>
              </w:rPr>
            </w:pPr>
            <w:r>
              <w:rPr>
                <w:rFonts w:ascii="Arial" w:cs="Arial" w:eastAsia="Arial" w:hAnsi="Arial"/>
                <w:sz w:val="13"/>
                <w:szCs w:val="13"/>
                <w:color w:val="0000FF"/>
              </w:rPr>
              <w:t>30, 2022 and 2021 (Unaudited)</w:t>
            </w: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5</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40" w:type="dxa"/>
            <w:vAlign w:val="bottom"/>
            <w:gridSpan w:val="32"/>
          </w:tcPr>
          <w:p>
            <w:pPr>
              <w:spacing w:after="0" w:line="119" w:lineRule="exact"/>
              <w:rPr>
                <w:sz w:val="20"/>
                <w:szCs w:val="20"/>
                <w:color w:val="auto"/>
              </w:rPr>
            </w:pPr>
            <w:r>
              <w:rPr>
                <w:rFonts w:ascii="Arial" w:cs="Arial" w:eastAsia="Arial" w:hAnsi="Arial"/>
                <w:sz w:val="13"/>
                <w:szCs w:val="13"/>
                <w:color w:val="0000FF"/>
                <w:w w:val="98"/>
              </w:rPr>
              <w:t>Consolidated Statements of Changes in Stockholders’ Equity for the three and nine months ended September</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20" w:type="dxa"/>
            <w:vAlign w:val="bottom"/>
            <w:tcBorders>
              <w:top w:val="single" w:sz="8" w:color="0000FF"/>
            </w:tcBorders>
            <w:gridSpan w:val="31"/>
          </w:tcPr>
          <w:p>
            <w:pPr>
              <w:spacing w:after="0" w:line="129" w:lineRule="exact"/>
              <w:rPr>
                <w:sz w:val="20"/>
                <w:szCs w:val="20"/>
                <w:color w:val="auto"/>
              </w:rPr>
            </w:pPr>
            <w:r>
              <w:rPr>
                <w:rFonts w:ascii="Arial" w:cs="Arial" w:eastAsia="Arial" w:hAnsi="Arial"/>
                <w:sz w:val="13"/>
                <w:szCs w:val="13"/>
                <w:color w:val="0000FF"/>
              </w:rPr>
              <w:t>30, 2022 and 2021 (Unaudited)</w:t>
            </w:r>
          </w:p>
        </w:tc>
        <w:tc>
          <w:tcPr>
            <w:tcW w:w="2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6</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32"/>
          </w:tcPr>
          <w:p>
            <w:pPr>
              <w:spacing w:after="0" w:line="129" w:lineRule="exact"/>
              <w:rPr>
                <w:sz w:val="20"/>
                <w:szCs w:val="20"/>
                <w:color w:val="auto"/>
              </w:rPr>
            </w:pPr>
            <w:r>
              <w:rPr>
                <w:rFonts w:ascii="Arial" w:cs="Arial" w:eastAsia="Arial" w:hAnsi="Arial"/>
                <w:sz w:val="13"/>
                <w:szCs w:val="13"/>
                <w:color w:val="0000FF"/>
                <w:w w:val="97"/>
              </w:rPr>
              <w:t>Consolidated Statements of Cash Flows for the nine months ended September 30, 2022 and 2021 (Unaudited)</w:t>
            </w: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7</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6"/>
            <w:shd w:val="clear" w:color="auto" w:fill="0000FF"/>
          </w:tcPr>
          <w:p>
            <w:pPr>
              <w:spacing w:after="0" w:line="20" w:lineRule="exact"/>
              <w:rPr>
                <w:sz w:val="1"/>
                <w:szCs w:val="1"/>
                <w:color w:val="auto"/>
              </w:rPr>
            </w:pPr>
          </w:p>
        </w:tc>
        <w:tc>
          <w:tcPr>
            <w:tcW w:w="1520" w:type="dxa"/>
            <w:vAlign w:val="bottom"/>
            <w:gridSpan w:val="9"/>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40" w:type="dxa"/>
            <w:vAlign w:val="bottom"/>
            <w:gridSpan w:val="32"/>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5040" w:type="dxa"/>
            <w:vAlign w:val="bottom"/>
            <w:tcBorders>
              <w:bottom w:val="single" w:sz="8" w:color="0000FF"/>
            </w:tcBorders>
            <w:gridSpan w:val="24"/>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520" w:type="dxa"/>
            <w:vAlign w:val="bottom"/>
            <w:gridSpan w:val="9"/>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31</w:t>
            </w:r>
          </w:p>
        </w:tc>
      </w:tr>
      <w:tr>
        <w:trPr>
          <w:trHeight w:val="119"/>
        </w:trPr>
        <w:tc>
          <w:tcPr>
            <w:tcW w:w="400" w:type="dxa"/>
            <w:vAlign w:val="bottom"/>
            <w:tcBorders>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tcBorders>
              <w:bottom w:val="single" w:sz="8" w:color="0000FF"/>
            </w:tcBorders>
            <w:gridSpan w:val="16"/>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200" w:type="dxa"/>
            <w:vAlign w:val="bottom"/>
            <w:gridSpan w:val="17"/>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53</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40" w:type="dxa"/>
            <w:vAlign w:val="bottom"/>
            <w:gridSpan w:val="25"/>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53</w:t>
            </w:r>
          </w:p>
        </w:tc>
      </w:tr>
      <w:tr>
        <w:trPr>
          <w:trHeight w:val="279"/>
        </w:trPr>
        <w:tc>
          <w:tcPr>
            <w:tcW w:w="56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0000FF"/>
              </w:rPr>
              <w:t>54</w:t>
            </w:r>
          </w:p>
        </w:tc>
      </w:tr>
      <w:tr>
        <w:trPr>
          <w:trHeight w:val="279"/>
        </w:trPr>
        <w:tc>
          <w:tcPr>
            <w:tcW w:w="40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90"/>
              </w:rPr>
              <w:t>Item 1.</w:t>
            </w:r>
          </w:p>
        </w:tc>
        <w:tc>
          <w:tcPr>
            <w:tcW w:w="40" w:type="dxa"/>
            <w:vAlign w:val="bottom"/>
            <w:tcBorders>
              <w:top w:val="single" w:sz="8" w:color="0000FF"/>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33"/>
          </w:tcPr>
          <w:p>
            <w:pPr>
              <w:spacing w:after="0"/>
              <w:rPr>
                <w:sz w:val="20"/>
                <w:szCs w:val="20"/>
                <w:color w:val="auto"/>
              </w:rPr>
            </w:pPr>
            <w:r>
              <w:rPr>
                <w:rFonts w:ascii="Arial" w:cs="Arial" w:eastAsia="Arial" w:hAnsi="Arial"/>
                <w:sz w:val="13"/>
                <w:szCs w:val="13"/>
                <w:color w:val="0000FF"/>
              </w:rPr>
              <w:t>Legal Proceedings</w:t>
            </w:r>
          </w:p>
        </w:tc>
        <w:tc>
          <w:tcPr>
            <w:tcW w:w="340" w:type="dxa"/>
            <w:vAlign w:val="bottom"/>
          </w:tcPr>
          <w:p>
            <w:pPr>
              <w:spacing w:after="0"/>
              <w:rPr>
                <w:sz w:val="24"/>
                <w:szCs w:val="24"/>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54</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31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19"/>
        </w:trPr>
        <w:tc>
          <w:tcPr>
            <w:tcW w:w="48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96"/>
              </w:rPr>
              <w:t>Risk Factors</w:t>
            </w:r>
          </w:p>
        </w:tc>
        <w:tc>
          <w:tcPr>
            <w:tcW w:w="5840" w:type="dxa"/>
            <w:vAlign w:val="bottom"/>
            <w:gridSpan w:val="31"/>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54</w:t>
            </w: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17"/>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100" w:type="dxa"/>
            <w:vAlign w:val="bottom"/>
            <w:gridSpan w:val="16"/>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3"/>
                <w:szCs w:val="13"/>
                <w:color w:val="0000FF"/>
                <w:w w:val="82"/>
              </w:rPr>
              <w:t>54</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Borders>
              <w:bottom w:val="single" w:sz="8" w:color="0000FF"/>
            </w:tcBorders>
            <w:gridSpan w:val="10"/>
          </w:tcPr>
          <w:p>
            <w:pPr>
              <w:spacing w:after="0" w:line="129" w:lineRule="exact"/>
              <w:rPr>
                <w:sz w:val="20"/>
                <w:szCs w:val="20"/>
                <w:color w:val="auto"/>
              </w:rPr>
            </w:pPr>
            <w:r>
              <w:rPr>
                <w:rFonts w:ascii="Arial" w:cs="Arial" w:eastAsia="Arial" w:hAnsi="Arial"/>
                <w:sz w:val="13"/>
                <w:szCs w:val="13"/>
                <w:color w:val="0000FF"/>
                <w:w w:val="96"/>
              </w:rPr>
              <w:t>Defaults Upon Senior Securities</w:t>
            </w:r>
          </w:p>
        </w:tc>
        <w:tc>
          <w:tcPr>
            <w:tcW w:w="4740" w:type="dxa"/>
            <w:vAlign w:val="bottom"/>
            <w:gridSpan w:val="23"/>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54</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80" w:type="dxa"/>
            <w:vAlign w:val="bottom"/>
            <w:gridSpan w:val="26"/>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54</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Other Information</w:t>
            </w:r>
          </w:p>
        </w:tc>
        <w:tc>
          <w:tcPr>
            <w:tcW w:w="5500" w:type="dxa"/>
            <w:vAlign w:val="bottom"/>
            <w:gridSpan w:val="28"/>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54</w:t>
            </w: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820" w:type="dxa"/>
            <w:vAlign w:val="bottom"/>
            <w:gridSpan w:val="30"/>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55</w:t>
            </w:r>
          </w:p>
        </w:tc>
      </w:tr>
    </w:tbl>
    <w:p>
      <w:pPr>
        <w:spacing w:after="0" w:line="151"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4"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30"/>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September 30, 2022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2021</w:t>
            </w:r>
          </w:p>
        </w:tc>
      </w:tr>
      <w:tr>
        <w:trPr>
          <w:trHeight w:val="14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5,975</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6,477</w:t>
            </w:r>
          </w:p>
        </w:tc>
        <w:tc>
          <w:tcPr>
            <w:tcW w:w="20" w:type="dxa"/>
            <w:vAlign w:val="bottom"/>
          </w:tcPr>
          <w:p>
            <w:pPr>
              <w:spacing w:after="0"/>
              <w:rPr>
                <w:sz w:val="14"/>
                <w:szCs w:val="14"/>
                <w:color w:val="auto"/>
              </w:rPr>
            </w:pPr>
          </w:p>
        </w:tc>
      </w:tr>
      <w:tr>
        <w:trPr>
          <w:trHeight w:val="1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67,351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39,751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73,326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(fair value $159,739 and $120,157, respectively)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178,865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248,571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$16,604 and $15,057, respectively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1,414,909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1,175,024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5,278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41,720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43,928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34,929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13,484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4,300</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2,037,453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662,808</w:t>
            </w:r>
          </w:p>
        </w:tc>
        <w:tc>
          <w:tcPr>
            <w:tcW w:w="4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851,727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703,856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218,386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225,220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1,796,642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26,000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13,484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9"/>
        </w:trPr>
        <w:tc>
          <w:tcPr>
            <w:tcW w:w="5240" w:type="dxa"/>
            <w:vAlign w:val="bottom"/>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23,910</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9,478</w:t>
            </w:r>
          </w:p>
        </w:tc>
        <w:tc>
          <w:tcPr>
            <w:tcW w:w="20" w:type="dxa"/>
            <w:vAlign w:val="bottom"/>
          </w:tcPr>
          <w:p>
            <w:pPr>
              <w:spacing w:after="0"/>
              <w:rPr>
                <w:sz w:val="14"/>
                <w:szCs w:val="14"/>
                <w:color w:val="auto"/>
              </w:rPr>
            </w:pPr>
          </w:p>
        </w:tc>
      </w:tr>
      <w:tr>
        <w:trPr>
          <w:trHeight w:val="13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1,860,036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0 issued and outstanding as of September 30, 2022and December 31, 2021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35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September 30, 2022and December 31, 2021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35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and 0 issued and outstanding as of September 30, 2022and December 31, 2021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20,000,753 and</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19,991,753 issued and outstanding as of September 30, 2022and December 31, 2021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19,992</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outstanding as of September 30, 2022 and December 31, 2021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311,156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1"/>
                <w:szCs w:val="11"/>
                <w:color w:val="auto"/>
              </w:rPr>
              <w:t>(108,538)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(124,245)</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(45,202)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(2,516)</w:t>
            </w:r>
          </w:p>
        </w:tc>
      </w:tr>
      <w:tr>
        <w:trPr>
          <w:trHeight w:val="15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177,417</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2,037,453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7"/>
          </w:tcPr>
          <w:p>
            <w:pPr>
              <w:ind w:left="20"/>
              <w:spacing w:after="0"/>
              <w:rPr>
                <w:sz w:val="20"/>
                <w:szCs w:val="20"/>
                <w:color w:val="auto"/>
              </w:rPr>
            </w:pPr>
            <w:r>
              <w:rPr>
                <w:rFonts w:ascii="Arial" w:cs="Arial" w:eastAsia="Arial" w:hAnsi="Arial"/>
                <w:sz w:val="11"/>
                <w:szCs w:val="11"/>
                <w:b w:val="1"/>
                <w:bCs w:val="1"/>
                <w:color w:val="auto"/>
              </w:rPr>
              <w:t>Three Months Ended September 30,</w:t>
            </w:r>
          </w:p>
        </w:tc>
        <w:tc>
          <w:tcPr>
            <w:tcW w:w="100" w:type="dxa"/>
            <w:vAlign w:val="bottom"/>
          </w:tcPr>
          <w:p>
            <w:pPr>
              <w:spacing w:after="0"/>
              <w:rPr>
                <w:sz w:val="12"/>
                <w:szCs w:val="12"/>
                <w:color w:val="auto"/>
              </w:rPr>
            </w:pPr>
          </w:p>
        </w:tc>
        <w:tc>
          <w:tcPr>
            <w:tcW w:w="2040" w:type="dxa"/>
            <w:vAlign w:val="bottom"/>
            <w:gridSpan w:val="6"/>
          </w:tcPr>
          <w:p>
            <w:pPr>
              <w:jc w:val="right"/>
              <w:ind w:right="12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15,954</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12,538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42,989</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35,944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50,503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41,691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1,703</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3,708</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3,271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16,774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46,795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15,864</w:t>
            </w: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45,180</w:t>
            </w: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38,580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934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856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532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686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399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2,127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1,789</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4,217</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5,351</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8,054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15,804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1,281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1,192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29,295</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26,358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7,521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21,236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20,276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5,558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15,707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15,427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Preferred stock dividend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(loss) available to common stockholders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60" w:type="dxa"/>
            <w:vAlign w:val="bottom"/>
            <w:gridSpan w:val="2"/>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(83,534)</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15,707</w:t>
            </w:r>
          </w:p>
        </w:tc>
        <w:tc>
          <w:tcPr>
            <w:tcW w:w="60" w:type="dxa"/>
            <w:vAlign w:val="bottom"/>
            <w:gridSpan w:val="2"/>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(76,235)</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151" w:lineRule="exact"/>
              <w:rPr>
                <w:sz w:val="20"/>
                <w:szCs w:val="20"/>
                <w:color w:val="auto"/>
              </w:rPr>
            </w:pPr>
            <w:r>
              <w:rPr>
                <w:rFonts w:ascii="Arial" w:cs="Arial" w:eastAsia="Arial" w:hAnsi="Arial"/>
                <w:sz w:val="11"/>
                <w:szCs w:val="11"/>
                <w:b w:val="1"/>
                <w:bCs w:val="1"/>
                <w:color w:val="auto"/>
              </w:rPr>
              <w:t>Per share information:</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3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0"/>
              <w:spacing w:after="0"/>
              <w:rPr>
                <w:sz w:val="20"/>
                <w:szCs w:val="20"/>
                <w:color w:val="auto"/>
              </w:rPr>
            </w:pPr>
            <w:r>
              <w:rPr>
                <w:rFonts w:ascii="Arial" w:cs="Arial" w:eastAsia="Arial" w:hAnsi="Arial"/>
                <w:sz w:val="11"/>
                <w:szCs w:val="11"/>
                <w:color w:val="auto"/>
              </w:rPr>
              <w:t>Net income (loss) per share, basic</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0.28</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(5.11)</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0.79</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(8.57)</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diluted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0.28</w:t>
            </w:r>
          </w:p>
        </w:tc>
        <w:tc>
          <w:tcPr>
            <w:tcW w:w="280" w:type="dxa"/>
            <w:vAlign w:val="bottom"/>
            <w:gridSpan w:val="3"/>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280" w:type="dxa"/>
            <w:vAlign w:val="bottom"/>
            <w:gridSpan w:val="3"/>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(8.57)</w:t>
            </w:r>
          </w:p>
        </w:tc>
        <w:tc>
          <w:tcPr>
            <w:tcW w:w="0" w:type="dxa"/>
            <w:vAlign w:val="bottom"/>
          </w:tcPr>
          <w:p>
            <w:pPr>
              <w:spacing w:after="0"/>
              <w:rPr>
                <w:sz w:val="1"/>
                <w:szCs w:val="1"/>
                <w:color w:val="auto"/>
              </w:rPr>
            </w:pPr>
          </w:p>
        </w:tc>
      </w:tr>
      <w:tr>
        <w:trPr>
          <w:trHeight w:val="171"/>
        </w:trPr>
        <w:tc>
          <w:tcPr>
            <w:tcW w:w="338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loss per share, basic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3"/>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3"/>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83"/>
        </w:trPr>
        <w:tc>
          <w:tcPr>
            <w:tcW w:w="3380" w:type="dxa"/>
            <w:vAlign w:val="bottom"/>
          </w:tcPr>
          <w:p>
            <w:pPr>
              <w:ind w:left="200"/>
              <w:spacing w:after="0"/>
              <w:rPr>
                <w:sz w:val="20"/>
                <w:szCs w:val="20"/>
                <w:color w:val="auto"/>
              </w:rPr>
            </w:pPr>
            <w:r>
              <w:rPr>
                <w:rFonts w:ascii="Arial" w:cs="Arial" w:eastAsia="Arial" w:hAnsi="Arial"/>
                <w:sz w:val="11"/>
                <w:szCs w:val="11"/>
                <w:color w:val="auto"/>
              </w:rPr>
              <w:t>Net loss per share, diluted</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(1.02)</w:t>
            </w: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3"/>
          </w:tcPr>
          <w:p>
            <w:pPr>
              <w:jc w:val="right"/>
              <w:ind w:right="109"/>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860" w:hanging="197"/>
        <w:spacing w:after="0"/>
        <w:tabs>
          <w:tab w:leader="none" w:pos="860"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further details on the allocation of net income available to common stockholders and per share information, see Note 9 "Earnings per Share".</w:t>
      </w:r>
    </w:p>
    <w:p>
      <w:pPr>
        <w:spacing w:after="0" w:line="214" w:lineRule="exact"/>
        <w:rPr>
          <w:rFonts w:ascii="Arial" w:cs="Arial" w:eastAsia="Arial" w:hAnsi="Arial"/>
          <w:sz w:val="11"/>
          <w:szCs w:val="11"/>
          <w:color w:val="auto"/>
        </w:rPr>
      </w:pPr>
    </w:p>
    <w:p>
      <w:pPr>
        <w:ind w:left="2020"/>
        <w:spacing w:after="0"/>
        <w:rPr>
          <w:rFonts w:ascii="Arial" w:cs="Arial" w:eastAsia="Arial" w:hAnsi="Arial"/>
          <w:sz w:val="11"/>
          <w:szCs w:val="11"/>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4"/>
          </w:tcPr>
          <w:p>
            <w:pPr>
              <w:jc w:val="right"/>
              <w:ind w:right="383"/>
              <w:spacing w:after="0"/>
              <w:rPr>
                <w:sz w:val="20"/>
                <w:szCs w:val="20"/>
                <w:color w:val="auto"/>
              </w:rPr>
            </w:pPr>
            <w:r>
              <w:rPr>
                <w:rFonts w:ascii="Arial" w:cs="Arial" w:eastAsia="Arial" w:hAnsi="Arial"/>
                <w:sz w:val="11"/>
                <w:szCs w:val="11"/>
                <w:b w:val="1"/>
                <w:bCs w:val="1"/>
                <w:color w:val="auto"/>
              </w:rPr>
              <w:t>Nine Months Ended</w:t>
            </w:r>
          </w:p>
        </w:tc>
      </w:tr>
      <w:tr>
        <w:trPr>
          <w:trHeight w:val="13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ind w:right="189"/>
              <w:spacing w:after="0"/>
              <w:rPr>
                <w:sz w:val="20"/>
                <w:szCs w:val="20"/>
                <w:color w:val="auto"/>
              </w:rPr>
            </w:pPr>
            <w:r>
              <w:rPr>
                <w:rFonts w:ascii="Arial" w:cs="Arial" w:eastAsia="Arial" w:hAnsi="Arial"/>
                <w:sz w:val="11"/>
                <w:szCs w:val="11"/>
                <w:b w:val="1"/>
                <w:bCs w:val="1"/>
                <w:color w:val="auto"/>
              </w:rPr>
              <w:t>September 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right"/>
              <w:ind w:right="523"/>
              <w:spacing w:after="0"/>
              <w:rPr>
                <w:sz w:val="20"/>
                <w:szCs w:val="20"/>
                <w:color w:val="auto"/>
              </w:rPr>
            </w:pPr>
            <w:r>
              <w:rPr>
                <w:rFonts w:ascii="Arial" w:cs="Arial" w:eastAsia="Arial" w:hAnsi="Arial"/>
                <w:sz w:val="11"/>
                <w:szCs w:val="11"/>
                <w:b w:val="1"/>
                <w:bCs w:val="1"/>
                <w:color w:val="auto"/>
              </w:rPr>
              <w:t>September 30,</w:t>
            </w:r>
          </w:p>
        </w:tc>
      </w:tr>
      <w:tr>
        <w:trPr>
          <w:trHeight w:val="160"/>
        </w:trPr>
        <w:tc>
          <w:tcPr>
            <w:tcW w:w="3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2021</w:t>
            </w:r>
          </w:p>
        </w:tc>
      </w:tr>
      <w:tr>
        <w:trPr>
          <w:trHeight w:val="131"/>
        </w:trPr>
        <w:tc>
          <w:tcPr>
            <w:tcW w:w="38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5,558</w:t>
            </w:r>
          </w:p>
        </w:tc>
        <w:tc>
          <w:tcPr>
            <w:tcW w:w="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4"/>
              </w:rPr>
              <w:t>6,593</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15,707</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15,427</w:t>
            </w:r>
          </w:p>
        </w:tc>
      </w:tr>
      <w:tr>
        <w:trPr>
          <w:trHeight w:val="160"/>
        </w:trPr>
        <w:tc>
          <w:tcPr>
            <w:tcW w:w="38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gain (loss) on investment securities</w:t>
            </w:r>
          </w:p>
        </w:tc>
        <w:tc>
          <w:tcPr>
            <w:tcW w:w="2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(11,679)</w:t>
            </w: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4"/>
              </w:rPr>
              <w:t>1,210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(57,577)</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(4,627)</w:t>
            </w:r>
          </w:p>
        </w:tc>
      </w:tr>
      <w:tr>
        <w:trPr>
          <w:trHeight w:val="185"/>
        </w:trPr>
        <w:tc>
          <w:tcPr>
            <w:tcW w:w="382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25"/>
        </w:trPr>
        <w:tc>
          <w:tcPr>
            <w:tcW w:w="3820" w:type="dxa"/>
            <w:vAlign w:val="bottom"/>
          </w:tcPr>
          <w:p>
            <w:pPr>
              <w:ind w:left="100"/>
              <w:spacing w:after="0" w:line="125" w:lineRule="exact"/>
              <w:rPr>
                <w:sz w:val="20"/>
                <w:szCs w:val="20"/>
                <w:color w:val="auto"/>
              </w:rPr>
            </w:pPr>
            <w:r>
              <w:rPr>
                <w:rFonts w:ascii="Arial" w:cs="Arial" w:eastAsia="Arial" w:hAnsi="Arial"/>
                <w:sz w:val="11"/>
                <w:szCs w:val="11"/>
                <w:color w:val="auto"/>
              </w:rPr>
              <w:t>available-for-sale to held-to-maturity</w:t>
            </w:r>
          </w:p>
        </w:tc>
        <w:tc>
          <w:tcPr>
            <w:tcW w:w="20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1"/>
                <w:szCs w:val="11"/>
                <w:color w:val="auto"/>
              </w:rPr>
              <w:t>(52)</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jc w:val="right"/>
              <w:ind w:right="23"/>
              <w:spacing w:after="0" w:line="125" w:lineRule="exact"/>
              <w:rPr>
                <w:sz w:val="20"/>
                <w:szCs w:val="20"/>
                <w:color w:val="auto"/>
              </w:rPr>
            </w:pPr>
            <w:r>
              <w:rPr>
                <w:rFonts w:ascii="Arial" w:cs="Arial" w:eastAsia="Arial" w:hAnsi="Arial"/>
                <w:sz w:val="11"/>
                <w:szCs w:val="11"/>
                <w:color w:val="auto"/>
              </w:rPr>
              <w:t>43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3"/>
              <w:spacing w:after="0" w:line="125" w:lineRule="exact"/>
              <w:rPr>
                <w:sz w:val="20"/>
                <w:szCs w:val="20"/>
                <w:color w:val="auto"/>
              </w:rPr>
            </w:pPr>
            <w:r>
              <w:rPr>
                <w:rFonts w:ascii="Arial" w:cs="Arial" w:eastAsia="Arial" w:hAnsi="Arial"/>
                <w:sz w:val="11"/>
                <w:szCs w:val="11"/>
                <w:color w:val="auto"/>
              </w:rPr>
              <w:t>(177)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3"/>
              <w:spacing w:after="0" w:line="125" w:lineRule="exact"/>
              <w:rPr>
                <w:sz w:val="20"/>
                <w:szCs w:val="20"/>
                <w:color w:val="auto"/>
              </w:rPr>
            </w:pPr>
            <w:r>
              <w:rPr>
                <w:rFonts w:ascii="Arial" w:cs="Arial" w:eastAsia="Arial" w:hAnsi="Arial"/>
                <w:sz w:val="11"/>
                <w:szCs w:val="11"/>
                <w:color w:val="auto"/>
              </w:rPr>
              <w:t>43</w:t>
            </w: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loss (gain) included in net income</w:t>
            </w:r>
          </w:p>
        </w:tc>
        <w:tc>
          <w:tcPr>
            <w:tcW w:w="2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558</w:t>
            </w: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70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540</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w:t>
            </w:r>
          </w:p>
        </w:tc>
      </w:tr>
      <w:tr>
        <w:trPr>
          <w:trHeight w:val="160"/>
        </w:trPr>
        <w:tc>
          <w:tcPr>
            <w:tcW w:w="38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Tax effect</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2,832</w:t>
            </w: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14,528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1,167</w:t>
            </w:r>
          </w:p>
        </w:tc>
      </w:tr>
      <w:tr>
        <w:trPr>
          <w:trHeight w:val="140"/>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comprehensive income (loss), net of tax</w:t>
            </w: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(8,341)</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999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(42,686)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(3,596)</w:t>
            </w:r>
          </w:p>
        </w:tc>
      </w:tr>
      <w:tr>
        <w:trPr>
          <w:trHeight w:val="20"/>
        </w:trPr>
        <w:tc>
          <w:tcPr>
            <w:tcW w:w="3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1"/>
                <w:szCs w:val="11"/>
                <w:color w:val="auto"/>
              </w:rPr>
              <w:t>Total comprehensive (loss)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(2,783)</w:t>
            </w:r>
          </w:p>
        </w:tc>
        <w:tc>
          <w:tcPr>
            <w:tcW w:w="620" w:type="dxa"/>
            <w:vAlign w:val="bottom"/>
            <w:gridSpan w:val="2"/>
          </w:tcPr>
          <w:p>
            <w:pPr>
              <w:jc w:val="right"/>
              <w:ind w:right="489"/>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23"/>
              <w:spacing w:after="0"/>
              <w:rPr>
                <w:sz w:val="20"/>
                <w:szCs w:val="20"/>
                <w:color w:val="auto"/>
              </w:rPr>
            </w:pPr>
            <w:r>
              <w:rPr>
                <w:rFonts w:ascii="Arial" w:cs="Arial" w:eastAsia="Arial" w:hAnsi="Arial"/>
                <w:sz w:val="11"/>
                <w:szCs w:val="11"/>
                <w:color w:val="auto"/>
                <w:w w:val="94"/>
              </w:rPr>
              <w:t>7,592</w:t>
            </w:r>
          </w:p>
        </w:tc>
        <w:tc>
          <w:tcPr>
            <w:tcW w:w="220" w:type="dxa"/>
            <w:vAlign w:val="bottom"/>
            <w:gridSpan w:val="2"/>
          </w:tcPr>
          <w:p>
            <w:pPr>
              <w:jc w:val="right"/>
              <w:ind w:right="8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(26,979)</w:t>
            </w:r>
          </w:p>
        </w:tc>
        <w:tc>
          <w:tcPr>
            <w:tcW w:w="200" w:type="dxa"/>
            <w:vAlign w:val="bottom"/>
            <w:gridSpan w:val="2"/>
          </w:tcPr>
          <w:p>
            <w:pPr>
              <w:jc w:val="right"/>
              <w:ind w:right="1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11,831</w:t>
            </w:r>
          </w:p>
        </w:tc>
      </w:tr>
      <w:tr>
        <w:trPr>
          <w:trHeight w:val="20"/>
        </w:trPr>
        <w:tc>
          <w:tcPr>
            <w:tcW w:w="3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(Dollars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00" w:type="dxa"/>
            <w:vAlign w:val="bottom"/>
          </w:tcPr>
          <w:p>
            <w:pPr>
              <w:spacing w:after="0"/>
              <w:rPr>
                <w:sz w:val="11"/>
                <w:szCs w:val="11"/>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7"/>
              </w:rPr>
              <w:t>Preferred Stock</w:t>
            </w:r>
          </w:p>
        </w:tc>
        <w:tc>
          <w:tcPr>
            <w:tcW w:w="17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Additional 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Accumulated 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66"/>
              <w:spacing w:after="0" w:line="117" w:lineRule="exact"/>
              <w:rPr>
                <w:sz w:val="20"/>
                <w:szCs w:val="20"/>
                <w:color w:val="auto"/>
              </w:rPr>
            </w:pPr>
            <w:r>
              <w:rPr>
                <w:rFonts w:ascii="Arial" w:cs="Arial" w:eastAsia="Arial" w:hAnsi="Arial"/>
                <w:sz w:val="11"/>
                <w:szCs w:val="11"/>
                <w:b w:val="1"/>
                <w:bCs w:val="1"/>
                <w:color w:val="auto"/>
                <w:w w:val="97"/>
              </w:rPr>
              <w:t>Capital 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0"/>
                <w:szCs w:val="10"/>
                <w:color w:val="auto"/>
              </w:rPr>
            </w:pPr>
          </w:p>
        </w:tc>
        <w:tc>
          <w:tcPr>
            <w:tcW w:w="1000" w:type="dxa"/>
            <w:vAlign w:val="bottom"/>
            <w:gridSpan w:val="3"/>
          </w:tcPr>
          <w:p>
            <w:pPr>
              <w:jc w:val="center"/>
              <w:ind w:right="140"/>
              <w:spacing w:after="0" w:line="117" w:lineRule="exact"/>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10"/>
                <w:szCs w:val="10"/>
                <w:color w:val="auto"/>
              </w:rPr>
            </w:pPr>
          </w:p>
        </w:tc>
        <w:tc>
          <w:tcPr>
            <w:tcW w:w="840" w:type="dxa"/>
            <w:vAlign w:val="bottom"/>
            <w:gridSpan w:val="4"/>
          </w:tcPr>
          <w:p>
            <w:pPr>
              <w:jc w:val="center"/>
              <w:ind w:right="100"/>
              <w:spacing w:after="0" w:line="117"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 Value</w:t>
            </w:r>
          </w:p>
        </w:tc>
        <w:tc>
          <w:tcPr>
            <w:tcW w:w="80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66"/>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9"/>
        </w:trPr>
        <w:tc>
          <w:tcPr>
            <w:tcW w:w="260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rPr>
              <w:t>Balance at July 1, 2022</w:t>
            </w:r>
          </w:p>
        </w:tc>
        <w:tc>
          <w:tcPr>
            <w:tcW w:w="8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ind w:left="780"/>
              <w:spacing w:after="0" w:line="119"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20,000,753</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20,001</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311,024</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(114,096)</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(36,861)</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180,068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7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5,558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(8,341)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7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Balance at September 30, 2022</w:t>
            </w:r>
          </w:p>
        </w:tc>
        <w:tc>
          <w:tcPr>
            <w:tcW w:w="8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center"/>
              <w:spacing w:after="0" w:line="117"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ind w:left="780"/>
              <w:spacing w:after="0" w:line="117"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20,000,753</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center"/>
              <w:spacing w:after="0" w:line="117"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311,156</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(108,538)</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rPr>
              <w:t>(45,202)</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177,417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July 1, 2021</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12,343,379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24,616</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10,010,521</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177,852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(46,362)</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7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6,593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7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Dividends - preferred stock</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7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Class A common stock,net of offering</w:t>
            </w: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costs of $6,048</w:t>
            </w: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ind w:left="78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4,600,000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4,600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35,352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39,952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00"/>
              <w:spacing w:after="0"/>
              <w:rPr>
                <w:sz w:val="20"/>
                <w:szCs w:val="20"/>
                <w:color w:val="auto"/>
              </w:rPr>
            </w:pPr>
            <w:r>
              <w:rPr>
                <w:rFonts w:ascii="Arial" w:cs="Arial" w:eastAsia="Arial" w:hAnsi="Arial"/>
                <w:sz w:val="11"/>
                <w:szCs w:val="11"/>
                <w:color w:val="auto"/>
              </w:rPr>
              <w:t>Exchange of preferred sock</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(11,109,025)</w:t>
            </w:r>
          </w:p>
        </w:tc>
        <w:tc>
          <w:tcPr>
            <w:tcW w:w="100" w:type="dxa"/>
            <w:vAlign w:val="bottom"/>
          </w:tcPr>
          <w:p>
            <w:pPr>
              <w:spacing w:after="0"/>
              <w:rPr>
                <w:sz w:val="12"/>
                <w:szCs w:val="12"/>
                <w:color w:val="auto"/>
              </w:rPr>
            </w:pPr>
          </w:p>
        </w:tc>
        <w:tc>
          <w:tcPr>
            <w:tcW w:w="900" w:type="dxa"/>
            <w:vAlign w:val="bottom"/>
            <w:gridSpan w:val="2"/>
          </w:tcPr>
          <w:p>
            <w:pPr>
              <w:ind w:left="440"/>
              <w:spacing w:after="0"/>
              <w:rPr>
                <w:sz w:val="20"/>
                <w:szCs w:val="20"/>
                <w:color w:val="auto"/>
              </w:rPr>
            </w:pPr>
            <w:r>
              <w:rPr>
                <w:rFonts w:ascii="Arial" w:cs="Arial" w:eastAsia="Arial" w:hAnsi="Arial"/>
                <w:sz w:val="11"/>
                <w:szCs w:val="11"/>
                <w:color w:val="auto"/>
              </w:rPr>
              <w:t>(22,154)</w:t>
            </w:r>
          </w:p>
        </w:tc>
        <w:tc>
          <w:tcPr>
            <w:tcW w:w="800" w:type="dxa"/>
            <w:vAlign w:val="bottom"/>
          </w:tcPr>
          <w:p>
            <w:pPr>
              <w:jc w:val="right"/>
              <w:spacing w:after="0"/>
              <w:rPr>
                <w:sz w:val="20"/>
                <w:szCs w:val="20"/>
                <w:color w:val="auto"/>
              </w:rPr>
            </w:pPr>
            <w:r>
              <w:rPr>
                <w:rFonts w:ascii="Arial" w:cs="Arial" w:eastAsia="Arial" w:hAnsi="Arial"/>
                <w:sz w:val="11"/>
                <w:szCs w:val="11"/>
                <w:color w:val="auto"/>
              </w:rPr>
              <w:t>10,278,072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10,279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92,503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(80,628)</w:t>
            </w: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Redemption of preferred stock</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(1,234,354)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(2,462)</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7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tcPr>
          <w:p>
            <w:pPr>
              <w:spacing w:after="0"/>
              <w:rPr>
                <w:sz w:val="20"/>
                <w:szCs w:val="20"/>
                <w:color w:val="auto"/>
              </w:rPr>
            </w:pPr>
            <w:r>
              <w:rPr>
                <w:rFonts w:ascii="Arial" w:cs="Arial" w:eastAsia="Arial" w:hAnsi="Arial"/>
                <w:sz w:val="11"/>
                <w:szCs w:val="11"/>
                <w:color w:val="auto"/>
              </w:rPr>
              <w:t>Balance at September 30, 2021</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840" w:type="dxa"/>
            <w:vAlign w:val="bottom"/>
          </w:tcPr>
          <w:p>
            <w:pPr>
              <w:ind w:left="7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24,888,593</w:t>
            </w:r>
          </w:p>
        </w:tc>
        <w:tc>
          <w:tcPr>
            <w:tcW w:w="14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24,889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305,741</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(129,897)</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1,185</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18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7"/>
              </w:rPr>
              <w:t>Preferred Stock</w:t>
            </w:r>
          </w:p>
        </w:tc>
        <w:tc>
          <w:tcPr>
            <w:tcW w:w="17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2"/>
          </w:tcPr>
          <w:p>
            <w:pPr>
              <w:jc w:val="center"/>
              <w:spacing w:after="0" w:line="95" w:lineRule="exact"/>
              <w:rPr>
                <w:sz w:val="20"/>
                <w:szCs w:val="20"/>
                <w:color w:val="auto"/>
              </w:rPr>
            </w:pPr>
            <w:r>
              <w:rPr>
                <w:rFonts w:ascii="Arial" w:cs="Arial" w:eastAsia="Arial" w:hAnsi="Arial"/>
                <w:sz w:val="10"/>
                <w:szCs w:val="10"/>
                <w:b w:val="1"/>
                <w:bCs w:val="1"/>
                <w:color w:val="auto"/>
              </w:rPr>
              <w:t>Additional Paid-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tcPr>
          <w:p>
            <w:pPr>
              <w:jc w:val="center"/>
              <w:ind w:right="180"/>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6"/>
              <w:spacing w:after="0"/>
              <w:rPr>
                <w:sz w:val="20"/>
                <w:szCs w:val="20"/>
                <w:color w:val="auto"/>
              </w:rPr>
            </w:pPr>
            <w:r>
              <w:rPr>
                <w:rFonts w:ascii="Arial" w:cs="Arial" w:eastAsia="Arial" w:hAnsi="Arial"/>
                <w:sz w:val="11"/>
                <w:szCs w:val="11"/>
                <w:b w:val="1"/>
                <w:bCs w:val="1"/>
                <w:color w:val="auto"/>
                <w:w w:val="96"/>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11"/>
                <w:szCs w:val="11"/>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 Value</w:t>
            </w:r>
          </w:p>
        </w:tc>
        <w:tc>
          <w:tcPr>
            <w:tcW w:w="80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66"/>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9"/>
        </w:trPr>
        <w:tc>
          <w:tcPr>
            <w:tcW w:w="2600" w:type="dxa"/>
            <w:vAlign w:val="bottom"/>
            <w:tcBorders>
              <w:top w:val="single" w:sz="8" w:color="CCEEFF"/>
            </w:tcBorders>
            <w:shd w:val="clear" w:color="auto" w:fill="CCEEFF"/>
          </w:tcPr>
          <w:p>
            <w:pPr>
              <w:ind w:left="40"/>
              <w:spacing w:after="0" w:line="119" w:lineRule="exact"/>
              <w:rPr>
                <w:sz w:val="20"/>
                <w:szCs w:val="20"/>
                <w:color w:val="auto"/>
              </w:rPr>
            </w:pPr>
            <w:r>
              <w:rPr>
                <w:rFonts w:ascii="Arial" w:cs="Arial" w:eastAsia="Arial" w:hAnsi="Arial"/>
                <w:sz w:val="11"/>
                <w:szCs w:val="11"/>
                <w:color w:val="auto"/>
              </w:rPr>
              <w:t>Balance at January 1, 2022</w:t>
            </w:r>
          </w:p>
        </w:tc>
        <w:tc>
          <w:tcPr>
            <w:tcW w:w="800" w:type="dxa"/>
            <w:vAlign w:val="bottom"/>
            <w:tcBorders>
              <w:top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w:t>
            </w:r>
          </w:p>
        </w:tc>
        <w:tc>
          <w:tcPr>
            <w:tcW w:w="840" w:type="dxa"/>
            <w:vAlign w:val="bottom"/>
            <w:tcBorders>
              <w:top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19,991,753</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w:t>
            </w:r>
          </w:p>
        </w:tc>
        <w:tc>
          <w:tcPr>
            <w:tcW w:w="840" w:type="dxa"/>
            <w:vAlign w:val="bottom"/>
            <w:tcBorders>
              <w:top w:val="single" w:sz="8" w:color="auto"/>
            </w:tcBorders>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19,992</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w:t>
            </w:r>
          </w:p>
        </w:tc>
        <w:tc>
          <w:tcPr>
            <w:tcW w:w="840" w:type="dxa"/>
            <w:vAlign w:val="bottom"/>
            <w:tcBorders>
              <w:top w:val="single" w:sz="8" w:color="auto"/>
            </w:tcBorders>
            <w:shd w:val="clear" w:color="auto" w:fill="CCEEFF"/>
          </w:tcPr>
          <w:p>
            <w:pPr>
              <w:jc w:val="right"/>
              <w:ind w:right="26"/>
              <w:spacing w:after="0" w:line="119" w:lineRule="exact"/>
              <w:rPr>
                <w:sz w:val="20"/>
                <w:szCs w:val="20"/>
                <w:color w:val="auto"/>
              </w:rPr>
            </w:pPr>
            <w:r>
              <w:rPr>
                <w:rFonts w:ascii="Arial" w:cs="Arial" w:eastAsia="Arial" w:hAnsi="Arial"/>
                <w:sz w:val="11"/>
                <w:szCs w:val="11"/>
                <w:color w:val="auto"/>
              </w:rPr>
              <w:t>310,666</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(124,245)</w:t>
            </w: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(2,516)</w:t>
            </w: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203,897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15,707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(42,686)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Exercise of stock options</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9,000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397</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0" w:type="dxa"/>
            <w:vAlign w:val="bottom"/>
            <w:tcBorders>
              <w:bottom w:val="single" w:sz="8" w:color="CCEEFF"/>
            </w:tcBorders>
          </w:tcPr>
          <w:p>
            <w:pPr>
              <w:ind w:left="40"/>
              <w:spacing w:after="0" w:line="119" w:lineRule="exact"/>
              <w:rPr>
                <w:sz w:val="20"/>
                <w:szCs w:val="20"/>
                <w:color w:val="auto"/>
              </w:rPr>
            </w:pPr>
            <w:r>
              <w:rPr>
                <w:rFonts w:ascii="Arial" w:cs="Arial" w:eastAsia="Arial" w:hAnsi="Arial"/>
                <w:sz w:val="11"/>
                <w:szCs w:val="11"/>
                <w:color w:val="auto"/>
              </w:rPr>
              <w:t>Balance at September 30, 2022</w:t>
            </w:r>
          </w:p>
        </w:tc>
        <w:tc>
          <w:tcPr>
            <w:tcW w:w="80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20,000,753</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20,001</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311,156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(108,538)</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color w:val="auto"/>
              </w:rPr>
              <w:t>(45,202)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w w:val="97"/>
              </w:rPr>
              <w:t>$</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177,417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6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40"/>
              <w:spacing w:after="0"/>
              <w:rPr>
                <w:sz w:val="20"/>
                <w:szCs w:val="20"/>
                <w:color w:val="auto"/>
              </w:rPr>
            </w:pPr>
            <w:r>
              <w:rPr>
                <w:rFonts w:ascii="Arial" w:cs="Arial" w:eastAsia="Arial" w:hAnsi="Arial"/>
                <w:sz w:val="11"/>
                <w:szCs w:val="11"/>
                <w:color w:val="auto"/>
              </w:rPr>
              <w:t>Balance at January 1, 2021</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32,077</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25,568,147</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25,568</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162,197</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(53,622)</w:t>
            </w:r>
          </w:p>
        </w:tc>
        <w:tc>
          <w:tcPr>
            <w:tcW w:w="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4,781</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171,001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Reverse stock split 1 for 5 Common A</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(15,557,626)</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(15,558)</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15,558</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600" w:type="dxa"/>
            <w:vAlign w:val="bottom"/>
          </w:tcPr>
          <w:p>
            <w:pPr>
              <w:ind w:left="40"/>
              <w:spacing w:after="0" w:line="119" w:lineRule="exact"/>
              <w:rPr>
                <w:sz w:val="20"/>
                <w:szCs w:val="20"/>
                <w:color w:val="auto"/>
              </w:rPr>
            </w:pPr>
            <w:r>
              <w:rPr>
                <w:rFonts w:ascii="Arial" w:cs="Arial" w:eastAsia="Arial" w:hAnsi="Arial"/>
                <w:sz w:val="11"/>
                <w:szCs w:val="11"/>
                <w:color w:val="auto"/>
              </w:rPr>
              <w:t>Adjusted balance at January 1, 2021</w:t>
            </w:r>
          </w:p>
        </w:tc>
        <w:tc>
          <w:tcPr>
            <w:tcW w:w="800" w:type="dxa"/>
            <w:vAlign w:val="bottom"/>
          </w:tcPr>
          <w:p>
            <w:pPr>
              <w:jc w:val="right"/>
              <w:ind w:right="6"/>
              <w:spacing w:after="0" w:line="119" w:lineRule="exact"/>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
              <w:spacing w:after="0" w:line="119" w:lineRule="exact"/>
              <w:rPr>
                <w:sz w:val="20"/>
                <w:szCs w:val="20"/>
                <w:color w:val="auto"/>
              </w:rPr>
            </w:pPr>
            <w:r>
              <w:rPr>
                <w:rFonts w:ascii="Arial" w:cs="Arial" w:eastAsia="Arial" w:hAnsi="Arial"/>
                <w:sz w:val="11"/>
                <w:szCs w:val="11"/>
                <w:color w:val="auto"/>
              </w:rPr>
              <w:t>32,077</w:t>
            </w:r>
          </w:p>
        </w:tc>
        <w:tc>
          <w:tcPr>
            <w:tcW w:w="60" w:type="dxa"/>
            <w:vAlign w:val="bottom"/>
          </w:tcPr>
          <w:p>
            <w:pPr>
              <w:spacing w:after="0"/>
              <w:rPr>
                <w:sz w:val="10"/>
                <w:szCs w:val="10"/>
                <w:color w:val="auto"/>
              </w:rPr>
            </w:pPr>
          </w:p>
        </w:tc>
        <w:tc>
          <w:tcPr>
            <w:tcW w:w="800" w:type="dxa"/>
            <w:vAlign w:val="bottom"/>
          </w:tcPr>
          <w:p>
            <w:pPr>
              <w:jc w:val="right"/>
              <w:ind w:right="6"/>
              <w:spacing w:after="0" w:line="119" w:lineRule="exact"/>
              <w:rPr>
                <w:sz w:val="20"/>
                <w:szCs w:val="20"/>
                <w:color w:val="auto"/>
              </w:rPr>
            </w:pPr>
            <w:r>
              <w:rPr>
                <w:rFonts w:ascii="Arial" w:cs="Arial" w:eastAsia="Arial" w:hAnsi="Arial"/>
                <w:sz w:val="11"/>
                <w:szCs w:val="11"/>
                <w:color w:val="auto"/>
              </w:rPr>
              <w:t>10,010,521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
              <w:spacing w:after="0" w:line="119" w:lineRule="exact"/>
              <w:rPr>
                <w:sz w:val="20"/>
                <w:szCs w:val="20"/>
                <w:color w:val="auto"/>
              </w:rPr>
            </w:pPr>
            <w:r>
              <w:rPr>
                <w:rFonts w:ascii="Arial" w:cs="Arial" w:eastAsia="Arial" w:hAnsi="Arial"/>
                <w:sz w:val="11"/>
                <w:szCs w:val="11"/>
                <w:color w:val="auto"/>
              </w:rPr>
              <w:t>10,010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
              <w:spacing w:after="0" w:line="119" w:lineRule="exact"/>
              <w:rPr>
                <w:sz w:val="20"/>
                <w:szCs w:val="20"/>
                <w:color w:val="auto"/>
              </w:rPr>
            </w:pPr>
            <w:r>
              <w:rPr>
                <w:rFonts w:ascii="Arial" w:cs="Arial" w:eastAsia="Arial" w:hAnsi="Arial"/>
                <w:sz w:val="11"/>
                <w:szCs w:val="11"/>
                <w:color w:val="auto"/>
              </w:rPr>
              <w:t>177,755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(53,622)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7"/>
              <w:spacing w:after="0" w:line="119" w:lineRule="exact"/>
              <w:rPr>
                <w:sz w:val="20"/>
                <w:szCs w:val="20"/>
                <w:color w:val="auto"/>
              </w:rPr>
            </w:pPr>
            <w:r>
              <w:rPr>
                <w:rFonts w:ascii="Arial" w:cs="Arial" w:eastAsia="Arial" w:hAnsi="Arial"/>
                <w:sz w:val="11"/>
                <w:szCs w:val="11"/>
                <w:color w:val="auto"/>
              </w:rPr>
              <w:t>4,781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ind w:right="6"/>
              <w:spacing w:after="0" w:line="119" w:lineRule="exact"/>
              <w:rPr>
                <w:sz w:val="20"/>
                <w:szCs w:val="20"/>
                <w:color w:val="auto"/>
              </w:rPr>
            </w:pPr>
            <w:r>
              <w:rPr>
                <w:rFonts w:ascii="Arial" w:cs="Arial" w:eastAsia="Arial" w:hAnsi="Arial"/>
                <w:sz w:val="11"/>
                <w:szCs w:val="11"/>
                <w:color w:val="auto"/>
              </w:rPr>
              <w:t>171,001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15,427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Pr>
          <w:p>
            <w:pPr>
              <w:ind w:left="140"/>
              <w:spacing w:after="0"/>
              <w:rPr>
                <w:sz w:val="20"/>
                <w:szCs w:val="20"/>
                <w:color w:val="auto"/>
              </w:rPr>
            </w:pPr>
            <w:r>
              <w:rPr>
                <w:rFonts w:ascii="Arial" w:cs="Arial" w:eastAsia="Arial" w:hAnsi="Arial"/>
                <w:sz w:val="11"/>
                <w:szCs w:val="11"/>
                <w:color w:val="auto"/>
              </w:rPr>
              <w:t>Other comprehensive income</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 - preferred stock</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0" w:type="dxa"/>
            <w:vAlign w:val="bottom"/>
          </w:tcPr>
          <w:p>
            <w:pPr>
              <w:ind w:left="140"/>
              <w:spacing w:after="0"/>
              <w:rPr>
                <w:sz w:val="20"/>
                <w:szCs w:val="20"/>
                <w:color w:val="auto"/>
              </w:rPr>
            </w:pPr>
            <w:r>
              <w:rPr>
                <w:rFonts w:ascii="Arial" w:cs="Arial" w:eastAsia="Arial" w:hAnsi="Arial"/>
                <w:sz w:val="11"/>
                <w:szCs w:val="11"/>
                <w:color w:val="auto"/>
              </w:rPr>
              <w:t>Issuance of Class A common stock,net of offering</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00" w:type="dxa"/>
            <w:vAlign w:val="bottom"/>
          </w:tcPr>
          <w:p>
            <w:pPr>
              <w:ind w:left="140"/>
              <w:spacing w:after="0"/>
              <w:rPr>
                <w:sz w:val="20"/>
                <w:szCs w:val="20"/>
                <w:color w:val="auto"/>
              </w:rPr>
            </w:pPr>
            <w:r>
              <w:rPr>
                <w:rFonts w:ascii="Arial" w:cs="Arial" w:eastAsia="Arial" w:hAnsi="Arial"/>
                <w:sz w:val="11"/>
                <w:szCs w:val="11"/>
                <w:color w:val="auto"/>
              </w:rPr>
              <w:t>costs of $6,048</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4,600,000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4,600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35,352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39,952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ind w:left="140"/>
              <w:spacing w:after="0"/>
              <w:rPr>
                <w:sz w:val="20"/>
                <w:szCs w:val="20"/>
                <w:color w:val="auto"/>
              </w:rPr>
            </w:pPr>
            <w:r>
              <w:rPr>
                <w:rFonts w:ascii="Arial" w:cs="Arial" w:eastAsia="Arial" w:hAnsi="Arial"/>
                <w:sz w:val="11"/>
                <w:szCs w:val="11"/>
                <w:color w:val="auto"/>
              </w:rPr>
              <w:t>Exchange of preferred sock</w:t>
            </w:r>
          </w:p>
        </w:tc>
        <w:tc>
          <w:tcPr>
            <w:tcW w:w="800" w:type="dxa"/>
            <w:vAlign w:val="bottom"/>
          </w:tcPr>
          <w:p>
            <w:pPr>
              <w:jc w:val="right"/>
              <w:spacing w:after="0"/>
              <w:rPr>
                <w:sz w:val="20"/>
                <w:szCs w:val="20"/>
                <w:color w:val="auto"/>
              </w:rPr>
            </w:pPr>
            <w:r>
              <w:rPr>
                <w:rFonts w:ascii="Arial" w:cs="Arial" w:eastAsia="Arial" w:hAnsi="Arial"/>
                <w:sz w:val="11"/>
                <w:szCs w:val="11"/>
                <w:color w:val="auto"/>
              </w:rPr>
              <w:t>(11,109,025)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(22,154)</w:t>
            </w: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10,278,072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10,279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92,503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(80,628)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Redemption of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(1,241,854)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(9,923)</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auto"/>
              </w:rPr>
              <w:t>Balance at September 30, 2021</w:t>
            </w:r>
          </w:p>
        </w:tc>
        <w:tc>
          <w:tcPr>
            <w:tcW w:w="80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24,888,593</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24,889</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305,741</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(129,897)</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1,185</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201,918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400" w:lineRule="exact"/>
        <w:rPr>
          <w:sz w:val="20"/>
          <w:szCs w:val="20"/>
          <w:color w:val="auto"/>
        </w:rPr>
      </w:pPr>
    </w:p>
    <w:p>
      <w:pPr>
        <w:jc w:val="center"/>
        <w:ind w:right="20"/>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10260"/>
          </w:cols>
          <w:pgMar w:left="900" w:top="491" w:right="73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131"/>
        </w:trPr>
        <w:tc>
          <w:tcPr>
            <w:tcW w:w="1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1"/>
                <w:szCs w:val="11"/>
                <w:b w:val="1"/>
                <w:bCs w:val="1"/>
                <w:color w:val="auto"/>
              </w:rPr>
              <w:t>Nine Months Ended 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tcBorders>
              <w:bottom w:val="single" w:sz="8" w:color="CCEEFF"/>
            </w:tcBorders>
          </w:tcPr>
          <w:p>
            <w:pPr>
              <w:spacing w:after="0"/>
              <w:rPr>
                <w:sz w:val="11"/>
                <w:szCs w:val="11"/>
                <w:color w:val="auto"/>
              </w:rPr>
            </w:pPr>
          </w:p>
        </w:tc>
        <w:tc>
          <w:tcPr>
            <w:tcW w:w="5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15,707</w:t>
            </w:r>
          </w:p>
        </w:tc>
        <w:tc>
          <w:tcPr>
            <w:tcW w:w="16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15,427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Depreciation and amortization</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Amortization of premiums on securities,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412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Accretion of deferred loan fees, net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(1,364)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397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available for sale securities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Gain on sale of loans held for sale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(686)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(1,519)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Increase in cash surrender value of bank ownedlife insurance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(499)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Decrease in deferred tax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5,529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1"/>
                <w:szCs w:val="11"/>
                <w:color w:val="auto"/>
              </w:rPr>
              <w:t>4,849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5120" w:type="dxa"/>
            <w:vAlign w:val="bottom"/>
            <w:gridSpan w:val="2"/>
          </w:tcPr>
          <w:p>
            <w:pPr>
              <w:ind w:left="100"/>
              <w:spacing w:after="0"/>
              <w:rPr>
                <w:sz w:val="20"/>
                <w:szCs w:val="20"/>
                <w:color w:val="auto"/>
              </w:rPr>
            </w:pPr>
            <w:r>
              <w:rPr>
                <w:rFonts w:ascii="Arial" w:cs="Arial" w:eastAsia="Arial" w:hAnsi="Arial"/>
                <w:sz w:val="11"/>
                <w:szCs w:val="11"/>
                <w:color w:val="auto"/>
              </w:rPr>
              <w:t>Accrued interest 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(593)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(4,163)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(2,724)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14,432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rPr>
              <w:t>10,499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510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cash provided by operating activities</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31,562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23,648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Purchase of investment securities heldto maturity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(2,432)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(31,919)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Purchase of investment securities availablefor sale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(49,808)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(158,333)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Proceeds from sales of investment securitiesavailable for sale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45,647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48,939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(177,916)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(55,451)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(70,175)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(93,677)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(314)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8,641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15,606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the redemption of FederalHome Loan Bank stock</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(2,052)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cash used in investment activities</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(200,829)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(231,927)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Proceeds from issuance of Class A commonstock,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39,952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paid</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(2,077)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Redemption of Preferred stock Class 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(5,275)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Preferred stock Class D</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(6,145)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Redemption of Preferred stock Class 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206,263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211,187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60,000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(70,000)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5120" w:type="dxa"/>
            <w:vAlign w:val="bottom"/>
            <w:gridSpan w:val="2"/>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196,365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230,142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gridSpan w:val="3"/>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gridSpan w:val="3"/>
          </w:tcPr>
          <w:p>
            <w:pPr>
              <w:ind w:left="40"/>
              <w:spacing w:after="0"/>
              <w:rPr>
                <w:sz w:val="20"/>
                <w:szCs w:val="20"/>
                <w:color w:val="auto"/>
              </w:rPr>
            </w:pPr>
            <w:r>
              <w:rPr>
                <w:rFonts w:ascii="Arial" w:cs="Arial" w:eastAsia="Arial" w:hAnsi="Arial"/>
                <w:sz w:val="11"/>
                <w:szCs w:val="11"/>
                <w:color w:val="auto"/>
              </w:rPr>
              <w:t>Net increase in cash and cash equivalents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27,098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21,863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beginningof period</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46,228</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47,734</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40" w:type="dxa"/>
            <w:vAlign w:val="bottom"/>
            <w:gridSpan w:val="3"/>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73,326</w:t>
            </w:r>
          </w:p>
        </w:tc>
        <w:tc>
          <w:tcPr>
            <w:tcW w:w="16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69,597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5240" w:type="dxa"/>
            <w:vAlign w:val="bottom"/>
            <w:tcBorders>
              <w:top w:val="single" w:sz="8" w:color="CCEEFF"/>
            </w:tcBorders>
            <w:gridSpan w:val="3"/>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240" w:type="dxa"/>
            <w:vAlign w:val="bottom"/>
            <w:gridSpan w:val="3"/>
          </w:tcPr>
          <w:p>
            <w:pPr>
              <w:ind w:left="40"/>
              <w:spacing w:after="0"/>
              <w:rPr>
                <w:sz w:val="20"/>
                <w:szCs w:val="20"/>
                <w:color w:val="auto"/>
              </w:rPr>
            </w:pPr>
            <w:r>
              <w:rPr>
                <w:rFonts w:ascii="Arial" w:cs="Arial" w:eastAsia="Arial" w:hAnsi="Arial"/>
                <w:sz w:val="11"/>
                <w:szCs w:val="11"/>
                <w:b w:val="1"/>
                <w:bCs w:val="1"/>
                <w:color w:val="auto"/>
              </w:rPr>
              <w:t>Supplemental disclosure of cash flowinformation: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0" w:type="dxa"/>
            <w:vAlign w:val="bottom"/>
            <w:shd w:val="clear" w:color="auto" w:fill="CCEEFF"/>
          </w:tcPr>
          <w:p>
            <w:pPr>
              <w:spacing w:after="0"/>
              <w:rPr>
                <w:sz w:val="13"/>
                <w:szCs w:val="13"/>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 w:type="dxa"/>
            <w:vAlign w:val="bottom"/>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3,675</w:t>
            </w:r>
          </w:p>
        </w:tc>
        <w:tc>
          <w:tcPr>
            <w:tcW w:w="60" w:type="dxa"/>
            <w:vAlign w:val="bottom"/>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2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2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schedule of non-cash investingand financing activities: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120" w:type="dxa"/>
            <w:vAlign w:val="bottom"/>
            <w:gridSpan w:val="2"/>
          </w:tcPr>
          <w:p>
            <w:pPr>
              <w:ind w:left="20"/>
              <w:spacing w:after="0"/>
              <w:rPr>
                <w:sz w:val="20"/>
                <w:szCs w:val="20"/>
                <w:color w:val="auto"/>
              </w:rPr>
            </w:pPr>
            <w:r>
              <w:rPr>
                <w:rFonts w:ascii="Arial" w:cs="Arial" w:eastAsia="Arial" w:hAnsi="Arial"/>
                <w:sz w:val="11"/>
                <w:szCs w:val="11"/>
                <w:color w:val="auto"/>
              </w:rPr>
              <w:t>Transfer of loans held for investment to loans heldfor sale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7,955</w:t>
            </w:r>
          </w:p>
        </w:tc>
        <w:tc>
          <w:tcPr>
            <w:tcW w:w="60" w:type="dxa"/>
            <w:vAlign w:val="bottom"/>
          </w:tcPr>
          <w:p>
            <w:pPr>
              <w:spacing w:after="0"/>
              <w:rPr>
                <w:sz w:val="16"/>
                <w:szCs w:val="16"/>
                <w:color w:val="auto"/>
              </w:rPr>
            </w:pPr>
          </w:p>
        </w:tc>
        <w:tc>
          <w:tcPr>
            <w:tcW w:w="16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14,087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0" w:type="dxa"/>
            <w:vAlign w:val="bottom"/>
            <w:tcBorders>
              <w:top w:val="single" w:sz="8" w:color="CCEEFF"/>
            </w:tcBorders>
            <w:shd w:val="clear" w:color="auto" w:fill="CCEEFF"/>
          </w:tcPr>
          <w:p>
            <w:pPr>
              <w:spacing w:after="0"/>
              <w:rPr>
                <w:sz w:val="7"/>
                <w:szCs w:val="7"/>
                <w:color w:val="auto"/>
              </w:rPr>
            </w:pPr>
          </w:p>
        </w:tc>
        <w:tc>
          <w:tcPr>
            <w:tcW w:w="5120" w:type="dxa"/>
            <w:vAlign w:val="bottom"/>
            <w:tcBorders>
              <w:top w:val="single" w:sz="8" w:color="CCEEFF"/>
            </w:tcBorders>
            <w:gridSpan w:val="2"/>
            <w:shd w:val="clear" w:color="auto" w:fill="CCEEFF"/>
          </w:tcPr>
          <w:p>
            <w:pPr>
              <w:ind w:left="20"/>
              <w:spacing w:after="0" w:line="90" w:lineRule="exact"/>
              <w:rPr>
                <w:sz w:val="20"/>
                <w:szCs w:val="20"/>
                <w:color w:val="auto"/>
              </w:rPr>
            </w:pPr>
            <w:r>
              <w:rPr>
                <w:rFonts w:ascii="Arial" w:cs="Arial" w:eastAsia="Arial" w:hAnsi="Arial"/>
                <w:sz w:val="10"/>
                <w:szCs w:val="10"/>
                <w:color w:val="auto"/>
              </w:rPr>
              <w:t>Transfer of investment securities from available-for-saleto held-to-maturity</w:t>
            </w: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line="90" w:lineRule="exact"/>
              <w:rPr>
                <w:sz w:val="20"/>
                <w:szCs w:val="20"/>
                <w:color w:val="auto"/>
              </w:rPr>
            </w:pPr>
            <w:r>
              <w:rPr>
                <w:rFonts w:ascii="Arial" w:cs="Arial" w:eastAsia="Arial" w:hAnsi="Arial"/>
                <w:sz w:val="10"/>
                <w:szCs w:val="10"/>
                <w:color w:val="auto"/>
              </w:rPr>
              <w:t>74,444</w:t>
            </w: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40" w:type="dxa"/>
            <w:vAlign w:val="bottom"/>
            <w:tcBorders>
              <w:top w:val="single" w:sz="8" w:color="CCEEFF"/>
            </w:tcBorders>
            <w:gridSpan w:val="2"/>
            <w:shd w:val="clear" w:color="auto" w:fill="CCEEFF"/>
          </w:tcPr>
          <w:p>
            <w:pPr>
              <w:spacing w:after="0"/>
              <w:rPr>
                <w:sz w:val="7"/>
                <w:szCs w:val="7"/>
                <w:color w:val="auto"/>
              </w:rPr>
            </w:pPr>
          </w:p>
        </w:tc>
        <w:tc>
          <w:tcPr>
            <w:tcW w:w="100" w:type="dxa"/>
            <w:vAlign w:val="bottom"/>
            <w:tcBorders>
              <w:top w:val="single" w:sz="8" w:color="auto"/>
              <w:bottom w:val="single" w:sz="8" w:color="auto"/>
            </w:tcBorders>
            <w:gridSpan w:val="2"/>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gridSpan w:val="3"/>
            <w:shd w:val="clear" w:color="auto" w:fill="CCEEFF"/>
          </w:tcPr>
          <w:p>
            <w:pPr>
              <w:jc w:val="right"/>
              <w:ind w:right="60"/>
              <w:spacing w:after="0" w:line="90" w:lineRule="exact"/>
              <w:rPr>
                <w:sz w:val="20"/>
                <w:szCs w:val="20"/>
                <w:color w:val="auto"/>
              </w:rPr>
            </w:pPr>
            <w:r>
              <w:rPr>
                <w:rFonts w:ascii="Arial" w:cs="Arial" w:eastAsia="Arial" w:hAnsi="Arial"/>
                <w:sz w:val="10"/>
                <w:szCs w:val="10"/>
                <w:color w:val="auto"/>
              </w:rPr>
              <w:t>68,667</w:t>
            </w: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gridSpan w:val="2"/>
            <w:vMerge w:val="restart"/>
          </w:tcPr>
          <w:p>
            <w:pPr>
              <w:ind w:left="20"/>
              <w:spacing w:after="0"/>
              <w:rPr>
                <w:sz w:val="20"/>
                <w:szCs w:val="20"/>
                <w:color w:val="auto"/>
              </w:rPr>
            </w:pPr>
            <w:r>
              <w:rPr>
                <w:rFonts w:ascii="Arial" w:cs="Arial" w:eastAsia="Arial" w:hAnsi="Arial"/>
                <w:sz w:val="11"/>
                <w:szCs w:val="11"/>
                <w:color w:val="auto"/>
              </w:rPr>
              <w:t>Transfer of premises and equipment to assets heldfor sale</w:t>
            </w: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Borders>
              <w:bottom w:val="single" w:sz="8" w:color="CCEEFF"/>
            </w:tcBorders>
          </w:tcPr>
          <w:p>
            <w:pPr>
              <w:spacing w:after="0"/>
              <w:rPr>
                <w:sz w:val="11"/>
                <w:szCs w:val="11"/>
                <w:color w:val="auto"/>
              </w:rPr>
            </w:pPr>
          </w:p>
        </w:tc>
        <w:tc>
          <w:tcPr>
            <w:tcW w:w="5120" w:type="dxa"/>
            <w:vAlign w:val="bottom"/>
            <w:tcBorders>
              <w:bottom w:val="single" w:sz="8" w:color="CCEEFF"/>
            </w:tcBorders>
            <w:gridSpan w:val="2"/>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90" w:lineRule="exact"/>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gridSpan w:val="3"/>
          </w:tcPr>
          <w:p>
            <w:pPr>
              <w:jc w:val="right"/>
              <w:ind w:right="60"/>
              <w:spacing w:after="0" w:line="90" w:lineRule="exact"/>
              <w:rPr>
                <w:sz w:val="20"/>
                <w:szCs w:val="20"/>
                <w:color w:val="auto"/>
              </w:rPr>
            </w:pPr>
            <w:r>
              <w:rPr>
                <w:rFonts w:ascii="Arial" w:cs="Arial" w:eastAsia="Arial" w:hAnsi="Arial"/>
                <w:sz w:val="10"/>
                <w:szCs w:val="10"/>
                <w:color w:val="auto"/>
              </w:rPr>
              <w:t>652</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20" w:type="dxa"/>
            <w:vAlign w:val="bottom"/>
            <w:tcBorders>
              <w:top w:val="single" w:sz="8" w:color="CCEEFF"/>
            </w:tcBorders>
            <w:shd w:val="clear" w:color="auto" w:fill="CCEEFF"/>
          </w:tcPr>
          <w:p>
            <w:pPr>
              <w:spacing w:after="0"/>
              <w:rPr>
                <w:sz w:val="6"/>
                <w:szCs w:val="6"/>
                <w:color w:val="auto"/>
              </w:rPr>
            </w:pPr>
          </w:p>
        </w:tc>
        <w:tc>
          <w:tcPr>
            <w:tcW w:w="5120" w:type="dxa"/>
            <w:vAlign w:val="bottom"/>
            <w:tcBorders>
              <w:top w:val="single" w:sz="8" w:color="CCEEFF"/>
            </w:tcBorders>
            <w:gridSpan w:val="2"/>
            <w:shd w:val="clear" w:color="auto" w:fill="CCEEFF"/>
          </w:tcPr>
          <w:p>
            <w:pPr>
              <w:ind w:left="20"/>
              <w:spacing w:after="0" w:line="79" w:lineRule="exact"/>
              <w:rPr>
                <w:sz w:val="20"/>
                <w:szCs w:val="20"/>
                <w:color w:val="auto"/>
              </w:rPr>
            </w:pPr>
            <w:r>
              <w:rPr>
                <w:rFonts w:ascii="Arial" w:cs="Arial" w:eastAsia="Arial" w:hAnsi="Arial"/>
                <w:sz w:val="9"/>
                <w:szCs w:val="9"/>
                <w:color w:val="auto"/>
              </w:rPr>
              <w:t>Lease liability arising from obtaining right-of-useassets</w:t>
            </w: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9"/>
                <w:szCs w:val="9"/>
                <w:color w:val="auto"/>
              </w:rPr>
              <w:t>$</w:t>
            </w: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980" w:type="dxa"/>
            <w:vAlign w:val="bottom"/>
            <w:tcBorders>
              <w:top w:val="single" w:sz="8" w:color="CCEEFF"/>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9"/>
                <w:szCs w:val="9"/>
                <w:color w:val="auto"/>
              </w:rPr>
              <w:t>1,550</w:t>
            </w:r>
          </w:p>
        </w:tc>
        <w:tc>
          <w:tcPr>
            <w:tcW w:w="60" w:type="dxa"/>
            <w:vAlign w:val="bottom"/>
            <w:tcBorders>
              <w:top w:val="single" w:sz="8" w:color="CCEEFF"/>
              <w:bottom w:val="single" w:sz="8" w:color="auto"/>
            </w:tcBorders>
            <w:shd w:val="clear" w:color="auto" w:fill="CCEEFF"/>
          </w:tcPr>
          <w:p>
            <w:pPr>
              <w:spacing w:after="0"/>
              <w:rPr>
                <w:sz w:val="6"/>
                <w:szCs w:val="6"/>
                <w:color w:val="auto"/>
              </w:rPr>
            </w:pPr>
          </w:p>
        </w:tc>
        <w:tc>
          <w:tcPr>
            <w:tcW w:w="20" w:type="dxa"/>
            <w:vAlign w:val="bottom"/>
            <w:tcBorders>
              <w:top w:val="single" w:sz="8" w:color="auto"/>
              <w:bottom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bottom w:val="single" w:sz="8" w:color="auto"/>
            </w:tcBorders>
            <w:gridSpan w:val="2"/>
            <w:shd w:val="clear" w:color="auto" w:fill="CCEEFF"/>
          </w:tcPr>
          <w:p>
            <w:pPr>
              <w:jc w:val="right"/>
              <w:spacing w:after="0" w:line="79" w:lineRule="exact"/>
              <w:rPr>
                <w:sz w:val="20"/>
                <w:szCs w:val="20"/>
                <w:color w:val="auto"/>
              </w:rPr>
            </w:pPr>
            <w:r>
              <w:rPr>
                <w:rFonts w:ascii="Arial" w:cs="Arial" w:eastAsia="Arial" w:hAnsi="Arial"/>
                <w:sz w:val="9"/>
                <w:szCs w:val="9"/>
                <w:color w:val="auto"/>
              </w:rPr>
              <w:t>$</w:t>
            </w:r>
          </w:p>
        </w:tc>
        <w:tc>
          <w:tcPr>
            <w:tcW w:w="1080" w:type="dxa"/>
            <w:vAlign w:val="bottom"/>
            <w:tcBorders>
              <w:top w:val="single" w:sz="8" w:color="CCEEFF"/>
              <w:bottom w:val="single" w:sz="8" w:color="auto"/>
            </w:tcBorders>
            <w:gridSpan w:val="3"/>
            <w:shd w:val="clear" w:color="auto" w:fill="CCEEFF"/>
          </w:tcPr>
          <w:p>
            <w:pPr>
              <w:jc w:val="right"/>
              <w:ind w:right="60"/>
              <w:spacing w:after="0" w:line="79" w:lineRule="exact"/>
              <w:rPr>
                <w:sz w:val="20"/>
                <w:szCs w:val="20"/>
                <w:color w:val="auto"/>
              </w:rPr>
            </w:pPr>
            <w:r>
              <w:rPr>
                <w:rFonts w:ascii="Arial" w:cs="Arial" w:eastAsia="Arial" w:hAnsi="Arial"/>
                <w:sz w:val="9"/>
                <w:szCs w:val="9"/>
                <w:color w:val="auto"/>
              </w:rPr>
              <w:t>666</w:t>
            </w:r>
          </w:p>
        </w:tc>
        <w:tc>
          <w:tcPr>
            <w:tcW w:w="20" w:type="dxa"/>
            <w:vAlign w:val="bottom"/>
            <w:tcBorders>
              <w:top w:val="single" w:sz="8" w:color="auto"/>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gridSpan w:val="2"/>
            <w:vMerge w:val="restart"/>
          </w:tcPr>
          <w:p>
            <w:pPr>
              <w:ind w:left="20"/>
              <w:spacing w:after="0"/>
              <w:rPr>
                <w:sz w:val="20"/>
                <w:szCs w:val="20"/>
                <w:color w:val="auto"/>
              </w:rPr>
            </w:pPr>
            <w:r>
              <w:rPr>
                <w:rFonts w:ascii="Arial" w:cs="Arial" w:eastAsia="Arial" w:hAnsi="Arial"/>
                <w:sz w:val="11"/>
                <w:szCs w:val="11"/>
                <w:color w:val="auto"/>
              </w:rPr>
              <w:t>Exchange of Preferred stock Class C forClass A common stock</w:t>
            </w: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Borders>
              <w:bottom w:val="single" w:sz="8" w:color="CCEEFF"/>
            </w:tcBorders>
          </w:tcPr>
          <w:p>
            <w:pPr>
              <w:spacing w:after="0"/>
              <w:rPr>
                <w:sz w:val="11"/>
                <w:szCs w:val="11"/>
                <w:color w:val="auto"/>
              </w:rPr>
            </w:pPr>
          </w:p>
        </w:tc>
        <w:tc>
          <w:tcPr>
            <w:tcW w:w="5120" w:type="dxa"/>
            <w:vAlign w:val="bottom"/>
            <w:tcBorders>
              <w:bottom w:val="single" w:sz="8" w:color="CCEEFF"/>
            </w:tcBorders>
            <w:gridSpan w:val="2"/>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CCEEFF"/>
            </w:tcBorders>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90" w:lineRule="exact"/>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gridSpan w:val="3"/>
          </w:tcPr>
          <w:p>
            <w:pPr>
              <w:jc w:val="right"/>
              <w:ind w:right="60"/>
              <w:spacing w:after="0" w:line="90" w:lineRule="exact"/>
              <w:rPr>
                <w:sz w:val="20"/>
                <w:szCs w:val="20"/>
                <w:color w:val="auto"/>
              </w:rPr>
            </w:pPr>
            <w:r>
              <w:rPr>
                <w:rFonts w:ascii="Arial" w:cs="Arial" w:eastAsia="Arial" w:hAnsi="Arial"/>
                <w:sz w:val="10"/>
                <w:szCs w:val="10"/>
                <w:color w:val="auto"/>
              </w:rPr>
              <w:t>47,473</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20" w:type="dxa"/>
            <w:vAlign w:val="bottom"/>
            <w:shd w:val="clear" w:color="auto" w:fill="CCEEFF"/>
          </w:tcPr>
          <w:p>
            <w:pPr>
              <w:spacing w:after="0"/>
              <w:rPr>
                <w:sz w:val="7"/>
                <w:szCs w:val="7"/>
                <w:color w:val="auto"/>
              </w:rPr>
            </w:pPr>
          </w:p>
        </w:tc>
        <w:tc>
          <w:tcPr>
            <w:tcW w:w="5120" w:type="dxa"/>
            <w:vAlign w:val="bottom"/>
            <w:gridSpan w:val="2"/>
            <w:shd w:val="clear" w:color="auto" w:fill="CCEEFF"/>
          </w:tcPr>
          <w:p>
            <w:pPr>
              <w:ind w:left="20"/>
              <w:spacing w:after="0" w:line="90" w:lineRule="exact"/>
              <w:rPr>
                <w:sz w:val="20"/>
                <w:szCs w:val="20"/>
                <w:color w:val="auto"/>
              </w:rPr>
            </w:pPr>
            <w:r>
              <w:rPr>
                <w:rFonts w:ascii="Arial" w:cs="Arial" w:eastAsia="Arial" w:hAnsi="Arial"/>
                <w:sz w:val="10"/>
                <w:szCs w:val="10"/>
                <w:color w:val="auto"/>
              </w:rPr>
              <w:t>Exchange of Preferred stock Class D forClass A common stock</w:t>
            </w:r>
          </w:p>
        </w:tc>
        <w:tc>
          <w:tcPr>
            <w:tcW w:w="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40" w:type="dxa"/>
            <w:vAlign w:val="bottom"/>
            <w:gridSpan w:val="2"/>
            <w:shd w:val="clear" w:color="auto" w:fill="CCEEFF"/>
          </w:tcPr>
          <w:p>
            <w:pPr>
              <w:spacing w:after="0"/>
              <w:rPr>
                <w:sz w:val="7"/>
                <w:szCs w:val="7"/>
                <w:color w:val="auto"/>
              </w:rPr>
            </w:pPr>
          </w:p>
        </w:tc>
        <w:tc>
          <w:tcPr>
            <w:tcW w:w="100" w:type="dxa"/>
            <w:vAlign w:val="bottom"/>
            <w:tcBorders>
              <w:bottom w:val="single" w:sz="8" w:color="auto"/>
            </w:tcBorders>
            <w:gridSpan w:val="2"/>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gridSpan w:val="3"/>
            <w:shd w:val="clear" w:color="auto" w:fill="CCEEFF"/>
          </w:tcPr>
          <w:p>
            <w:pPr>
              <w:jc w:val="right"/>
              <w:ind w:right="60"/>
              <w:spacing w:after="0" w:line="90" w:lineRule="exact"/>
              <w:rPr>
                <w:sz w:val="20"/>
                <w:szCs w:val="20"/>
                <w:color w:val="auto"/>
              </w:rPr>
            </w:pPr>
            <w:r>
              <w:rPr>
                <w:rFonts w:ascii="Arial" w:cs="Arial" w:eastAsia="Arial" w:hAnsi="Arial"/>
                <w:sz w:val="10"/>
                <w:szCs w:val="10"/>
                <w:color w:val="auto"/>
              </w:rPr>
              <w:t>55,308</w:t>
            </w:r>
          </w:p>
        </w:tc>
        <w:tc>
          <w:tcPr>
            <w:tcW w:w="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45" w:lineRule="exact"/>
        <w:rPr>
          <w:sz w:val="20"/>
          <w:szCs w:val="20"/>
          <w:color w:val="auto"/>
        </w:rPr>
      </w:pPr>
    </w:p>
    <w:p>
      <w:pPr>
        <w:jc w:val="both"/>
        <w:ind w:left="640" w:right="659" w:firstLine="256"/>
        <w:spacing w:after="0" w:line="247" w:lineRule="auto"/>
        <w:rPr>
          <w:sz w:val="20"/>
          <w:szCs w:val="20"/>
          <w:color w:val="auto"/>
        </w:rPr>
      </w:pPr>
      <w:r>
        <w:rPr>
          <w:rFonts w:ascii="Arial" w:cs="Arial" w:eastAsia="Arial" w:hAnsi="Arial"/>
          <w:sz w:val="14"/>
          <w:szCs w:val="14"/>
          <w:color w:val="auto"/>
        </w:rPr>
        <w:t>During the year ended December 31, 2021, the Bank completed an initial public offering (“IPO”) and its Class A voting common shares began trading on the Nasdaq Stock Market in July 2021. In December 2021, the Bank exchanged all the outstanding shares of Class B non-voting common stock for shares of Class A voting common stock on a one to five exchange. Shortly thereafter, the Company acquired all issued and outstanding shares of Class A voting common stock of the Bank in connection with the reorganization of the Bank into the holding company form of structure. For further information on the IPO and the exchange and redemption of shares, see Note 8 “Stockholders’ Equity”.</w:t>
      </w:r>
    </w:p>
    <w:p>
      <w:pPr>
        <w:spacing w:after="0" w:line="15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Company’s Consolidated Financial Statements consist of USCB Financial Holdings, Inc. and U.S. Century Bank as of September 30, 2022 and December 31, 2021 and for the three and nine months ended September 30, 2022 compared to only U.S. Century Bank as of September 30, 2021 and for the three and nine months ended September 30, 2021.</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Basis of Presentation</w:t>
      </w:r>
    </w:p>
    <w:p>
      <w:pPr>
        <w:spacing w:after="0" w:line="188"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 for the year ended December 31, 2021.</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Use of Estimates</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and income taxes.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Reclassifications</w:t>
      </w:r>
    </w:p>
    <w:p>
      <w:pPr>
        <w:spacing w:after="0" w:line="188" w:lineRule="exact"/>
        <w:rPr>
          <w:sz w:val="20"/>
          <w:szCs w:val="20"/>
          <w:color w:val="auto"/>
        </w:rPr>
      </w:pPr>
    </w:p>
    <w:p>
      <w:pPr>
        <w:jc w:val="both"/>
        <w:ind w:left="620" w:right="699" w:firstLine="256"/>
        <w:spacing w:after="0" w:line="252"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Issued and Not Yet Adopted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Measurement of Credit Losses on Financial Instruments</w:t>
      </w:r>
    </w:p>
    <w:p>
      <w:pPr>
        <w:spacing w:after="0" w:line="170" w:lineRule="exact"/>
        <w:rPr>
          <w:sz w:val="20"/>
          <w:szCs w:val="20"/>
          <w:color w:val="auto"/>
        </w:rPr>
      </w:pPr>
    </w:p>
    <w:p>
      <w:pPr>
        <w:jc w:val="both"/>
        <w:ind w:left="620" w:right="699" w:firstLine="256"/>
        <w:spacing w:after="0" w:line="270" w:lineRule="auto"/>
        <w:rPr>
          <w:sz w:val="20"/>
          <w:szCs w:val="20"/>
          <w:color w:val="auto"/>
        </w:rPr>
      </w:pPr>
      <w:r>
        <w:rPr>
          <w:rFonts w:ascii="Arial" w:cs="Arial" w:eastAsia="Arial" w:hAnsi="Arial"/>
          <w:sz w:val="13"/>
          <w:szCs w:val="13"/>
          <w:color w:val="auto"/>
        </w:rPr>
        <w:t>In June 2016, the FASB issued ASU 2016-13, Financial Instruments - Credit Losses (Topic 326); Measurement of Credit Losses on Financial Instruments. This accounting standard update (“ASU” or “Update”) on accounting for current expected credit losses on financial instruments (“CECL”) will replace the current probable incurred loss impairment methodology under U.S. GAAP with a methodology that reflects the expected credit losses. The Update is intended to provide financial statement users with more decision-useful information about expected credit losses. This Update is applicable to the Company on a modified retrospective basis for interim and annual periods in fiscal years beginning after December 15,</w:t>
      </w:r>
    </w:p>
    <w:p>
      <w:pPr>
        <w:spacing w:after="0" w:line="175"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20" w:right="679"/>
        <w:spacing w:after="0" w:line="244" w:lineRule="auto"/>
        <w:rPr>
          <w:sz w:val="20"/>
          <w:szCs w:val="20"/>
          <w:color w:val="auto"/>
        </w:rPr>
      </w:pPr>
      <w:r>
        <w:rPr>
          <w:rFonts w:ascii="Arial" w:cs="Arial" w:eastAsia="Arial" w:hAnsi="Arial"/>
          <w:sz w:val="14"/>
          <w:szCs w:val="14"/>
          <w:color w:val="auto"/>
        </w:rPr>
        <w:t>2022. Early adoption is permitted for fiscal years beginning after December 15, 2019, including interim periods within those fiscal years. The Company expects to adopt this ASU on January 1, 2023. The impact of adoption on the Company’s financial statements will depend on the composition of the loan and investment securities portfolio as of January 1, 2023, general economic conditions, and other factors that are not known at this time. Although management is in the process of evaluating the impact of adoption of this ASU on its consolidated financial statements, management does believe that this ASU will lead to significant changes in accounting policies and disclosures related to, and the methods used in estimating, the ACL. The Company has developed a detailed implementation plan through the date of adoption that includes the implementation of a software solution to assist with the CECL implementation process and is developing measurements in parallel with the current methodology. To date, the Company has initiated policy discussion with key stakeholders, completed a data gap analysis and retained the services of a third-party consulting firm to perform an independent model validation prior to adoption.</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from March 12, 2020 through December 31, 2022. The Company is evaluating the impact of this ASU and has not yet determined whether LIBOR transition and this ASU will have a material effect on our business operations and consolidated financial statements.</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Trouble Debt Restructuring</w:t>
      </w:r>
    </w:p>
    <w:p>
      <w:pPr>
        <w:spacing w:after="0" w:line="170"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In March 2022, the FASB issued ASU 2022-02, Financial Instruments—Credit Losses (Topic 326): Troubled Debt Restructurings and Vintage Disclosures. This ASU eliminates the recognition and measurement guidance on troubled debt restructurings for creditors and aligns it with existing guidance to determine whether a loan modification results in a new loan or a continuation of an existing loan. The new guidance also requires enhanced disclosures about certain loan modifications by creditors when a borrower is experiencing financial difficulty. This ASU is effective in periods beginning after December 15, 2022, using either a prospective or modified retrospective transition approach. Early adoption is permitted for entities that have already adopted CECL. The Company is in the process of reviewing this ASU, as part of its CECL implementation efforts, to determine whether it would have a material impact on the Company’s consolidated financial statements when adopted.</w:t>
      </w:r>
    </w:p>
    <w:p>
      <w:pPr>
        <w:spacing w:after="0" w:line="141" w:lineRule="exact"/>
        <w:rPr>
          <w:sz w:val="20"/>
          <w:szCs w:val="20"/>
          <w:color w:val="auto"/>
        </w:rPr>
      </w:pPr>
    </w:p>
    <w:p>
      <w:pPr>
        <w:ind w:left="1020" w:hanging="378"/>
        <w:spacing w:after="0"/>
        <w:tabs>
          <w:tab w:leader="none" w:pos="10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September 30, 2022</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4"/>
              </w:rPr>
              <w:t>Amortized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900" w:type="dxa"/>
            <w:vAlign w:val="bottom"/>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0"/>
              </w:rPr>
              <w:t>Fair Value</w:t>
            </w:r>
          </w:p>
        </w:tc>
        <w:tc>
          <w:tcPr>
            <w:tcW w:w="60" w:type="dxa"/>
            <w:vAlign w:val="bottom"/>
          </w:tcPr>
          <w:p>
            <w:pPr>
              <w:spacing w:after="0"/>
              <w:rPr>
                <w:sz w:val="13"/>
                <w:szCs w:val="13"/>
                <w:color w:val="auto"/>
              </w:rPr>
            </w:pPr>
          </w:p>
        </w:tc>
      </w:tr>
      <w:tr>
        <w:trPr>
          <w:trHeight w:val="140"/>
        </w:trPr>
        <w:tc>
          <w:tcPr>
            <w:tcW w:w="308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900" w:type="dxa"/>
            <w:vAlign w:val="bottom"/>
          </w:tcPr>
          <w:p>
            <w:pPr>
              <w:jc w:val="right"/>
              <w:ind w:right="36"/>
              <w:spacing w:after="0" w:line="140"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10,400</w:t>
            </w:r>
          </w:p>
        </w:tc>
        <w:tc>
          <w:tcPr>
            <w:tcW w:w="6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jc w:val="center"/>
              <w:spacing w:after="0" w:line="140"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0" w:lineRule="exact"/>
              <w:rPr>
                <w:sz w:val="20"/>
                <w:szCs w:val="20"/>
                <w:color w:val="auto"/>
              </w:rPr>
            </w:pPr>
            <w:r>
              <w:rPr>
                <w:rFonts w:ascii="Arial" w:cs="Arial" w:eastAsia="Arial" w:hAnsi="Arial"/>
                <w:sz w:val="13"/>
                <w:szCs w:val="13"/>
                <w:color w:val="auto"/>
              </w:rPr>
              <w:t>(1,372)</w:t>
            </w:r>
          </w:p>
        </w:tc>
        <w:tc>
          <w:tcPr>
            <w:tcW w:w="20" w:type="dxa"/>
            <w:vAlign w:val="bottom"/>
          </w:tcPr>
          <w:p>
            <w:pPr>
              <w:spacing w:after="0"/>
              <w:rPr>
                <w:sz w:val="12"/>
                <w:szCs w:val="12"/>
                <w:color w:val="auto"/>
              </w:rPr>
            </w:pPr>
          </w:p>
        </w:tc>
        <w:tc>
          <w:tcPr>
            <w:tcW w:w="180" w:type="dxa"/>
            <w:vAlign w:val="bottom"/>
          </w:tcPr>
          <w:p>
            <w:pPr>
              <w:jc w:val="right"/>
              <w:ind w:right="36"/>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9,028</w:t>
            </w:r>
          </w:p>
        </w:tc>
        <w:tc>
          <w:tcPr>
            <w:tcW w:w="60" w:type="dxa"/>
            <w:vAlign w:val="bottom"/>
          </w:tcPr>
          <w:p>
            <w:pPr>
              <w:spacing w:after="0"/>
              <w:rPr>
                <w:sz w:val="12"/>
                <w:szCs w:val="12"/>
                <w:color w:val="auto"/>
              </w:rPr>
            </w:pPr>
          </w:p>
        </w:tc>
      </w:tr>
      <w:tr>
        <w:trPr>
          <w:trHeight w:val="18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9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121,760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(21,712)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100,048</w:t>
            </w:r>
          </w:p>
        </w:tc>
        <w:tc>
          <w:tcPr>
            <w:tcW w:w="6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9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92,649</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(15,942)</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76,707</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30,818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(3,883)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26,935</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9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25,104</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(6,475)</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18,629</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14,503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(969)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13,562</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90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4,039</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60" w:type="dxa"/>
            <w:vAlign w:val="bottom"/>
            <w:tcBorders>
              <w:left w:val="single" w:sz="8" w:color="CCEEFF"/>
            </w:tcBorders>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299,273</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w:t>
            </w: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(50,730)</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248,571</w:t>
            </w:r>
          </w:p>
        </w:tc>
        <w:tc>
          <w:tcPr>
            <w:tcW w:w="6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90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45,243</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(5,804)</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39,439</w:t>
            </w:r>
          </w:p>
        </w:tc>
        <w:tc>
          <w:tcPr>
            <w:tcW w:w="6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90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70,424</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(6,773)</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63,651</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40,574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(4,844)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35,730</w:t>
            </w:r>
          </w:p>
        </w:tc>
        <w:tc>
          <w:tcPr>
            <w:tcW w:w="6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90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11,483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10,967</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9,952</w:t>
            </w:r>
          </w:p>
        </w:tc>
        <w:tc>
          <w:tcPr>
            <w:tcW w:w="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178,865</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(19,126)</w:t>
            </w:r>
          </w:p>
        </w:tc>
        <w:tc>
          <w:tcPr>
            <w:tcW w:w="20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159,739</w:t>
            </w:r>
          </w:p>
        </w:tc>
        <w:tc>
          <w:tcPr>
            <w:tcW w:w="60" w:type="dxa"/>
            <w:vAlign w:val="bottom"/>
            <w:tcBorders>
              <w:left w:val="single" w:sz="8" w:color="CCEEFF"/>
            </w:tcBorders>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9"/>
              </w:rPr>
              <w:t>December 31, 2021</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10,564</w:t>
            </w:r>
          </w:p>
        </w:tc>
        <w:tc>
          <w:tcPr>
            <w:tcW w:w="60" w:type="dxa"/>
            <w:vAlign w:val="bottom"/>
          </w:tcPr>
          <w:p>
            <w:pPr>
              <w:spacing w:after="0"/>
              <w:rPr>
                <w:sz w:val="12"/>
                <w:szCs w:val="12"/>
                <w:color w:val="auto"/>
              </w:rPr>
            </w:pPr>
          </w:p>
        </w:tc>
        <w:tc>
          <w:tcPr>
            <w:tcW w:w="10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2"/>
                <w:szCs w:val="12"/>
                <w:color w:val="auto"/>
              </w:rPr>
            </w:pPr>
          </w:p>
        </w:tc>
        <w:tc>
          <w:tcPr>
            <w:tcW w:w="10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w w:val="82"/>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2"/>
                <w:szCs w:val="12"/>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160,506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156,829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49,905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27,003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28,408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405,853</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2,982</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(7,293)</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30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80" w:type="dxa"/>
            <w:vAlign w:val="bottom"/>
            <w:gridSpan w:val="2"/>
          </w:tcPr>
          <w:p>
            <w:pPr>
              <w:spacing w:after="0" w:line="130"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34,505</w:t>
            </w:r>
          </w:p>
        </w:tc>
        <w:tc>
          <w:tcPr>
            <w:tcW w:w="160" w:type="dxa"/>
            <w:vAlign w:val="bottom"/>
            <w:gridSpan w:val="4"/>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w:t>
            </w:r>
          </w:p>
        </w:tc>
        <w:tc>
          <w:tcPr>
            <w:tcW w:w="160" w:type="dxa"/>
            <w:vAlign w:val="bottom"/>
            <w:gridSpan w:val="4"/>
          </w:tcPr>
          <w:p>
            <w:pPr>
              <w:jc w:val="center"/>
              <w:spacing w:after="0" w:line="130"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30" w:lineRule="exact"/>
              <w:rPr>
                <w:sz w:val="20"/>
                <w:szCs w:val="20"/>
                <w:color w:val="auto"/>
              </w:rPr>
            </w:pPr>
            <w:r>
              <w:rPr>
                <w:rFonts w:ascii="Arial" w:cs="Arial" w:eastAsia="Arial" w:hAnsi="Arial"/>
                <w:sz w:val="13"/>
                <w:szCs w:val="13"/>
                <w:color w:val="auto"/>
              </w:rPr>
              <w:t>(615)</w:t>
            </w:r>
          </w:p>
        </w:tc>
        <w:tc>
          <w:tcPr>
            <w:tcW w:w="140" w:type="dxa"/>
            <w:vAlign w:val="bottom"/>
            <w:gridSpan w:val="4"/>
          </w:tcPr>
          <w:p>
            <w:pPr>
              <w:jc w:val="right"/>
              <w:ind w:right="40"/>
              <w:spacing w:after="0" w:line="13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33,904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44,820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43,799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26,920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26,352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3,103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13,310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13,089</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122,658</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(2,515)</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659" w:firstLine="256"/>
        <w:spacing w:after="0" w:line="245" w:lineRule="auto"/>
        <w:rPr>
          <w:sz w:val="20"/>
          <w:szCs w:val="20"/>
          <w:color w:val="auto"/>
        </w:rPr>
      </w:pPr>
      <w:r>
        <w:rPr>
          <w:rFonts w:ascii="Arial" w:cs="Arial" w:eastAsia="Arial" w:hAnsi="Arial"/>
          <w:sz w:val="14"/>
          <w:szCs w:val="14"/>
          <w:color w:val="auto"/>
        </w:rPr>
        <w:t>During the quarter ended September 30, 2022 and year ended December 31, 2021, the Company transferred, at fair value, $63.8 million and $68.7 million, respectively, of securities from available-for-sale (“AFS”) to held-to-maturity (“HTM”). The related net unrealized losses of $10.6 million and net unrealized gains of $ 1.1 million, respectively, remained in accumulated other comprehensive income (“AOCI”) and are being amortized over the remaining life of the transferred securities. No gains or losses were recognized to income at the transfer date.</w:t>
      </w:r>
    </w:p>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Gains and losses on the sale of securities are recorded on the trade date and are determined on a specific identification basis. The following table presents the proceeds, realized gross gains and realized gross losses on sales and calls of AFS debt securities for the three and nine months ended September 30, 2022 and 2021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w w:val="99"/>
              </w:rPr>
              <w:t>Three Months Ended September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61"/>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51"/>
        </w:trPr>
        <w:tc>
          <w:tcPr>
            <w:tcW w:w="4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 and call of securities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13,809</w:t>
            </w: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5,674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45,647</w:t>
            </w: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48,939</w:t>
            </w:r>
          </w:p>
        </w:tc>
      </w:tr>
      <w:tr>
        <w:trPr>
          <w:trHeight w:val="171"/>
        </w:trPr>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510</w:t>
            </w:r>
          </w:p>
        </w:tc>
      </w:tr>
      <w:tr>
        <w:trPr>
          <w:trHeight w:val="171"/>
        </w:trPr>
        <w:tc>
          <w:tcPr>
            <w:tcW w:w="256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r>
      <w:tr>
        <w:trPr>
          <w:trHeight w:val="161"/>
        </w:trPr>
        <w:tc>
          <w:tcPr>
            <w:tcW w:w="40" w:type="dxa"/>
            <w:vAlign w:val="bottom"/>
          </w:tcPr>
          <w:p>
            <w:pPr>
              <w:spacing w:after="0"/>
              <w:rPr>
                <w:sz w:val="14"/>
                <w:szCs w:val="14"/>
                <w:color w:val="auto"/>
              </w:rPr>
            </w:pPr>
          </w:p>
        </w:tc>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realized gain (loss)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w:t>
            </w:r>
          </w:p>
        </w:tc>
      </w:tr>
      <w:tr>
        <w:trPr>
          <w:trHeight w:val="20"/>
        </w:trPr>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September 30, 2022:</w:t>
            </w:r>
          </w:p>
        </w:tc>
        <w:tc>
          <w:tcPr>
            <w:tcW w:w="10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396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3,662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24,104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17,829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20" w:type="dxa"/>
            <w:vAlign w:val="bottom"/>
            <w:gridSpan w:val="2"/>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10,400</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9,028</w:t>
            </w:r>
          </w:p>
        </w:tc>
        <w:tc>
          <w:tcPr>
            <w:tcW w:w="8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45,243</w:t>
            </w:r>
          </w:p>
        </w:tc>
        <w:tc>
          <w:tcPr>
            <w:tcW w:w="40" w:type="dxa"/>
            <w:vAlign w:val="bottom"/>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121,760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100,048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70,424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63,651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92,649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76,707</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35,730</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30,818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26,935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11,483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299,273</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248,571</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178,865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159,739</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At September 30, 2022, there were no securities held in the portfolio from any one issuer, in an amount greater than 10% of total stockholders’ equity other than the United States Government and Government Agencies. All the collateralized mortgage obligations and mortgage-backed securities are issued by United States sponsored entities at September 30, 2022 and December 31, 2021.</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w w:val="98"/>
              </w:rPr>
              <w:t>September 30, 2022</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6"/>
          </w:tcPr>
          <w:p>
            <w:pPr>
              <w:jc w:val="center"/>
              <w:ind w:left="56"/>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jc w:val="center"/>
              <w:ind w:left="56"/>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0"/>
              </w:rPr>
              <w:t>Losses</w:t>
            </w:r>
          </w:p>
        </w:tc>
        <w:tc>
          <w:tcPr>
            <w:tcW w:w="88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820" w:type="dxa"/>
            <w:vAlign w:val="bottom"/>
            <w:gridSpan w:val="4"/>
          </w:tcPr>
          <w:p>
            <w:pPr>
              <w:jc w:val="right"/>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96"/>
              <w:spacing w:after="0"/>
              <w:rPr>
                <w:sz w:val="20"/>
                <w:szCs w:val="20"/>
                <w:color w:val="auto"/>
              </w:rPr>
            </w:pPr>
            <w:r>
              <w:rPr>
                <w:rFonts w:ascii="Arial" w:cs="Arial" w:eastAsia="Arial" w:hAnsi="Arial"/>
                <w:sz w:val="13"/>
                <w:szCs w:val="13"/>
                <w:b w:val="1"/>
                <w:bCs w:val="1"/>
                <w:color w:val="auto"/>
                <w:w w:val="98"/>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ind w:left="20"/>
              <w:spacing w:after="0"/>
              <w:rPr>
                <w:sz w:val="20"/>
                <w:szCs w:val="20"/>
                <w:color w:val="auto"/>
              </w:rPr>
            </w:pPr>
            <w:r>
              <w:rPr>
                <w:rFonts w:ascii="Arial" w:cs="Arial" w:eastAsia="Arial" w:hAnsi="Arial"/>
                <w:sz w:val="13"/>
                <w:szCs w:val="13"/>
                <w:color w:val="auto"/>
              </w:rPr>
              <w:t>U.S. Government Agency</w:t>
            </w: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6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27,684</w:t>
            </w:r>
          </w:p>
        </w:tc>
        <w:tc>
          <w:tcPr>
            <w:tcW w:w="4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w:t>
            </w:r>
          </w:p>
        </w:tc>
        <w:tc>
          <w:tcPr>
            <w:tcW w:w="40" w:type="dxa"/>
            <w:vAlign w:val="bottom"/>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20,784</w:t>
            </w:r>
          </w:p>
        </w:tc>
        <w:tc>
          <w:tcPr>
            <w:tcW w:w="60" w:type="dxa"/>
            <w:vAlign w:val="bottom"/>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(4,726)</w:t>
            </w:r>
          </w:p>
        </w:tc>
        <w:tc>
          <w:tcPr>
            <w:tcW w:w="40" w:type="dxa"/>
            <w:vAlign w:val="bottom"/>
            <w:tcBorders>
              <w:right w:val="single" w:sz="8" w:color="CCEEFF"/>
            </w:tcBorders>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48,468</w:t>
            </w:r>
          </w:p>
        </w:tc>
        <w:tc>
          <w:tcPr>
            <w:tcW w:w="80" w:type="dxa"/>
            <w:vAlign w:val="bottom"/>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58,660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(9,750)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w w:val="97"/>
              </w:rPr>
              <w:t>105,038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(23,488)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163,698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(33,238)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38,911</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(6,510)</w:t>
            </w:r>
          </w:p>
        </w:tc>
        <w:tc>
          <w:tcPr>
            <w:tcW w:w="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73,524</w:t>
            </w:r>
          </w:p>
        </w:tc>
        <w:tc>
          <w:tcPr>
            <w:tcW w:w="6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(17,019)</w:t>
            </w: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shd w:val="clear" w:color="auto" w:fill="CCEEFF"/>
              </w:rPr>
              <w:t>112,435</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shd w:val="clear" w:color="auto" w:fill="CCEEFF"/>
              </w:rPr>
              <w:t>(23,529)</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21,508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(2,715)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16,395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(3,194)</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37,903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(5,909)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17,829</w:t>
            </w:r>
          </w:p>
        </w:tc>
        <w:tc>
          <w:tcPr>
            <w:tcW w:w="6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(6,275)</w:t>
            </w: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18,629</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(6,475)</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12,533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12,533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13,614</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13,614</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$ 173,710</w:t>
            </w:r>
          </w:p>
        </w:tc>
        <w:tc>
          <w:tcPr>
            <w:tcW w:w="4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9"/>
              </w:rPr>
              <w:t>(25,000)</w:t>
            </w:r>
          </w:p>
        </w:tc>
        <w:tc>
          <w:tcPr>
            <w:tcW w:w="4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$ 233,570</w:t>
            </w:r>
          </w:p>
        </w:tc>
        <w:tc>
          <w:tcPr>
            <w:tcW w:w="6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(54,702)</w:t>
            </w:r>
          </w:p>
        </w:tc>
        <w:tc>
          <w:tcPr>
            <w:tcW w:w="4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$ 407,280</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(79,702)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w w:val="97"/>
              </w:rPr>
              <w:t>Less than 12 months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75"/>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4"/>
              </w:rPr>
              <w:t>Unrealized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Fair Value</w:t>
            </w:r>
          </w:p>
        </w:tc>
        <w:tc>
          <w:tcPr>
            <w:tcW w:w="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89"/>
              </w:rPr>
              <w:t>Losses</w:t>
            </w:r>
          </w:p>
        </w:tc>
        <w:tc>
          <w:tcPr>
            <w:tcW w:w="200" w:type="dxa"/>
            <w:vAlign w:val="bottom"/>
          </w:tcPr>
          <w:p>
            <w:pPr>
              <w:spacing w:after="0"/>
              <w:rPr>
                <w:sz w:val="14"/>
                <w:szCs w:val="14"/>
                <w:color w:val="auto"/>
              </w:rPr>
            </w:pPr>
          </w:p>
        </w:tc>
        <w:tc>
          <w:tcPr>
            <w:tcW w:w="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3"/>
                <w:szCs w:val="13"/>
                <w:b w:val="1"/>
                <w:bCs w:val="1"/>
                <w:color w:val="auto"/>
                <w:w w:val="98"/>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25,951</w:t>
            </w:r>
          </w:p>
        </w:tc>
        <w:tc>
          <w:tcPr>
            <w:tcW w:w="80" w:type="dxa"/>
            <w:vAlign w:val="bottom"/>
          </w:tcPr>
          <w:p>
            <w:pPr>
              <w:spacing w:after="0"/>
              <w:rPr>
                <w:sz w:val="13"/>
                <w:szCs w:val="13"/>
                <w:color w:val="auto"/>
              </w:rPr>
            </w:pPr>
          </w:p>
        </w:tc>
        <w:tc>
          <w:tcPr>
            <w:tcW w:w="320" w:type="dxa"/>
            <w:vAlign w:val="bottom"/>
          </w:tcPr>
          <w:p>
            <w:pPr>
              <w:ind w:lef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(254)</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15,477</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(516)</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41,428</w:t>
            </w:r>
          </w:p>
        </w:tc>
        <w:tc>
          <w:tcPr>
            <w:tcW w:w="80" w:type="dxa"/>
            <w:vAlign w:val="bottom"/>
          </w:tcPr>
          <w:p>
            <w:pPr>
              <w:spacing w:after="0"/>
              <w:rPr>
                <w:sz w:val="13"/>
                <w:szCs w:val="13"/>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155,668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(3,223)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38,459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(1,497)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194,127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88,772</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(1,178)</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37,373</w:t>
            </w:r>
          </w:p>
        </w:tc>
        <w:tc>
          <w:tcPr>
            <w:tcW w:w="22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126,145</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25,289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(318)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7,507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(309)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32,796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11,292</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(395)</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11,978</w:t>
            </w:r>
          </w:p>
        </w:tc>
        <w:tc>
          <w:tcPr>
            <w:tcW w:w="22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23,270</w:t>
            </w:r>
          </w:p>
        </w:tc>
        <w:tc>
          <w:tcPr>
            <w:tcW w:w="80" w:type="dxa"/>
            <w:vAlign w:val="bottom"/>
            <w:tcBorders>
              <w:lef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4,487</w:t>
            </w:r>
          </w:p>
        </w:tc>
        <w:tc>
          <w:tcPr>
            <w:tcW w:w="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4,487</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311,459</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(5,381)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110,794</w:t>
            </w:r>
          </w:p>
        </w:tc>
        <w:tc>
          <w:tcPr>
            <w:tcW w:w="3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4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422,253</w:t>
            </w: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(9,476)</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As of September 30, 2022, the unrealized losses associated with $ 116.2 million of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42"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performs a review of the investments that have an unrealized loss to determine whether there have been any changes in the economic circumstance of the security issuer to indicate that the unrealized loss is impaired on an other-than-temporary (“OTTI”) basis. Management considers several factors in their analysis including (i) the severity and duration of the impairment, (ii) the credit rating of the security including any downgrade, (iii) the intent to sell the security, or if it is more likely than not that it will be required to sell the security before recovery, (iv) whether there have been any payment defaults and (v) the underlying guarantor of the securities.</w:t>
      </w:r>
    </w:p>
    <w:p>
      <w:pPr>
        <w:spacing w:after="0" w:line="15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does not consider these investments to be OTTI as the decline in market value is attributable to changes in market interest rates and not credit quality, and because the Company does not intend to sell the investments before recovery of its amortized cost basis, which may be at maturity, and it is more likely than not that the Company will not be required to sell the securities before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tabs>
          <w:tab w:leader="none" w:pos="260" w:val="left"/>
          <w:tab w:leader="none" w:pos="1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Pledged Securities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As of September 30, 2022, the Company did not have any securities pledged under this agreement.</w:t>
      </w:r>
    </w:p>
    <w:p>
      <w:pPr>
        <w:spacing w:after="0" w:line="145"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is a Qualified Public Depositor (“QPD”) with the State of Florida. As a QPD, the Company has the legal authority to maintain public deposits from cities, municipalities, and the State of Florida. These public deposits are secured by securities pledged to the State of Florida at a ratio of 25% of the outstanding uninsured deposits. The Company must also maintain a minimum amount of pledged securities to be in the public funds program.</w:t>
      </w:r>
    </w:p>
    <w:p>
      <w:pPr>
        <w:spacing w:after="0" w:line="15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As of September 30, 2022, the Company had a total of $141.7 million in deposits under the public funds program and pledged to the State of Florida for these public funds were seventeen corporate bonds with an aggregate fair value of $39.1 million.</w:t>
      </w:r>
    </w:p>
    <w:p>
      <w:pPr>
        <w:spacing w:after="0" w:line="142" w:lineRule="exact"/>
        <w:rPr>
          <w:sz w:val="20"/>
          <w:szCs w:val="20"/>
          <w:color w:val="auto"/>
        </w:rPr>
      </w:pPr>
    </w:p>
    <w:p>
      <w:pPr>
        <w:jc w:val="both"/>
        <w:ind w:left="640" w:right="679" w:firstLine="256"/>
        <w:spacing w:after="0" w:line="253" w:lineRule="auto"/>
        <w:rPr>
          <w:sz w:val="20"/>
          <w:szCs w:val="20"/>
          <w:color w:val="auto"/>
        </w:rPr>
      </w:pPr>
      <w:r>
        <w:rPr>
          <w:rFonts w:ascii="Arial" w:cs="Arial" w:eastAsia="Arial" w:hAnsi="Arial"/>
          <w:sz w:val="14"/>
          <w:szCs w:val="14"/>
          <w:color w:val="auto"/>
        </w:rPr>
        <w:t>As of December 31, 2021, the Company had a total of $37.3 million in deposits under the public funds program and pledged to the State of Florida for these public funds were eleven corporate bonds with an aggregate fair value of $20.4 million.</w:t>
      </w:r>
    </w:p>
    <w:p>
      <w:pPr>
        <w:spacing w:after="0" w:line="134" w:lineRule="exact"/>
        <w:rPr>
          <w:sz w:val="20"/>
          <w:szCs w:val="20"/>
          <w:color w:val="auto"/>
        </w:rPr>
      </w:pPr>
    </w:p>
    <w:p>
      <w:pPr>
        <w:ind w:left="1020" w:hanging="378"/>
        <w:spacing w:after="0"/>
        <w:tabs>
          <w:tab w:leader="none" w:pos="10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0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516"/>
              <w:spacing w:after="0"/>
              <w:rPr>
                <w:sz w:val="20"/>
                <w:szCs w:val="20"/>
                <w:color w:val="auto"/>
              </w:rPr>
            </w:pPr>
            <w:r>
              <w:rPr>
                <w:rFonts w:ascii="Arial" w:cs="Arial" w:eastAsia="Arial" w:hAnsi="Arial"/>
                <w:sz w:val="13"/>
                <w:szCs w:val="13"/>
                <w:b w:val="1"/>
                <w:bCs w:val="1"/>
                <w:color w:val="auto"/>
              </w:rPr>
              <w:t>September 30, 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4"/>
                <w:szCs w:val="14"/>
                <w:color w:val="auto"/>
              </w:rPr>
            </w:pPr>
          </w:p>
        </w:tc>
      </w:tr>
      <w:tr>
        <w:trPr>
          <w:trHeight w:val="179"/>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7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186,551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13.0</w:t>
            </w:r>
          </w:p>
        </w:tc>
        <w:tc>
          <w:tcPr>
            <w:tcW w:w="1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w:t>
            </w:r>
          </w:p>
        </w:tc>
        <w:tc>
          <w:tcPr>
            <w:tcW w:w="24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2"/>
                <w:szCs w:val="12"/>
                <w:color w:val="auto"/>
              </w:rPr>
            </w:pPr>
          </w:p>
        </w:tc>
      </w:tr>
      <w:tr>
        <w:trPr>
          <w:trHeight w:val="171"/>
        </w:trPr>
        <w:tc>
          <w:tcPr>
            <w:tcW w:w="27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928,531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64.9 %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59.2 %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121,145</w:t>
            </w:r>
          </w:p>
        </w:tc>
        <w:tc>
          <w:tcPr>
            <w:tcW w:w="60" w:type="dxa"/>
            <w:vAlign w:val="bottom"/>
            <w:gridSpan w:val="2"/>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40" w:type="dxa"/>
            <w:vAlign w:val="bottom"/>
            <w:gridSpan w:val="2"/>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7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94,450</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6.6 %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100,845</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Pr>
          <w:p>
            <w:pPr>
              <w:ind w:left="40"/>
              <w:spacing w:after="0"/>
              <w:rPr>
                <w:sz w:val="20"/>
                <w:szCs w:val="20"/>
                <w:color w:val="auto"/>
              </w:rPr>
            </w:pPr>
            <w:r>
              <w:rPr>
                <w:rFonts w:ascii="Arial" w:cs="Arial" w:eastAsia="Arial" w:hAnsi="Arial"/>
                <w:sz w:val="13"/>
                <w:szCs w:val="13"/>
                <w:color w:val="auto"/>
              </w:rPr>
              <w:t>Total gross loans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1,431,522</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121"/>
        </w:trPr>
        <w:tc>
          <w:tcPr>
            <w:tcW w:w="60" w:type="dxa"/>
            <w:vAlign w:val="bottom"/>
            <w:gridSpan w:val="2"/>
          </w:tcPr>
          <w:p>
            <w:pPr>
              <w:spacing w:after="0"/>
              <w:rPr>
                <w:sz w:val="10"/>
                <w:szCs w:val="10"/>
                <w:color w:val="auto"/>
              </w:rPr>
            </w:pPr>
          </w:p>
        </w:tc>
        <w:tc>
          <w:tcPr>
            <w:tcW w:w="27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Less: Deferred fees (cost)</w:t>
            </w:r>
          </w:p>
        </w:tc>
        <w:tc>
          <w:tcPr>
            <w:tcW w:w="6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9</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Pr>
          <w:p>
            <w:pPr>
              <w:ind w:left="40"/>
              <w:spacing w:after="0"/>
              <w:rPr>
                <w:sz w:val="20"/>
                <w:szCs w:val="20"/>
                <w:color w:val="auto"/>
              </w:rPr>
            </w:pPr>
            <w:r>
              <w:rPr>
                <w:rFonts w:ascii="Arial" w:cs="Arial" w:eastAsia="Arial" w:hAnsi="Arial"/>
                <w:sz w:val="13"/>
                <w:szCs w:val="13"/>
                <w:color w:val="auto"/>
              </w:rPr>
              <w:t>Total loans net of deferred fees (cost)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1,431,513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0" w:type="dxa"/>
            <w:vAlign w:val="bottom"/>
            <w:gridSpan w:val="2"/>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16,604</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ind w:left="40"/>
              <w:spacing w:after="0"/>
              <w:rPr>
                <w:sz w:val="20"/>
                <w:szCs w:val="20"/>
                <w:color w:val="auto"/>
              </w:rPr>
            </w:pPr>
            <w:r>
              <w:rPr>
                <w:rFonts w:ascii="Arial" w:cs="Arial" w:eastAsia="Arial" w:hAnsi="Arial"/>
                <w:sz w:val="13"/>
                <w:szCs w:val="13"/>
                <w:color w:val="auto"/>
              </w:rPr>
              <w:t>Total net loans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1,414,909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1,175,024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September 30, 2022 and December 31, 2021, the Company had $ 253.9 million and $ 185.1 million respectively, of commercial real estate and residential mortgage loans pledged as collateral for lines of credit with the FHLB and the Federal Reserve Bank of Atlanta.</w:t>
      </w:r>
    </w:p>
    <w:p>
      <w:pPr>
        <w:spacing w:after="0" w:line="142"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was a participant in the Small Business Administration’s (“SBA”) Paycheck Protection Program (“PPP”) loans. These loans were designed to provide a direct incentive for small businesses to keep their workers on payroll and the funds had to be used towards payroll cost, mortgage interest, rent, utilities and other costs related to COVID-19. These loans are forgivable under specific criteria as determined by the SBA. The Company had PPP loans totaling $1.4 million at September 30, 2022 and $42.4 million at December 31, 2021, which are categorized as commercial and industrial loans. These PPP loans had deferred loan fees of $19 thousand at September 30, 2022 and $1.5 million at December 31, 2021.</w:t>
      </w:r>
    </w:p>
    <w:p>
      <w:pPr>
        <w:spacing w:after="0" w:line="158"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The Company recognized $ 1.6 million and $3.5 million in PPP loan fees and interest income during the nine months ended September 30, 2022 and 2021, respectively, which is reported under loans, including fees, within the Consolidated Statements of Operations.</w:t>
      </w:r>
    </w:p>
    <w:p>
      <w:pPr>
        <w:spacing w:after="0" w:line="158"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determines historical loss rates for each loan pool based on its own loss experience. In estimating credit losses, the Company also considers qualitative and environmental factors that may cause estimated credit losses for the loan portfolio to differ from historical losses.</w:t>
      </w:r>
    </w:p>
    <w:p>
      <w:pPr>
        <w:spacing w:after="0" w:line="29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40" w:lineRule="exact"/>
        <w:rPr>
          <w:sz w:val="20"/>
          <w:szCs w:val="20"/>
          <w:color w:val="auto"/>
        </w:rPr>
      </w:pPr>
    </w:p>
    <w:p>
      <w:pPr>
        <w:ind w:left="640" w:right="719" w:firstLine="256"/>
        <w:spacing w:after="0" w:line="268" w:lineRule="auto"/>
        <w:rPr>
          <w:sz w:val="20"/>
          <w:szCs w:val="20"/>
          <w:color w:val="auto"/>
        </w:rPr>
      </w:pPr>
      <w:r>
        <w:rPr>
          <w:rFonts w:ascii="Arial" w:cs="Arial" w:eastAsia="Arial" w:hAnsi="Arial"/>
          <w:sz w:val="14"/>
          <w:szCs w:val="14"/>
          <w:color w:val="auto"/>
        </w:rPr>
        <w:t>Changes in the allowance for credit losses for the three and nine months ended September 30, 2022 and 2021 were as follows (in thousands):</w:t>
      </w:r>
    </w:p>
    <w:p>
      <w:pPr>
        <w:spacing w:after="0" w:line="170" w:lineRule="exact"/>
        <w:rPr>
          <w:sz w:val="20"/>
          <w:szCs w:val="20"/>
          <w:color w:val="auto"/>
        </w:rPr>
      </w:pPr>
    </w:p>
    <w:p>
      <w:pPr>
        <w:ind w:left="3240"/>
        <w:spacing w:after="0"/>
        <w:tabs>
          <w:tab w:leader="none" w:pos="4100" w:val="left"/>
          <w:tab w:leader="none" w:pos="5020" w:val="left"/>
          <w:tab w:leader="none" w:pos="6020" w:val="left"/>
          <w:tab w:leader="none" w:pos="6780" w:val="left"/>
        </w:tabs>
        <w:rPr>
          <w:sz w:val="20"/>
          <w:szCs w:val="20"/>
          <w:color w:val="auto"/>
        </w:rPr>
      </w:pPr>
      <w:r>
        <w:rPr>
          <w:rFonts w:ascii="Arial" w:cs="Arial" w:eastAsia="Arial" w:hAnsi="Arial"/>
          <w:sz w:val="13"/>
          <w:szCs w:val="13"/>
          <w:b w:val="1"/>
          <w:bCs w:val="1"/>
          <w:color w:val="auto"/>
        </w:rPr>
        <w:t>Residential</w:t>
        <w:tab/>
        <w:t>Commercial</w:t>
        <w:tab/>
        <w:t>Commercial</w:t>
      </w:r>
      <w:r>
        <w:rPr>
          <w:sz w:val="20"/>
          <w:szCs w:val="20"/>
          <w:color w:val="auto"/>
        </w:rPr>
        <w:tab/>
      </w:r>
      <w:r>
        <w:rPr>
          <w:rFonts w:ascii="Arial" w:cs="Arial" w:eastAsia="Arial" w:hAnsi="Arial"/>
          <w:sz w:val="13"/>
          <w:szCs w:val="13"/>
          <w:b w:val="1"/>
          <w:bCs w:val="1"/>
          <w:color w:val="auto"/>
        </w:rPr>
        <w:t>Foreign</w:t>
      </w:r>
      <w:r>
        <w:rPr>
          <w:sz w:val="20"/>
          <w:szCs w:val="20"/>
          <w:color w:val="auto"/>
        </w:rPr>
        <w:tab/>
      </w:r>
      <w:r>
        <w:rPr>
          <w:rFonts w:ascii="Arial" w:cs="Arial" w:eastAsia="Arial" w:hAnsi="Arial"/>
          <w:sz w:val="12"/>
          <w:szCs w:val="12"/>
          <w:b w:val="1"/>
          <w:bCs w:val="1"/>
          <w:color w:val="auto"/>
        </w:rPr>
        <w:t>Consumer</w:t>
      </w:r>
    </w:p>
    <w:p>
      <w:pPr>
        <w:spacing w:after="0" w:line="16" w:lineRule="exact"/>
        <w:rPr>
          <w:sz w:val="20"/>
          <w:szCs w:val="20"/>
          <w:color w:val="auto"/>
        </w:rPr>
      </w:pPr>
    </w:p>
    <w:p>
      <w:pPr>
        <w:ind w:left="3240"/>
        <w:spacing w:after="0"/>
        <w:tabs>
          <w:tab w:leader="none" w:pos="4120" w:val="left"/>
          <w:tab w:leader="none" w:pos="4980" w:val="left"/>
          <w:tab w:leader="none" w:pos="6080" w:val="left"/>
          <w:tab w:leader="none" w:pos="6800" w:val="left"/>
          <w:tab w:leader="none" w:pos="7780" w:val="left"/>
        </w:tabs>
        <w:rPr>
          <w:sz w:val="20"/>
          <w:szCs w:val="20"/>
          <w:color w:val="auto"/>
        </w:rPr>
      </w:pPr>
      <w:r>
        <w:rPr>
          <w:rFonts w:ascii="Arial" w:cs="Arial" w:eastAsia="Arial" w:hAnsi="Arial"/>
          <w:sz w:val="13"/>
          <w:szCs w:val="13"/>
          <w:b w:val="1"/>
          <w:bCs w:val="1"/>
          <w:color w:val="auto"/>
        </w:rPr>
        <w:t>Real Estate</w:t>
      </w:r>
      <w:r>
        <w:rPr>
          <w:sz w:val="20"/>
          <w:szCs w:val="20"/>
          <w:color w:val="auto"/>
        </w:rPr>
        <w:tab/>
      </w:r>
      <w:r>
        <w:rPr>
          <w:rFonts w:ascii="Arial" w:cs="Arial" w:eastAsia="Arial" w:hAnsi="Arial"/>
          <w:sz w:val="13"/>
          <w:szCs w:val="13"/>
          <w:b w:val="1"/>
          <w:bCs w:val="1"/>
          <w:color w:val="auto"/>
        </w:rPr>
        <w:t>Real Estate</w:t>
        <w:tab/>
        <w:t>and Industrial</w:t>
      </w:r>
      <w:r>
        <w:rPr>
          <w:sz w:val="20"/>
          <w:szCs w:val="20"/>
          <w:color w:val="auto"/>
        </w:rPr>
        <w:tab/>
      </w:r>
      <w:r>
        <w:rPr>
          <w:rFonts w:ascii="Arial" w:cs="Arial" w:eastAsia="Arial" w:hAnsi="Arial"/>
          <w:sz w:val="13"/>
          <w:szCs w:val="13"/>
          <w:b w:val="1"/>
          <w:bCs w:val="1"/>
          <w:color w:val="auto"/>
        </w:rPr>
        <w:t>Banks</w:t>
      </w:r>
      <w:r>
        <w:rPr>
          <w:sz w:val="20"/>
          <w:szCs w:val="20"/>
          <w:color w:val="auto"/>
        </w:rPr>
        <w:tab/>
      </w:r>
      <w:r>
        <w:rPr>
          <w:rFonts w:ascii="Arial" w:cs="Arial" w:eastAsia="Arial" w:hAnsi="Arial"/>
          <w:sz w:val="13"/>
          <w:szCs w:val="13"/>
          <w:b w:val="1"/>
          <w:bCs w:val="1"/>
          <w:color w:val="auto"/>
        </w:rPr>
        <w:t>and Other</w:t>
      </w:r>
      <w:r>
        <w:rPr>
          <w:sz w:val="20"/>
          <w:szCs w:val="20"/>
          <w:color w:val="auto"/>
        </w:rPr>
        <w:tab/>
      </w:r>
      <w:r>
        <w:rPr>
          <w:rFonts w:ascii="Arial" w:cs="Arial" w:eastAsia="Arial" w:hAnsi="Arial"/>
          <w:sz w:val="12"/>
          <w:szCs w:val="12"/>
          <w:b w:val="1"/>
          <w:bCs w:val="1"/>
          <w:color w:val="auto"/>
        </w:rPr>
        <w:t>Total</w:t>
      </w:r>
    </w:p>
    <w:p>
      <w:pPr>
        <w:sectPr>
          <w:pgSz w:w="11900" w:h="16838" w:orient="portrait"/>
          <w:cols w:equalWidth="0" w:num="1">
            <w:col w:w="9019"/>
          </w:cols>
          <w:pgMar w:left="1440" w:top="490" w:right="1440" w:bottom="1440" w:gutter="0" w:footer="0" w:header="0"/>
        </w:sectPr>
      </w:pPr>
    </w:p>
    <w:p>
      <w:pPr>
        <w:spacing w:after="0" w:line="4"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Three Months Ended September 30, 2022</w:t>
      </w:r>
    </w:p>
    <w:p>
      <w:pPr>
        <w:spacing w:after="0" w:line="27" w:lineRule="exact"/>
        <w:rPr>
          <w:sz w:val="20"/>
          <w:szCs w:val="20"/>
          <w:color w:val="auto"/>
        </w:rPr>
      </w:pPr>
    </w:p>
    <w:p>
      <w:pPr>
        <w:ind w:left="620"/>
        <w:spacing w:after="0" w:line="274" w:lineRule="auto"/>
        <w:rPr>
          <w:sz w:val="20"/>
          <w:szCs w:val="20"/>
          <w:color w:val="auto"/>
        </w:rPr>
      </w:pPr>
      <w:r>
        <w:rPr>
          <w:rFonts w:ascii="Arial" w:cs="Arial" w:eastAsia="Arial" w:hAnsi="Arial"/>
          <w:sz w:val="13"/>
          <w:szCs w:val="13"/>
          <w:color w:val="auto"/>
        </w:rPr>
        <w:t>Beginning balance $ Provision for credit losses</w:t>
      </w:r>
    </w:p>
    <w:p>
      <w:pPr>
        <w:ind w:left="620"/>
        <w:spacing w:after="0"/>
        <w:rPr>
          <w:sz w:val="20"/>
          <w:szCs w:val="20"/>
          <w:color w:val="auto"/>
        </w:rPr>
      </w:pPr>
      <w:r>
        <w:rPr>
          <w:rFonts w:ascii="Arial" w:cs="Arial" w:eastAsia="Arial" w:hAnsi="Arial"/>
          <w:sz w:val="13"/>
          <w:szCs w:val="13"/>
          <w:color w:val="auto"/>
        </w:rPr>
        <w:t>Recoveries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Charge-offs</w:t>
      </w:r>
    </w:p>
    <w:p>
      <w:pPr>
        <w:spacing w:after="0" w:line="32" w:lineRule="exact"/>
        <w:rPr>
          <w:sz w:val="20"/>
          <w:szCs w:val="20"/>
          <w:color w:val="auto"/>
        </w:rPr>
      </w:pPr>
    </w:p>
    <w:p>
      <w:pPr>
        <w:ind w:left="620"/>
        <w:spacing w:after="0"/>
        <w:tabs>
          <w:tab w:leader="none" w:pos="3120" w:val="left"/>
        </w:tabs>
        <w:rPr>
          <w:sz w:val="20"/>
          <w:szCs w:val="20"/>
          <w:color w:val="auto"/>
        </w:rPr>
      </w:pPr>
      <w:r>
        <w:rPr>
          <w:rFonts w:ascii="Arial" w:cs="Arial" w:eastAsia="Arial" w:hAnsi="Arial"/>
          <w:sz w:val="13"/>
          <w:szCs w:val="13"/>
          <w:color w:val="auto"/>
        </w:rPr>
        <w:t>Ending Balance</w:t>
      </w:r>
      <w:r>
        <w:rPr>
          <w:sz w:val="20"/>
          <w:szCs w:val="20"/>
          <w:color w:val="auto"/>
        </w:rPr>
        <w:tab/>
      </w:r>
      <w:r>
        <w:rPr>
          <w:rFonts w:ascii="Arial" w:cs="Arial" w:eastAsia="Arial" w:hAnsi="Arial"/>
          <w:sz w:val="13"/>
          <w:szCs w:val="13"/>
          <w:color w:val="auto"/>
        </w:rPr>
        <w:t>$</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Nine Months Ended September 30, 2022</w:t>
      </w:r>
    </w:p>
    <w:p>
      <w:pPr>
        <w:spacing w:after="0" w:line="37" w:lineRule="exact"/>
        <w:rPr>
          <w:sz w:val="20"/>
          <w:szCs w:val="20"/>
          <w:color w:val="auto"/>
        </w:rPr>
      </w:pPr>
    </w:p>
    <w:p>
      <w:pPr>
        <w:ind w:left="620"/>
        <w:spacing w:after="0" w:line="274" w:lineRule="auto"/>
        <w:rPr>
          <w:sz w:val="20"/>
          <w:szCs w:val="20"/>
          <w:color w:val="auto"/>
        </w:rPr>
      </w:pPr>
      <w:r>
        <w:rPr>
          <w:rFonts w:ascii="Arial" w:cs="Arial" w:eastAsia="Arial" w:hAnsi="Arial"/>
          <w:sz w:val="13"/>
          <w:szCs w:val="13"/>
          <w:color w:val="auto"/>
        </w:rPr>
        <w:t>Beginning balance $ Provision for credit losses</w:t>
      </w:r>
    </w:p>
    <w:p>
      <w:pPr>
        <w:ind w:left="620"/>
        <w:spacing w:after="0"/>
        <w:rPr>
          <w:sz w:val="20"/>
          <w:szCs w:val="20"/>
          <w:color w:val="auto"/>
        </w:rPr>
      </w:pPr>
      <w:r>
        <w:rPr>
          <w:rFonts w:ascii="Arial" w:cs="Arial" w:eastAsia="Arial" w:hAnsi="Arial"/>
          <w:sz w:val="13"/>
          <w:szCs w:val="13"/>
          <w:color w:val="auto"/>
        </w:rPr>
        <w:t>Recoveries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Charge-offs</w:t>
      </w:r>
    </w:p>
    <w:p>
      <w:pPr>
        <w:spacing w:after="0" w:line="32" w:lineRule="exact"/>
        <w:rPr>
          <w:sz w:val="20"/>
          <w:szCs w:val="20"/>
          <w:color w:val="auto"/>
        </w:rPr>
      </w:pPr>
    </w:p>
    <w:p>
      <w:pPr>
        <w:ind w:left="620"/>
        <w:spacing w:after="0"/>
        <w:tabs>
          <w:tab w:leader="none" w:pos="3120" w:val="left"/>
        </w:tabs>
        <w:rPr>
          <w:sz w:val="20"/>
          <w:szCs w:val="20"/>
          <w:color w:val="auto"/>
        </w:rPr>
      </w:pPr>
      <w:r>
        <w:rPr>
          <w:rFonts w:ascii="Arial" w:cs="Arial" w:eastAsia="Arial" w:hAnsi="Arial"/>
          <w:sz w:val="13"/>
          <w:szCs w:val="13"/>
          <w:color w:val="auto"/>
        </w:rPr>
        <w:t>Ending Balance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2,366</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9,290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2,671</w:t>
            </w:r>
          </w:p>
        </w:tc>
        <w:tc>
          <w:tcPr>
            <w:tcW w:w="22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651</w:t>
            </w:r>
          </w:p>
        </w:tc>
        <w:tc>
          <w:tcPr>
            <w:tcW w:w="22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808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15,786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 w:type="dxa"/>
            <w:vAlign w:val="bottom"/>
          </w:tcPr>
          <w:p>
            <w:pPr>
              <w:jc w:val="right"/>
              <w:spacing w:after="0"/>
              <w:rPr>
                <w:sz w:val="20"/>
                <w:szCs w:val="20"/>
                <w:color w:val="auto"/>
              </w:rPr>
            </w:pPr>
            <w:r>
              <w:rPr>
                <w:rFonts w:ascii="Arial" w:cs="Arial" w:eastAsia="Arial" w:hAnsi="Arial"/>
                <w:sz w:val="13"/>
                <w:szCs w:val="13"/>
                <w:color w:val="auto"/>
                <w:w w:val="92"/>
              </w:rPr>
              <w:t>(1,009)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695</w:t>
            </w:r>
          </w:p>
        </w:tc>
        <w:tc>
          <w:tcPr>
            <w:tcW w:w="2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4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CCEEFF"/>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 w:type="dxa"/>
            <w:vAlign w:val="bottom"/>
            <w:tcBorders>
              <w:left w:val="single" w:sz="8" w:color="CCEEFF"/>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1,358</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3,709</w:t>
            </w:r>
          </w:p>
        </w:tc>
        <w:tc>
          <w:tcPr>
            <w:tcW w:w="220" w:type="dxa"/>
            <w:vAlign w:val="bottom"/>
            <w:gridSpan w:val="3"/>
          </w:tcPr>
          <w:p>
            <w:pPr>
              <w:jc w:val="right"/>
              <w:ind w:right="32"/>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725</w:t>
            </w:r>
          </w:p>
        </w:tc>
        <w:tc>
          <w:tcPr>
            <w:tcW w:w="22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16,604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60" w:type="dxa"/>
            <w:vAlign w:val="bottom"/>
            <w:vMerge w:val="restart"/>
          </w:tcPr>
          <w:p>
            <w:pPr>
              <w:jc w:val="right"/>
              <w:ind w:right="36"/>
              <w:spacing w:after="0"/>
              <w:rPr>
                <w:sz w:val="20"/>
                <w:szCs w:val="20"/>
                <w:color w:val="auto"/>
              </w:rPr>
            </w:pPr>
            <w:r>
              <w:rPr>
                <w:rFonts w:ascii="Arial" w:cs="Arial" w:eastAsia="Arial" w:hAnsi="Arial"/>
                <w:sz w:val="13"/>
                <w:szCs w:val="13"/>
                <w:color w:val="auto"/>
              </w:rPr>
              <w:t>2,498</w:t>
            </w:r>
          </w:p>
        </w:tc>
        <w:tc>
          <w:tcPr>
            <w:tcW w:w="160" w:type="dxa"/>
            <w:vAlign w:val="bottom"/>
            <w:tcBorders>
              <w:top w:val="single" w:sz="8" w:color="auto"/>
              <w:left w:val="single" w:sz="8" w:color="CCEEFF"/>
            </w:tcBorders>
            <w:shd w:val="clear" w:color="auto" w:fill="CCEEFF"/>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right w:val="single" w:sz="8" w:color="CCEEFF"/>
            </w:tcBorders>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right w:val="single" w:sz="8" w:color="CCEEFF"/>
            </w:tcBorders>
          </w:tcPr>
          <w:p>
            <w:pPr>
              <w:spacing w:after="0"/>
              <w:rPr>
                <w:sz w:val="10"/>
                <w:szCs w:val="10"/>
                <w:color w:val="auto"/>
              </w:rPr>
            </w:pPr>
          </w:p>
        </w:tc>
        <w:tc>
          <w:tcPr>
            <w:tcW w:w="140" w:type="dxa"/>
            <w:vAlign w:val="bottom"/>
            <w:tcBorders>
              <w:top w:val="single" w:sz="8" w:color="auto"/>
              <w:left w:val="single" w:sz="8" w:color="CCEEFF"/>
            </w:tcBorders>
            <w:shd w:val="clear" w:color="auto" w:fill="CCEEFF"/>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right w:val="single" w:sz="8" w:color="CCEEFF"/>
            </w:tcBorders>
          </w:tcPr>
          <w:p>
            <w:pPr>
              <w:spacing w:after="0"/>
              <w:rPr>
                <w:sz w:val="10"/>
                <w:szCs w:val="10"/>
                <w:color w:val="auto"/>
              </w:rPr>
            </w:pPr>
          </w:p>
        </w:tc>
        <w:tc>
          <w:tcPr>
            <w:tcW w:w="140" w:type="dxa"/>
            <w:vAlign w:val="bottom"/>
            <w:tcBorders>
              <w:top w:val="single" w:sz="8" w:color="auto"/>
              <w:left w:val="single" w:sz="8" w:color="CCEEFF"/>
            </w:tcBorders>
            <w:shd w:val="clear" w:color="auto" w:fill="CCEEFF"/>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right w:val="single" w:sz="8" w:color="CCEEFF"/>
            </w:tcBorders>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160" w:type="dxa"/>
            <w:vAlign w:val="bottom"/>
            <w:tcBorders>
              <w:lef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8,758</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120" w:type="dxa"/>
            <w:vAlign w:val="bottom"/>
            <w:tcBorders>
              <w:left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w:t>
            </w:r>
          </w:p>
        </w:tc>
        <w:tc>
          <w:tcPr>
            <w:tcW w:w="80" w:type="dxa"/>
            <w:vAlign w:val="bottom"/>
            <w:tcBorders>
              <w:right w:val="single" w:sz="8" w:color="CCEEFF"/>
            </w:tcBorders>
            <w:gridSpan w:val="2"/>
          </w:tcPr>
          <w:p>
            <w:pPr>
              <w:spacing w:after="0"/>
              <w:rPr>
                <w:sz w:val="12"/>
                <w:szCs w:val="12"/>
                <w:color w:val="auto"/>
              </w:rPr>
            </w:pPr>
          </w:p>
        </w:tc>
        <w:tc>
          <w:tcPr>
            <w:tcW w:w="14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tcBorders>
              <w:right w:val="single" w:sz="8" w:color="CCEEFF"/>
            </w:tcBorders>
            <w:gridSpan w:val="2"/>
          </w:tcPr>
          <w:p>
            <w:pPr>
              <w:spacing w:after="0"/>
              <w:rPr>
                <w:sz w:val="12"/>
                <w:szCs w:val="12"/>
                <w:color w:val="auto"/>
              </w:rPr>
            </w:pPr>
          </w:p>
        </w:tc>
        <w:tc>
          <w:tcPr>
            <w:tcW w:w="14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120" w:type="dxa"/>
            <w:vAlign w:val="bottom"/>
            <w:tcBorders>
              <w:left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60" w:type="dxa"/>
            <w:vAlign w:val="bottom"/>
          </w:tcPr>
          <w:p>
            <w:pPr>
              <w:jc w:val="right"/>
              <w:spacing w:after="0"/>
              <w:rPr>
                <w:sz w:val="20"/>
                <w:szCs w:val="20"/>
                <w:color w:val="auto"/>
              </w:rPr>
            </w:pPr>
            <w:r>
              <w:rPr>
                <w:rFonts w:ascii="Arial" w:cs="Arial" w:eastAsia="Arial" w:hAnsi="Arial"/>
                <w:sz w:val="13"/>
                <w:szCs w:val="13"/>
                <w:color w:val="auto"/>
                <w:w w:val="92"/>
              </w:rPr>
              <w:t>(1,157)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33</w:t>
            </w:r>
          </w:p>
        </w:tc>
        <w:tc>
          <w:tcPr>
            <w:tcW w:w="16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1,358</w:t>
            </w:r>
          </w:p>
        </w:tc>
        <w:tc>
          <w:tcPr>
            <w:tcW w:w="160" w:type="dxa"/>
            <w:vAlign w:val="bottom"/>
            <w:tcBorders>
              <w:lef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9,985</w:t>
            </w:r>
          </w:p>
        </w:tc>
        <w:tc>
          <w:tcPr>
            <w:tcW w:w="2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120" w:type="dxa"/>
            <w:vAlign w:val="bottom"/>
            <w:tcBorders>
              <w:left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80" w:type="dxa"/>
            <w:vAlign w:val="bottom"/>
            <w:tcBorders>
              <w:right w:val="single" w:sz="8" w:color="CCEEFF"/>
            </w:tcBorders>
            <w:gridSpan w:val="2"/>
          </w:tcPr>
          <w:p>
            <w:pPr>
              <w:spacing w:after="0"/>
              <w:rPr>
                <w:sz w:val="13"/>
                <w:szCs w:val="13"/>
                <w:color w:val="auto"/>
              </w:rPr>
            </w:pPr>
          </w:p>
        </w:tc>
        <w:tc>
          <w:tcPr>
            <w:tcW w:w="14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80" w:type="dxa"/>
            <w:vAlign w:val="bottom"/>
            <w:tcBorders>
              <w:right w:val="single" w:sz="8" w:color="CCEEFF"/>
            </w:tcBorders>
            <w:gridSpan w:val="2"/>
          </w:tcPr>
          <w:p>
            <w:pPr>
              <w:spacing w:after="0"/>
              <w:rPr>
                <w:sz w:val="13"/>
                <w:szCs w:val="13"/>
                <w:color w:val="auto"/>
              </w:rPr>
            </w:pPr>
          </w:p>
        </w:tc>
        <w:tc>
          <w:tcPr>
            <w:tcW w:w="14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w:t>
            </w:r>
          </w:p>
        </w:tc>
        <w:tc>
          <w:tcPr>
            <w:tcW w:w="2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120" w:type="dxa"/>
            <w:vAlign w:val="bottom"/>
            <w:tcBorders>
              <w:left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220" w:space="380"/>
            <w:col w:w="5419"/>
          </w:cols>
          <w:pgMar w:left="1440" w:top="490" w:right="1440" w:bottom="1440" w:gutter="0" w:footer="0" w:header="0"/>
          <w:type w:val="continuous"/>
        </w:sectPr>
      </w:pPr>
    </w:p>
    <w:p>
      <w:pPr>
        <w:spacing w:after="0" w:line="9" w:lineRule="exact"/>
        <w:rPr>
          <w:sz w:val="20"/>
          <w:szCs w:val="20"/>
          <w:color w:val="auto"/>
        </w:rPr>
      </w:pPr>
    </w:p>
    <w:tbl>
      <w:tblPr>
        <w:tblLayout w:type="fixed"/>
        <w:tblInd w:w="3180" w:type="dxa"/>
        <w:tblCellMar>
          <w:top w:w="0" w:type="dxa"/>
          <w:left w:w="0" w:type="dxa"/>
          <w:bottom w:w="0" w:type="dxa"/>
          <w:right w:w="0" w:type="dxa"/>
        </w:tblCellMar>
      </w:tblPr>
      <w:tr>
        <w:trPr>
          <w:trHeight w:val="149"/>
        </w:trPr>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900" w:type="dxa"/>
            <w:vAlign w:val="bottom"/>
          </w:tcPr>
          <w:p>
            <w:pPr>
              <w:jc w:val="center"/>
              <w:ind w:right="16"/>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3"/>
                <w:szCs w:val="13"/>
                <w:b w:val="1"/>
                <w:bCs w:val="1"/>
                <w:color w:val="auto"/>
              </w:rPr>
              <w:t>Consumer</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Real Estate</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and Industrial</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Banks</w:t>
            </w:r>
          </w:p>
        </w:tc>
        <w:tc>
          <w:tcPr>
            <w:tcW w:w="4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b w:val="1"/>
                <w:bCs w:val="1"/>
                <w:color w:val="auto"/>
              </w:rPr>
              <w:t>and Other</w:t>
            </w:r>
          </w:p>
        </w:tc>
        <w:tc>
          <w:tcPr>
            <w:tcW w:w="6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Total</w:t>
            </w:r>
          </w:p>
        </w:tc>
      </w:tr>
      <w:tr>
        <w:trPr>
          <w:trHeight w:val="20"/>
        </w:trPr>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90" w:right="1440" w:bottom="1440" w:gutter="0" w:footer="0" w:header="0"/>
          <w:type w:val="continuous"/>
        </w:sectPr>
      </w:pPr>
    </w:p>
    <w:p>
      <w:pPr>
        <w:ind w:left="620"/>
        <w:spacing w:after="0"/>
        <w:rPr>
          <w:sz w:val="20"/>
          <w:szCs w:val="20"/>
          <w:color w:val="auto"/>
        </w:rPr>
      </w:pPr>
      <w:r>
        <w:rPr>
          <w:rFonts w:ascii="Arial" w:cs="Arial" w:eastAsia="Arial" w:hAnsi="Arial"/>
          <w:sz w:val="13"/>
          <w:szCs w:val="13"/>
          <w:b w:val="1"/>
          <w:bCs w:val="1"/>
          <w:color w:val="auto"/>
        </w:rPr>
        <w:t>Three Months Ended September 30, 2021</w:t>
      </w:r>
    </w:p>
    <w:p>
      <w:pPr>
        <w:spacing w:after="0" w:line="33" w:lineRule="exact"/>
        <w:rPr>
          <w:sz w:val="20"/>
          <w:szCs w:val="20"/>
          <w:color w:val="auto"/>
        </w:rPr>
      </w:pPr>
    </w:p>
    <w:p>
      <w:pPr>
        <w:ind w:left="620"/>
        <w:spacing w:after="0" w:line="274" w:lineRule="auto"/>
        <w:rPr>
          <w:sz w:val="20"/>
          <w:szCs w:val="20"/>
          <w:color w:val="auto"/>
        </w:rPr>
      </w:pPr>
      <w:r>
        <w:rPr>
          <w:rFonts w:ascii="Arial" w:cs="Arial" w:eastAsia="Arial" w:hAnsi="Arial"/>
          <w:sz w:val="13"/>
          <w:szCs w:val="13"/>
          <w:color w:val="auto"/>
        </w:rPr>
        <w:t>Beginning balance $ Provision for credit losses</w:t>
      </w:r>
    </w:p>
    <w:p>
      <w:pPr>
        <w:ind w:left="620"/>
        <w:spacing w:after="0"/>
        <w:rPr>
          <w:sz w:val="20"/>
          <w:szCs w:val="20"/>
          <w:color w:val="auto"/>
        </w:rPr>
      </w:pPr>
      <w:r>
        <w:rPr>
          <w:rFonts w:ascii="Arial" w:cs="Arial" w:eastAsia="Arial" w:hAnsi="Arial"/>
          <w:sz w:val="13"/>
          <w:szCs w:val="13"/>
          <w:color w:val="auto"/>
        </w:rPr>
        <w:t>Recoveries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Charge-offs</w:t>
      </w:r>
    </w:p>
    <w:p>
      <w:pPr>
        <w:spacing w:after="0" w:line="32" w:lineRule="exact"/>
        <w:rPr>
          <w:sz w:val="20"/>
          <w:szCs w:val="20"/>
          <w:color w:val="auto"/>
        </w:rPr>
      </w:pPr>
    </w:p>
    <w:p>
      <w:pPr>
        <w:ind w:left="620"/>
        <w:spacing w:after="0"/>
        <w:tabs>
          <w:tab w:leader="none" w:pos="3120" w:val="left"/>
        </w:tabs>
        <w:rPr>
          <w:sz w:val="20"/>
          <w:szCs w:val="20"/>
          <w:color w:val="auto"/>
        </w:rPr>
      </w:pPr>
      <w:r>
        <w:rPr>
          <w:rFonts w:ascii="Arial" w:cs="Arial" w:eastAsia="Arial" w:hAnsi="Arial"/>
          <w:sz w:val="13"/>
          <w:szCs w:val="13"/>
          <w:color w:val="auto"/>
        </w:rPr>
        <w:t>Ending Balance</w:t>
      </w:r>
      <w:r>
        <w:rPr>
          <w:sz w:val="20"/>
          <w:szCs w:val="20"/>
          <w:color w:val="auto"/>
        </w:rPr>
        <w:tab/>
      </w:r>
      <w:r>
        <w:rPr>
          <w:rFonts w:ascii="Arial" w:cs="Arial" w:eastAsia="Arial" w:hAnsi="Arial"/>
          <w:sz w:val="13"/>
          <w:szCs w:val="13"/>
          <w:color w:val="auto"/>
        </w:rPr>
        <w:t>$</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Nine Months Ended September 30, 2021</w:t>
      </w:r>
    </w:p>
    <w:p>
      <w:pPr>
        <w:spacing w:after="0" w:line="37" w:lineRule="exact"/>
        <w:rPr>
          <w:sz w:val="20"/>
          <w:szCs w:val="20"/>
          <w:color w:val="auto"/>
        </w:rPr>
      </w:pPr>
    </w:p>
    <w:p>
      <w:pPr>
        <w:ind w:left="620"/>
        <w:spacing w:after="0" w:line="274" w:lineRule="auto"/>
        <w:rPr>
          <w:sz w:val="20"/>
          <w:szCs w:val="20"/>
          <w:color w:val="auto"/>
        </w:rPr>
      </w:pPr>
      <w:r>
        <w:rPr>
          <w:rFonts w:ascii="Arial" w:cs="Arial" w:eastAsia="Arial" w:hAnsi="Arial"/>
          <w:sz w:val="13"/>
          <w:szCs w:val="13"/>
          <w:color w:val="auto"/>
        </w:rPr>
        <w:t>Beginning balance $ Provision for credit losses</w:t>
      </w:r>
    </w:p>
    <w:p>
      <w:pPr>
        <w:ind w:left="620"/>
        <w:spacing w:after="0"/>
        <w:rPr>
          <w:sz w:val="20"/>
          <w:szCs w:val="20"/>
          <w:color w:val="auto"/>
        </w:rPr>
      </w:pPr>
      <w:r>
        <w:rPr>
          <w:rFonts w:ascii="Arial" w:cs="Arial" w:eastAsia="Arial" w:hAnsi="Arial"/>
          <w:sz w:val="13"/>
          <w:szCs w:val="13"/>
          <w:color w:val="auto"/>
        </w:rPr>
        <w:t>Recoveries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Charge-offs</w:t>
      </w:r>
    </w:p>
    <w:p>
      <w:pPr>
        <w:spacing w:after="0" w:line="32" w:lineRule="exact"/>
        <w:rPr>
          <w:sz w:val="20"/>
          <w:szCs w:val="20"/>
          <w:color w:val="auto"/>
        </w:rPr>
      </w:pPr>
    </w:p>
    <w:p>
      <w:pPr>
        <w:ind w:left="620"/>
        <w:spacing w:after="0"/>
        <w:tabs>
          <w:tab w:leader="none" w:pos="3120" w:val="left"/>
        </w:tabs>
        <w:rPr>
          <w:sz w:val="20"/>
          <w:szCs w:val="20"/>
          <w:color w:val="auto"/>
        </w:rPr>
      </w:pPr>
      <w:r>
        <w:rPr>
          <w:rFonts w:ascii="Arial" w:cs="Arial" w:eastAsia="Arial" w:hAnsi="Arial"/>
          <w:sz w:val="13"/>
          <w:szCs w:val="13"/>
          <w:color w:val="auto"/>
        </w:rPr>
        <w:t>Ending Balance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2,540</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8,752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ind w:right="213"/>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2,467</w:t>
            </w:r>
          </w:p>
        </w:tc>
        <w:tc>
          <w:tcPr>
            <w:tcW w:w="340" w:type="dxa"/>
            <w:vAlign w:val="bottom"/>
            <w:gridSpan w:val="3"/>
          </w:tcPr>
          <w:p>
            <w:pPr>
              <w:jc w:val="right"/>
              <w:ind w:right="152"/>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554</w:t>
            </w:r>
          </w:p>
        </w:tc>
        <w:tc>
          <w:tcPr>
            <w:tcW w:w="360" w:type="dxa"/>
            <w:vAlign w:val="bottom"/>
            <w:gridSpan w:val="3"/>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535</w:t>
            </w:r>
          </w:p>
        </w:tc>
        <w:tc>
          <w:tcPr>
            <w:tcW w:w="20" w:type="dxa"/>
            <w:vAlign w:val="bottom"/>
          </w:tcPr>
          <w:p>
            <w:pPr>
              <w:spacing w:after="0"/>
              <w:rPr>
                <w:sz w:val="13"/>
                <w:szCs w:val="13"/>
                <w:color w:val="auto"/>
              </w:rPr>
            </w:pPr>
          </w:p>
        </w:tc>
        <w:tc>
          <w:tcPr>
            <w:tcW w:w="2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14,848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 w:type="dxa"/>
            <w:vAlign w:val="bottom"/>
          </w:tcPr>
          <w:p>
            <w:pPr>
              <w:jc w:val="right"/>
              <w:spacing w:after="0"/>
              <w:rPr>
                <w:sz w:val="20"/>
                <w:szCs w:val="20"/>
                <w:color w:val="auto"/>
              </w:rPr>
            </w:pPr>
            <w:r>
              <w:rPr>
                <w:rFonts w:ascii="Arial" w:cs="Arial" w:eastAsia="Arial" w:hAnsi="Arial"/>
                <w:sz w:val="13"/>
                <w:szCs w:val="13"/>
                <w:color w:val="auto"/>
              </w:rPr>
              <w:t>(787)</w:t>
            </w: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719</w:t>
            </w:r>
          </w:p>
        </w:tc>
        <w:tc>
          <w:tcPr>
            <w:tcW w:w="2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4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(180)</w:t>
            </w:r>
          </w:p>
        </w:tc>
        <w:tc>
          <w:tcPr>
            <w:tcW w:w="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Borders>
              <w:left w:val="single" w:sz="8" w:color="CCEEFF"/>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280" w:type="dxa"/>
            <w:vAlign w:val="bottom"/>
            <w:tcBorders>
              <w:left w:val="single" w:sz="8" w:color="CCEEFF"/>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260" w:type="dxa"/>
            <w:vAlign w:val="bottom"/>
            <w:tcBorders>
              <w:left w:val="single" w:sz="8" w:color="CCEEFF"/>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280" w:type="dxa"/>
            <w:vAlign w:val="bottom"/>
            <w:tcBorders>
              <w:left w:val="single" w:sz="8" w:color="CCEEFF"/>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1,801</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9,471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jc w:val="right"/>
              <w:ind w:right="213"/>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2,747</w:t>
            </w:r>
          </w:p>
        </w:tc>
        <w:tc>
          <w:tcPr>
            <w:tcW w:w="340" w:type="dxa"/>
            <w:vAlign w:val="bottom"/>
            <w:gridSpan w:val="3"/>
          </w:tcPr>
          <w:p>
            <w:pPr>
              <w:jc w:val="right"/>
              <w:ind w:right="152"/>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525</w:t>
            </w:r>
          </w:p>
        </w:tc>
        <w:tc>
          <w:tcPr>
            <w:tcW w:w="360" w:type="dxa"/>
            <w:vAlign w:val="bottom"/>
            <w:gridSpan w:val="3"/>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356</w:t>
            </w:r>
          </w:p>
        </w:tc>
        <w:tc>
          <w:tcPr>
            <w:tcW w:w="20" w:type="dxa"/>
            <w:vAlign w:val="bottom"/>
          </w:tcPr>
          <w:p>
            <w:pPr>
              <w:spacing w:after="0"/>
              <w:rPr>
                <w:sz w:val="17"/>
                <w:szCs w:val="17"/>
                <w:color w:val="auto"/>
              </w:rPr>
            </w:pPr>
          </w:p>
        </w:tc>
        <w:tc>
          <w:tcPr>
            <w:tcW w:w="2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14,900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60" w:type="dxa"/>
            <w:vAlign w:val="bottom"/>
            <w:vMerge w:val="restart"/>
          </w:tcPr>
          <w:p>
            <w:pPr>
              <w:jc w:val="right"/>
              <w:ind w:right="36"/>
              <w:spacing w:after="0"/>
              <w:rPr>
                <w:sz w:val="20"/>
                <w:szCs w:val="20"/>
                <w:color w:val="auto"/>
              </w:rPr>
            </w:pPr>
            <w:r>
              <w:rPr>
                <w:rFonts w:ascii="Arial" w:cs="Arial" w:eastAsia="Arial" w:hAnsi="Arial"/>
                <w:sz w:val="13"/>
                <w:szCs w:val="13"/>
                <w:color w:val="auto"/>
              </w:rPr>
              <w:t>3,408</w:t>
            </w:r>
          </w:p>
        </w:tc>
        <w:tc>
          <w:tcPr>
            <w:tcW w:w="280" w:type="dxa"/>
            <w:vAlign w:val="bottom"/>
            <w:tcBorders>
              <w:top w:val="single" w:sz="8" w:color="auto"/>
              <w:left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right w:val="single" w:sz="8" w:color="CCEEFF"/>
            </w:tcBorders>
          </w:tcPr>
          <w:p>
            <w:pPr>
              <w:spacing w:after="0"/>
              <w:rPr>
                <w:sz w:val="10"/>
                <w:szCs w:val="10"/>
                <w:color w:val="auto"/>
              </w:rPr>
            </w:pPr>
          </w:p>
        </w:tc>
        <w:tc>
          <w:tcPr>
            <w:tcW w:w="280" w:type="dxa"/>
            <w:vAlign w:val="bottom"/>
            <w:tcBorders>
              <w:top w:val="single" w:sz="8" w:color="auto"/>
              <w:left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right w:val="single" w:sz="8" w:color="CCEEFF"/>
            </w:tcBorders>
          </w:tcPr>
          <w:p>
            <w:pPr>
              <w:spacing w:after="0"/>
              <w:rPr>
                <w:sz w:val="10"/>
                <w:szCs w:val="10"/>
                <w:color w:val="auto"/>
              </w:rPr>
            </w:pPr>
          </w:p>
        </w:tc>
        <w:tc>
          <w:tcPr>
            <w:tcW w:w="260" w:type="dxa"/>
            <w:vAlign w:val="bottom"/>
            <w:tcBorders>
              <w:top w:val="single" w:sz="8" w:color="auto"/>
              <w:left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right w:val="single" w:sz="8" w:color="CCEEFF"/>
            </w:tcBorders>
          </w:tcPr>
          <w:p>
            <w:pPr>
              <w:spacing w:after="0"/>
              <w:rPr>
                <w:sz w:val="10"/>
                <w:szCs w:val="10"/>
                <w:color w:val="auto"/>
              </w:rPr>
            </w:pPr>
          </w:p>
        </w:tc>
        <w:tc>
          <w:tcPr>
            <w:tcW w:w="280" w:type="dxa"/>
            <w:vAlign w:val="bottom"/>
            <w:tcBorders>
              <w:top w:val="single" w:sz="8" w:color="auto"/>
              <w:left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right w:val="single" w:sz="8" w:color="CCEEFF"/>
            </w:tcBorders>
          </w:tcPr>
          <w:p>
            <w:pPr>
              <w:spacing w:after="0"/>
              <w:rPr>
                <w:sz w:val="10"/>
                <w:szCs w:val="10"/>
                <w:color w:val="auto"/>
              </w:rPr>
            </w:pPr>
          </w:p>
        </w:tc>
        <w:tc>
          <w:tcPr>
            <w:tcW w:w="140" w:type="dxa"/>
            <w:vAlign w:val="bottom"/>
            <w:tcBorders>
              <w:top w:val="single" w:sz="8" w:color="auto"/>
              <w:left w:val="single" w:sz="8" w:color="CCEE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60" w:type="dxa"/>
            <w:vAlign w:val="bottom"/>
            <w:vMerge w:val="continue"/>
          </w:tcPr>
          <w:p>
            <w:pPr>
              <w:spacing w:after="0"/>
              <w:rPr>
                <w:sz w:val="12"/>
                <w:szCs w:val="12"/>
                <w:color w:val="auto"/>
              </w:rPr>
            </w:pPr>
          </w:p>
        </w:tc>
        <w:tc>
          <w:tcPr>
            <w:tcW w:w="280" w:type="dxa"/>
            <w:vAlign w:val="bottom"/>
            <w:tcBorders>
              <w:left w:val="single" w:sz="8" w:color="CCEEFF"/>
            </w:tcBorders>
            <w:shd w:val="clear" w:color="auto" w:fill="CCEEFF"/>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9,453</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280" w:type="dxa"/>
            <w:vAlign w:val="bottom"/>
            <w:tcBorders>
              <w:left w:val="single" w:sz="8" w:color="CCEEFF"/>
            </w:tcBorders>
            <w:shd w:val="clear" w:color="auto" w:fill="CCEEFF"/>
          </w:tcPr>
          <w:p>
            <w:pPr>
              <w:jc w:val="right"/>
              <w:ind w:right="213"/>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1,689</w:t>
            </w:r>
          </w:p>
        </w:tc>
        <w:tc>
          <w:tcPr>
            <w:tcW w:w="80" w:type="dxa"/>
            <w:vAlign w:val="bottom"/>
            <w:tcBorders>
              <w:right w:val="single" w:sz="8" w:color="CCEEFF"/>
            </w:tcBorders>
            <w:gridSpan w:val="2"/>
          </w:tcPr>
          <w:p>
            <w:pPr>
              <w:spacing w:after="0"/>
              <w:rPr>
                <w:sz w:val="12"/>
                <w:szCs w:val="12"/>
                <w:color w:val="auto"/>
              </w:rPr>
            </w:pPr>
          </w:p>
        </w:tc>
        <w:tc>
          <w:tcPr>
            <w:tcW w:w="260" w:type="dxa"/>
            <w:vAlign w:val="bottom"/>
            <w:tcBorders>
              <w:left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348</w:t>
            </w:r>
          </w:p>
        </w:tc>
        <w:tc>
          <w:tcPr>
            <w:tcW w:w="80" w:type="dxa"/>
            <w:vAlign w:val="bottom"/>
            <w:tcBorders>
              <w:right w:val="single" w:sz="8" w:color="CCEEFF"/>
            </w:tcBorders>
            <w:gridSpan w:val="2"/>
          </w:tcPr>
          <w:p>
            <w:pPr>
              <w:spacing w:after="0"/>
              <w:rPr>
                <w:sz w:val="12"/>
                <w:szCs w:val="12"/>
                <w:color w:val="auto"/>
              </w:rPr>
            </w:pPr>
          </w:p>
        </w:tc>
        <w:tc>
          <w:tcPr>
            <w:tcW w:w="280" w:type="dxa"/>
            <w:vAlign w:val="bottom"/>
            <w:tcBorders>
              <w:left w:val="single" w:sz="8" w:color="CCEEFF"/>
            </w:tcBorders>
            <w:shd w:val="clear" w:color="auto" w:fill="CCEEFF"/>
          </w:tcPr>
          <w:p>
            <w:pPr>
              <w:jc w:val="right"/>
              <w:ind w:right="21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188</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14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15,086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0" w:type="dxa"/>
            <w:vAlign w:val="bottom"/>
          </w:tcPr>
          <w:p>
            <w:pPr>
              <w:jc w:val="right"/>
              <w:spacing w:after="0"/>
              <w:rPr>
                <w:sz w:val="20"/>
                <w:szCs w:val="20"/>
                <w:color w:val="auto"/>
              </w:rPr>
            </w:pPr>
            <w:r>
              <w:rPr>
                <w:rFonts w:ascii="Arial" w:cs="Arial" w:eastAsia="Arial" w:hAnsi="Arial"/>
                <w:sz w:val="13"/>
                <w:szCs w:val="13"/>
                <w:color w:val="auto"/>
                <w:w w:val="92"/>
              </w:rPr>
              <w:t>(1,434)</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56</w:t>
            </w:r>
          </w:p>
        </w:tc>
        <w:tc>
          <w:tcPr>
            <w:tcW w:w="280" w:type="dxa"/>
            <w:vAlign w:val="bottom"/>
            <w:tcBorders>
              <w:lef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0" w:type="dxa"/>
            <w:vAlign w:val="bottom"/>
          </w:tcPr>
          <w:p>
            <w:pPr>
              <w:jc w:val="right"/>
              <w:spacing w:after="0"/>
              <w:rPr>
                <w:sz w:val="20"/>
                <w:szCs w:val="20"/>
                <w:color w:val="auto"/>
              </w:rPr>
            </w:pPr>
            <w:r>
              <w:rPr>
                <w:rFonts w:ascii="Arial" w:cs="Arial" w:eastAsia="Arial" w:hAnsi="Arial"/>
                <w:sz w:val="13"/>
                <w:szCs w:val="13"/>
                <w:color w:val="auto"/>
              </w:rPr>
              <w:t>(229)</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60" w:type="dxa"/>
            <w:vAlign w:val="bottom"/>
            <w:vMerge w:val="restart"/>
          </w:tcPr>
          <w:p>
            <w:pPr>
              <w:jc w:val="right"/>
              <w:ind w:right="36"/>
              <w:spacing w:after="0"/>
              <w:rPr>
                <w:sz w:val="20"/>
                <w:szCs w:val="20"/>
                <w:color w:val="auto"/>
              </w:rPr>
            </w:pPr>
            <w:r>
              <w:rPr>
                <w:rFonts w:ascii="Arial" w:cs="Arial" w:eastAsia="Arial" w:hAnsi="Arial"/>
                <w:sz w:val="13"/>
                <w:szCs w:val="13"/>
                <w:color w:val="auto"/>
              </w:rPr>
              <w:t>1,801</w:t>
            </w: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0" w:type="dxa"/>
            <w:vAlign w:val="bottom"/>
            <w:vMerge w:val="continue"/>
          </w:tcPr>
          <w:p>
            <w:pPr>
              <w:spacing w:after="0"/>
              <w:rPr>
                <w:sz w:val="12"/>
                <w:szCs w:val="12"/>
                <w:color w:val="auto"/>
              </w:rPr>
            </w:pPr>
          </w:p>
        </w:tc>
        <w:tc>
          <w:tcPr>
            <w:tcW w:w="280" w:type="dxa"/>
            <w:vAlign w:val="bottom"/>
            <w:tcBorders>
              <w:left w:val="single" w:sz="8" w:color="CCEEFF"/>
            </w:tcBorders>
            <w:shd w:val="clear" w:color="auto" w:fill="CCEEFF"/>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9,471</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280" w:type="dxa"/>
            <w:vAlign w:val="bottom"/>
            <w:tcBorders>
              <w:left w:val="single" w:sz="8" w:color="CCEEFF"/>
            </w:tcBorders>
            <w:shd w:val="clear" w:color="auto" w:fill="CCEEFF"/>
          </w:tcPr>
          <w:p>
            <w:pPr>
              <w:jc w:val="right"/>
              <w:ind w:right="213"/>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2,747</w:t>
            </w:r>
          </w:p>
        </w:tc>
        <w:tc>
          <w:tcPr>
            <w:tcW w:w="80" w:type="dxa"/>
            <w:vAlign w:val="bottom"/>
            <w:tcBorders>
              <w:right w:val="single" w:sz="8" w:color="CCEEFF"/>
            </w:tcBorders>
            <w:gridSpan w:val="2"/>
          </w:tcPr>
          <w:p>
            <w:pPr>
              <w:spacing w:after="0"/>
              <w:rPr>
                <w:sz w:val="12"/>
                <w:szCs w:val="12"/>
                <w:color w:val="auto"/>
              </w:rPr>
            </w:pPr>
          </w:p>
        </w:tc>
        <w:tc>
          <w:tcPr>
            <w:tcW w:w="260" w:type="dxa"/>
            <w:vAlign w:val="bottom"/>
            <w:tcBorders>
              <w:left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525</w:t>
            </w:r>
          </w:p>
        </w:tc>
        <w:tc>
          <w:tcPr>
            <w:tcW w:w="80" w:type="dxa"/>
            <w:vAlign w:val="bottom"/>
            <w:tcBorders>
              <w:right w:val="single" w:sz="8" w:color="CCEEFF"/>
            </w:tcBorders>
            <w:gridSpan w:val="2"/>
          </w:tcPr>
          <w:p>
            <w:pPr>
              <w:spacing w:after="0"/>
              <w:rPr>
                <w:sz w:val="12"/>
                <w:szCs w:val="12"/>
                <w:color w:val="auto"/>
              </w:rPr>
            </w:pPr>
          </w:p>
        </w:tc>
        <w:tc>
          <w:tcPr>
            <w:tcW w:w="280" w:type="dxa"/>
            <w:vAlign w:val="bottom"/>
            <w:tcBorders>
              <w:left w:val="single" w:sz="8" w:color="CCEEFF"/>
            </w:tcBorders>
            <w:shd w:val="clear" w:color="auto" w:fill="CCEEFF"/>
          </w:tcPr>
          <w:p>
            <w:pPr>
              <w:jc w:val="right"/>
              <w:ind w:right="213"/>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356</w:t>
            </w:r>
          </w:p>
        </w:tc>
        <w:tc>
          <w:tcPr>
            <w:tcW w:w="20" w:type="dxa"/>
            <w:vAlign w:val="bottom"/>
          </w:tcPr>
          <w:p>
            <w:pPr>
              <w:spacing w:after="0"/>
              <w:rPr>
                <w:sz w:val="12"/>
                <w:szCs w:val="12"/>
                <w:color w:val="auto"/>
              </w:rPr>
            </w:pPr>
          </w:p>
        </w:tc>
        <w:tc>
          <w:tcPr>
            <w:tcW w:w="60" w:type="dxa"/>
            <w:vAlign w:val="bottom"/>
            <w:tcBorders>
              <w:right w:val="single" w:sz="8" w:color="CCEEFF"/>
            </w:tcBorders>
          </w:tcPr>
          <w:p>
            <w:pPr>
              <w:spacing w:after="0"/>
              <w:rPr>
                <w:sz w:val="12"/>
                <w:szCs w:val="12"/>
                <w:color w:val="auto"/>
              </w:rPr>
            </w:pPr>
          </w:p>
        </w:tc>
        <w:tc>
          <w:tcPr>
            <w:tcW w:w="14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14,900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220" w:space="380"/>
            <w:col w:w="5419"/>
          </w:cols>
          <w:pgMar w:left="1440" w:top="4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type w:val="continuous"/>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Allowance for credit losses and the outstanding balances in the specified loan categories as of September 30, 2022 and December 31, 2021 are as follows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51"/>
        </w:trPr>
        <w:tc>
          <w:tcPr>
            <w:tcW w:w="40" w:type="dxa"/>
            <w:vAlign w:val="bottom"/>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1,198</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9,985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726</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16,295</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9,985</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827</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16,604</w:t>
            </w:r>
          </w:p>
        </w:tc>
        <w:tc>
          <w:tcPr>
            <w:tcW w:w="20" w:type="dxa"/>
            <w:vAlign w:val="bottom"/>
            <w:shd w:val="clear" w:color="auto" w:fill="CCEEFF"/>
          </w:tcPr>
          <w:p>
            <w:pPr>
              <w:spacing w:after="0"/>
              <w:rPr>
                <w:sz w:val="13"/>
                <w:szCs w:val="13"/>
                <w:color w:val="auto"/>
              </w:rPr>
            </w:pPr>
          </w:p>
        </w:tc>
      </w:tr>
      <w:tr>
        <w:trPr>
          <w:trHeight w:val="20"/>
        </w:trPr>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7,257</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203</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8,138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179,294</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927,945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121,053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100,642</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1,423,384</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186,551</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928,531</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121,145</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94,450</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100,845</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1,431,522</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gridSpan w:val="6"/>
          </w:tcPr>
          <w:p>
            <w:pPr>
              <w:jc w:val="right"/>
              <w:ind w:right="20"/>
              <w:spacing w:after="0"/>
              <w:rPr>
                <w:sz w:val="20"/>
                <w:szCs w:val="20"/>
                <w:color w:val="auto"/>
              </w:rPr>
            </w:pPr>
            <w:r>
              <w:rPr>
                <w:rFonts w:ascii="Arial" w:cs="Arial" w:eastAsia="Arial" w:hAnsi="Arial"/>
                <w:sz w:val="13"/>
                <w:szCs w:val="13"/>
                <w:color w:val="auto"/>
              </w:rPr>
              <w:t>- $</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111</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14,697</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10,067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192,353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704,292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146,451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79,005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1,181,592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59,491</w:t>
            </w:r>
          </w:p>
        </w:tc>
        <w:tc>
          <w:tcPr>
            <w:tcW w:w="40" w:type="dxa"/>
            <w:vAlign w:val="bottom"/>
            <w:gridSpan w:val="2"/>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83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60" w:right="83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73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9"/>
          </w:tcPr>
          <w:p>
            <w:pPr>
              <w:jc w:val="right"/>
              <w:ind w:right="316"/>
              <w:spacing w:after="0"/>
              <w:rPr>
                <w:sz w:val="20"/>
                <w:szCs w:val="20"/>
                <w:color w:val="auto"/>
              </w:rPr>
            </w:pPr>
            <w:r>
              <w:rPr>
                <w:rFonts w:ascii="Arial" w:cs="Arial" w:eastAsia="Arial" w:hAnsi="Arial"/>
                <w:sz w:val="13"/>
                <w:szCs w:val="13"/>
                <w:b w:val="1"/>
                <w:bCs w:val="1"/>
                <w:color w:val="auto"/>
              </w:rPr>
              <w:t>As of September 30, 2022</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Special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40" w:type="dxa"/>
            <w:vAlign w:val="bottom"/>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Mention</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Substandard</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Residential real estate:</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723</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1240" w:type="dxa"/>
            <w:vAlign w:val="bottom"/>
            <w:gridSpan w:val="5"/>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723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129,240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Condo residential</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56,588</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56,588</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186,551</w:t>
            </w:r>
          </w:p>
        </w:tc>
        <w:tc>
          <w:tcPr>
            <w:tcW w:w="20" w:type="dxa"/>
            <w:vAlign w:val="bottom"/>
            <w:shd w:val="clear" w:color="auto" w:fill="CCEEFF"/>
          </w:tcPr>
          <w:p>
            <w:pPr>
              <w:spacing w:after="0"/>
              <w:rPr>
                <w:sz w:val="13"/>
                <w:szCs w:val="13"/>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35,977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35,977</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155,018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155,018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55,451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55,851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Commercial property</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681,685</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681,685</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928,131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928,531</w:t>
            </w:r>
          </w:p>
        </w:tc>
        <w:tc>
          <w:tcPr>
            <w:tcW w:w="20" w:type="dxa"/>
            <w:vAlign w:val="bottom"/>
            <w:shd w:val="clear" w:color="auto" w:fill="CCEEFF"/>
          </w:tcPr>
          <w:p>
            <w:pPr>
              <w:spacing w:after="0"/>
              <w:rPr>
                <w:sz w:val="13"/>
                <w:szCs w:val="13"/>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Secured</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115,444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115,783</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6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Unsecured</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5,362</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5,362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120,806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121,145</w:t>
            </w:r>
          </w:p>
        </w:tc>
        <w:tc>
          <w:tcPr>
            <w:tcW w:w="20" w:type="dxa"/>
            <w:vAlign w:val="bottom"/>
            <w:shd w:val="clear" w:color="auto" w:fill="CCEEFF"/>
          </w:tcPr>
          <w:p>
            <w:pPr>
              <w:spacing w:after="0"/>
              <w:rPr>
                <w:sz w:val="13"/>
                <w:szCs w:val="13"/>
                <w:color w:val="auto"/>
              </w:rPr>
            </w:pPr>
          </w:p>
        </w:tc>
      </w:tr>
      <w:tr>
        <w:trPr>
          <w:trHeight w:val="171"/>
        </w:trPr>
        <w:tc>
          <w:tcPr>
            <w:tcW w:w="27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Foreign banks</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94,450</w:t>
            </w: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color w:val="auto"/>
              </w:rPr>
              <w:t>Consumer and other loans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100,642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100,845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Total</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1,430,580</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942</w:t>
            </w:r>
          </w:p>
        </w:tc>
        <w:tc>
          <w:tcPr>
            <w:tcW w:w="700" w:type="dxa"/>
            <w:vAlign w:val="bottom"/>
            <w:gridSpan w:val="4"/>
          </w:tcPr>
          <w:p>
            <w:pPr>
              <w:jc w:val="right"/>
              <w:ind w:right="536"/>
              <w:spacing w:after="0"/>
              <w:rPr>
                <w:sz w:val="20"/>
                <w:szCs w:val="20"/>
                <w:color w:val="auto"/>
              </w:rPr>
            </w:pP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1,431,522</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80"/>
              <w:spacing w:after="0"/>
              <w:rPr>
                <w:sz w:val="20"/>
                <w:szCs w:val="20"/>
                <w:color w:val="auto"/>
              </w:rPr>
            </w:pPr>
            <w:r>
              <w:rPr>
                <w:rFonts w:ascii="Arial" w:cs="Arial" w:eastAsia="Arial" w:hAnsi="Arial"/>
                <w:sz w:val="13"/>
                <w:szCs w:val="13"/>
                <w:b w:val="1"/>
                <w:bCs w:val="1"/>
                <w:color w:val="auto"/>
              </w:rPr>
              <w:t>As of December 31, 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3"/>
        </w:trPr>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4"/>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130,840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0" w:type="dxa"/>
            <w:vAlign w:val="bottom"/>
          </w:tcPr>
          <w:p>
            <w:pPr>
              <w:spacing w:after="0"/>
              <w:rPr>
                <w:sz w:val="15"/>
                <w:szCs w:val="15"/>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65,237</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196,778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2"/>
                <w:szCs w:val="12"/>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24,581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127,489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41,983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509,189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Arial" w:cs="Arial" w:eastAsia="Arial" w:hAnsi="Arial"/>
                <w:sz w:val="13"/>
                <w:szCs w:val="13"/>
                <w:color w:val="auto"/>
              </w:rPr>
              <w:t>Secured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48,434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146,039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66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78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1,184,662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CCEEFF"/>
            </w:tcBorders>
            <w:shd w:val="clear" w:color="auto" w:fill="CCEEFF"/>
          </w:tcPr>
          <w:p>
            <w:pPr>
              <w:ind w:left="300"/>
              <w:spacing w:after="0" w:line="131" w:lineRule="exact"/>
              <w:rPr>
                <w:sz w:val="20"/>
                <w:szCs w:val="20"/>
                <w:color w:val="auto"/>
              </w:rPr>
            </w:pPr>
            <w:r>
              <w:rPr>
                <w:rFonts w:ascii="Arial" w:cs="Arial" w:eastAsia="Arial" w:hAnsi="Arial"/>
                <w:sz w:val="13"/>
                <w:szCs w:val="13"/>
                <w:color w:val="auto"/>
              </w:rPr>
              <w:t>1,222</w:t>
            </w:r>
          </w:p>
        </w:tc>
        <w:tc>
          <w:tcPr>
            <w:tcW w:w="3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5,775</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1,191,659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September 30, 2022 and December 31, 2021 (in thousands):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3"/>
                <w:szCs w:val="13"/>
                <w:b w:val="1"/>
                <w:bCs w:val="1"/>
                <w:color w:val="auto"/>
              </w:rPr>
              <w:t>Accruing</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center"/>
              <w:ind w:right="16"/>
              <w:spacing w:after="0" w:line="115" w:lineRule="exact"/>
              <w:rPr>
                <w:sz w:val="20"/>
                <w:szCs w:val="20"/>
                <w:color w:val="auto"/>
              </w:rPr>
            </w:pPr>
            <w:r>
              <w:rPr>
                <w:rFonts w:ascii="Arial" w:cs="Arial" w:eastAsia="Arial" w:hAnsi="Arial"/>
                <w:sz w:val="13"/>
                <w:szCs w:val="13"/>
                <w:b w:val="1"/>
                <w:bCs w:val="1"/>
                <w:color w:val="auto"/>
              </w:rPr>
              <w:t>Past Due 90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As of September 30,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89 Days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88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723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576"/>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723</w:t>
            </w:r>
          </w:p>
        </w:tc>
        <w:tc>
          <w:tcPr>
            <w:tcW w:w="4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128,703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129,240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129,240</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55,911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677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56,588</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56,588</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185,337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1,214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b w:val="1"/>
                <w:bCs w:val="1"/>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186,551</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186,551</w:t>
            </w: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35,977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35,977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35,977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Multi-family residential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155,018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155,018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155,018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55,851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55,851</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679,058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2,627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681,685</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681,685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925,904</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2,627</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928,531</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928,531</w:t>
            </w: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Secured</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115,783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115,783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115,783</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Unsecured</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1,038</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5,362</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5,362</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120,107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1,038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121,145</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121,145</w:t>
            </w: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Foreign banks</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94,450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94,450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94,450</w:t>
            </w: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100,845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100,845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100,845</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Total</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1,426,643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4,879</w:t>
            </w:r>
          </w:p>
        </w:tc>
        <w:tc>
          <w:tcPr>
            <w:tcW w:w="740" w:type="dxa"/>
            <w:vAlign w:val="bottom"/>
            <w:gridSpan w:val="3"/>
          </w:tcPr>
          <w:p>
            <w:pPr>
              <w:jc w:val="right"/>
              <w:ind w:right="576"/>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16"/>
              <w:spacing w:after="0"/>
              <w:rPr>
                <w:sz w:val="20"/>
                <w:szCs w:val="20"/>
                <w:color w:val="auto"/>
              </w:rPr>
            </w:pPr>
            <w:r>
              <w:rPr>
                <w:rFonts w:ascii="Arial" w:cs="Arial" w:eastAsia="Arial" w:hAnsi="Arial"/>
                <w:sz w:val="13"/>
                <w:szCs w:val="13"/>
                <w:b w:val="1"/>
                <w:bCs w:val="1"/>
                <w:color w:val="auto"/>
                <w:w w:val="91"/>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1,431,522</w:t>
            </w:r>
          </w:p>
        </w:tc>
        <w:tc>
          <w:tcPr>
            <w:tcW w:w="4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1,431,522</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Accruing</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right="43"/>
              <w:spacing w:after="0" w:line="126"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and Still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68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9"/>
              </w:rPr>
              <w:t>Accruing</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Accruing</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0" w:type="dxa"/>
            <w:vAlign w:val="bottom"/>
          </w:tcPr>
          <w:p>
            <w:pPr>
              <w:spacing w:after="0"/>
              <w:rPr>
                <w:sz w:val="13"/>
                <w:szCs w:val="13"/>
                <w:color w:val="auto"/>
              </w:rPr>
            </w:pPr>
          </w:p>
        </w:tc>
        <w:tc>
          <w:tcPr>
            <w:tcW w:w="2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7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133,942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134,231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64,243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994</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198,886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200,169</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127,053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127,489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510,411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704,552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48,041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146,182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146,592</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78,969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1,188,080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shd w:val="clear" w:color="auto" w:fill="CCEEFF"/>
              </w:rPr>
              <w:t>1,190,469</w:t>
            </w:r>
          </w:p>
        </w:tc>
        <w:tc>
          <w:tcPr>
            <w:tcW w:w="17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17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There was no interest income recognized attributable to nonaccrual loans outstanding during the three months ended September 30, 2022 and 2021. Interest income on these loans for the three months ended September 30, 2022 and 2021, would have been approximately $0 and $1 thousand, respectively, had these loans performed in accordance with their original terms.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7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at the dates indicated (in thousands):</w:t>
      </w:r>
    </w:p>
    <w:p>
      <w:pPr>
        <w:spacing w:after="0" w:line="181"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center"/>
              <w:ind w:right="56"/>
              <w:spacing w:after="0"/>
              <w:rPr>
                <w:sz w:val="20"/>
                <w:szCs w:val="20"/>
                <w:color w:val="auto"/>
              </w:rPr>
            </w:pPr>
            <w:r>
              <w:rPr>
                <w:rFonts w:ascii="Arial" w:cs="Arial" w:eastAsia="Arial" w:hAnsi="Arial"/>
                <w:sz w:val="13"/>
                <w:szCs w:val="13"/>
                <w:b w:val="1"/>
                <w:bCs w:val="1"/>
                <w:color w:val="auto"/>
                <w:w w:val="97"/>
              </w:rPr>
              <w:t>September 30, 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jc w:val="center"/>
              <w:ind w:right="56"/>
              <w:spacing w:after="0"/>
              <w:rPr>
                <w:sz w:val="20"/>
                <w:szCs w:val="20"/>
                <w:color w:val="auto"/>
              </w:rPr>
            </w:pPr>
            <w:r>
              <w:rPr>
                <w:rFonts w:ascii="Arial" w:cs="Arial" w:eastAsia="Arial" w:hAnsi="Arial"/>
                <w:sz w:val="13"/>
                <w:szCs w:val="13"/>
                <w:b w:val="1"/>
                <w:bCs w:val="1"/>
                <w:color w:val="auto"/>
                <w:w w:val="97"/>
              </w:rPr>
              <w:t>December 31, 2021</w:t>
            </w:r>
          </w:p>
        </w:tc>
        <w:tc>
          <w:tcPr>
            <w:tcW w:w="20" w:type="dxa"/>
            <w:vAlign w:val="bottom"/>
          </w:tcPr>
          <w:p>
            <w:pPr>
              <w:spacing w:after="0"/>
              <w:rPr>
                <w:sz w:val="14"/>
                <w:szCs w:val="14"/>
                <w:color w:val="auto"/>
              </w:rPr>
            </w:pPr>
          </w:p>
        </w:tc>
      </w:tr>
      <w:tr>
        <w:trPr>
          <w:trHeight w:val="232"/>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Valuation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Valuation</w:t>
            </w:r>
          </w:p>
        </w:tc>
        <w:tc>
          <w:tcPr>
            <w:tcW w:w="20" w:type="dxa"/>
            <w:vAlign w:val="bottom"/>
          </w:tcPr>
          <w:p>
            <w:pPr>
              <w:spacing w:after="0"/>
              <w:rPr>
                <w:sz w:val="12"/>
                <w:szCs w:val="12"/>
                <w:color w:val="auto"/>
              </w:rPr>
            </w:pPr>
          </w:p>
        </w:tc>
      </w:tr>
      <w:tr>
        <w:trPr>
          <w:trHeight w:val="164"/>
        </w:trPr>
        <w:tc>
          <w:tcPr>
            <w:tcW w:w="4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3,574</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3,567</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5,021</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5,035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586</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586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4,160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4,153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3,683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3,653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101</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3,978</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20" w:type="dxa"/>
            <w:vAlign w:val="bottom"/>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8,138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8,101</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309</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following table presents the average recorded investment balance on impaired loans for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4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rPr>
              <w:t>Three Months Ended September 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20" w:type="dxa"/>
            <w:vAlign w:val="bottom"/>
            <w:gridSpan w:val="2"/>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7,282</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7,980</w:t>
            </w: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7,732</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8,738</w:t>
            </w:r>
          </w:p>
        </w:tc>
        <w:tc>
          <w:tcPr>
            <w:tcW w:w="20" w:type="dxa"/>
            <w:vAlign w:val="bottom"/>
            <w:shd w:val="clear" w:color="auto" w:fill="CCEEFF"/>
          </w:tcPr>
          <w:p>
            <w:pPr>
              <w:spacing w:after="0"/>
              <w:rPr>
                <w:sz w:val="13"/>
                <w:szCs w:val="13"/>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590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619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20" w:type="dxa"/>
            <w:vAlign w:val="bottom"/>
            <w:shd w:val="clear" w:color="auto" w:fill="CCEEFF"/>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207</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214</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420" w:type="dxa"/>
            <w:vAlign w:val="bottom"/>
            <w:gridSpan w:val="2"/>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8,174</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9,114</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8,681</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9,798</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Interest income recognized on impaired loans for the three months ended September 30, 2022 and 2021 was $90 thousand and $99 thousand, respectively.</w:t>
      </w:r>
    </w:p>
    <w:p>
      <w:pPr>
        <w:spacing w:after="0" w:line="153" w:lineRule="exact"/>
        <w:rPr>
          <w:sz w:val="20"/>
          <w:szCs w:val="20"/>
          <w:color w:val="auto"/>
        </w:rPr>
      </w:pPr>
    </w:p>
    <w:p>
      <w:pPr>
        <w:ind w:left="640" w:right="659" w:firstLine="256"/>
        <w:spacing w:after="0" w:line="252" w:lineRule="auto"/>
        <w:rPr>
          <w:sz w:val="20"/>
          <w:szCs w:val="20"/>
          <w:color w:val="auto"/>
        </w:rPr>
      </w:pPr>
      <w:r>
        <w:rPr>
          <w:rFonts w:ascii="Arial" w:cs="Arial" w:eastAsia="Arial" w:hAnsi="Arial"/>
          <w:sz w:val="14"/>
          <w:szCs w:val="14"/>
          <w:color w:val="auto"/>
        </w:rPr>
        <w:t>Interest income recognized on impaired loans for the nine months ended September 30, 2022 and 2021 was $271 thousand and $313 thousand,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Troubled Debt Restructurings</w:t>
      </w:r>
    </w:p>
    <w:p>
      <w:pPr>
        <w:spacing w:after="0" w:line="188"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 troubled debt restructuring (“TDR”) occurs when the Company has agreed to a loan modification in the form of a concession for a borrower who is experiencing financial difficulty. Modifications to loans can be made for rate, term, payment, conversion of loan to interest only for a limited period of time or a combination to include more than one type of modification.</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performing and non-performing TDR loans at the dates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3"/>
                <w:szCs w:val="13"/>
                <w:b w:val="1"/>
                <w:bCs w:val="1"/>
                <w:color w:val="auto"/>
                <w:w w:val="98"/>
              </w:rPr>
              <w:t>September 30, 2022</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3"/>
                <w:szCs w:val="13"/>
                <w:b w:val="1"/>
                <w:bCs w:val="1"/>
                <w:color w:val="auto"/>
                <w:w w:val="99"/>
              </w:rPr>
              <w:t>December 31, 2021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Accrual Status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center"/>
              <w:ind w:right="36"/>
              <w:spacing w:after="0"/>
              <w:rPr>
                <w:sz w:val="20"/>
                <w:szCs w:val="20"/>
                <w:color w:val="auto"/>
              </w:rPr>
            </w:pPr>
            <w:r>
              <w:rPr>
                <w:rFonts w:ascii="Arial" w:cs="Arial" w:eastAsia="Arial" w:hAnsi="Arial"/>
                <w:sz w:val="13"/>
                <w:szCs w:val="13"/>
                <w:b w:val="1"/>
                <w:bCs w:val="1"/>
                <w:color w:val="auto"/>
              </w:rPr>
              <w:t>Status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rPr>
              <w:t>Status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16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50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7,257</w:t>
            </w:r>
          </w:p>
        </w:tc>
        <w:tc>
          <w:tcPr>
            <w:tcW w:w="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7,257</w:t>
            </w:r>
          </w:p>
        </w:tc>
        <w:tc>
          <w:tcPr>
            <w:tcW w:w="32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7,815</w:t>
            </w:r>
          </w:p>
        </w:tc>
        <w:tc>
          <w:tcPr>
            <w:tcW w:w="10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2"/>
                <w:szCs w:val="12"/>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586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586</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6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500" w:type="dxa"/>
            <w:vAlign w:val="bottom"/>
            <w:tcBorders>
              <w:bottom w:val="single" w:sz="8" w:color="CCEEFF"/>
            </w:tcBorders>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8,138</w:t>
            </w:r>
          </w:p>
        </w:tc>
        <w:tc>
          <w:tcPr>
            <w:tcW w:w="80" w:type="dxa"/>
            <w:vAlign w:val="bottom"/>
            <w:tcBorders>
              <w:bottom w:val="single" w:sz="8" w:color="CCEEFF"/>
            </w:tcBorders>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9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8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8,138</w:t>
            </w:r>
          </w:p>
        </w:tc>
        <w:tc>
          <w:tcPr>
            <w:tcW w:w="320" w:type="dxa"/>
            <w:vAlign w:val="bottom"/>
            <w:tcBorders>
              <w:bottom w:val="single" w:sz="8" w:color="CCEEFF"/>
            </w:tcBorders>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8,876</w:t>
            </w:r>
          </w:p>
        </w:tc>
        <w:tc>
          <w:tcPr>
            <w:tcW w:w="10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8,876</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had allocated $309 thousand and $360 thousand of specific allowance for TDR loans at September 30, 2022 and December 31, 2021, respectively. There were no charge-offs on TDR loans during the three and nine months ended September 30, 2022 and 2021. There were no commitments outstanding to lend additional funds to any of these TDR loan customers as of September 30, 2022.</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During the quarter ended September 30, 2022 and 2021, there were no defaults on loans which were modified as a TDR within the prior 12 months. The Company also did not have any new TDR loans during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1020" w:hanging="378"/>
        <w:spacing w:after="0"/>
        <w:tabs>
          <w:tab w:leader="none" w:pos="10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Company’s provision for income taxes is presented in the following table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6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tcPr>
          <w:p>
            <w:pPr>
              <w:jc w:val="center"/>
              <w:ind w:right="2456"/>
              <w:spacing w:after="0"/>
              <w:rPr>
                <w:sz w:val="20"/>
                <w:szCs w:val="20"/>
                <w:color w:val="auto"/>
              </w:rPr>
            </w:pPr>
            <w:r>
              <w:rPr>
                <w:rFonts w:ascii="Arial" w:cs="Arial" w:eastAsia="Arial" w:hAnsi="Arial"/>
                <w:sz w:val="13"/>
                <w:szCs w:val="13"/>
                <w:color w:val="auto"/>
                <w:w w:val="99"/>
              </w:rPr>
              <w:t>Federal</w:t>
            </w:r>
          </w:p>
        </w:tc>
        <w:tc>
          <w:tcPr>
            <w:tcW w:w="2840" w:type="dxa"/>
            <w:vAlign w:val="bottom"/>
            <w:gridSpan w:val="2"/>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jc w:val="center"/>
              <w:ind w:right="2496"/>
              <w:spacing w:after="0"/>
              <w:rPr>
                <w:sz w:val="20"/>
                <w:szCs w:val="20"/>
                <w:color w:val="auto"/>
              </w:rPr>
            </w:pPr>
            <w:r>
              <w:rPr>
                <w:rFonts w:ascii="Arial" w:cs="Arial" w:eastAsia="Arial" w:hAnsi="Arial"/>
                <w:sz w:val="13"/>
                <w:szCs w:val="13"/>
                <w:b w:val="1"/>
                <w:bCs w:val="1"/>
                <w:color w:val="auto"/>
                <w:w w:val="89"/>
              </w:rPr>
              <w:t>Deferred:</w:t>
            </w:r>
          </w:p>
        </w:tc>
        <w:tc>
          <w:tcPr>
            <w:tcW w:w="20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tcPr>
          <w:p>
            <w:pPr>
              <w:jc w:val="center"/>
              <w:ind w:right="2456"/>
              <w:spacing w:after="0"/>
              <w:rPr>
                <w:sz w:val="20"/>
                <w:szCs w:val="20"/>
                <w:color w:val="auto"/>
              </w:rPr>
            </w:pPr>
            <w:r>
              <w:rPr>
                <w:rFonts w:ascii="Arial" w:cs="Arial" w:eastAsia="Arial" w:hAnsi="Arial"/>
                <w:sz w:val="13"/>
                <w:szCs w:val="13"/>
                <w:color w:val="auto"/>
                <w:w w:val="99"/>
              </w:rPr>
              <w:t>Federal</w:t>
            </w: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4,342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3,962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1,187</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20" w:type="dxa"/>
            <w:vAlign w:val="bottom"/>
            <w:shd w:val="clear" w:color="auto" w:fill="CCEEFF"/>
          </w:tcPr>
          <w:p>
            <w:pPr>
              <w:spacing w:after="0"/>
              <w:rPr>
                <w:sz w:val="14"/>
                <w:szCs w:val="14"/>
                <w:color w:val="auto"/>
              </w:rPr>
            </w:pPr>
          </w:p>
        </w:tc>
      </w:tr>
      <w:tr>
        <w:trPr>
          <w:trHeight w:val="151"/>
        </w:trPr>
        <w:tc>
          <w:tcPr>
            <w:tcW w:w="3120" w:type="dxa"/>
            <w:vAlign w:val="bottom"/>
            <w:gridSpan w:val="2"/>
          </w:tcPr>
          <w:p>
            <w:pPr>
              <w:spacing w:after="0"/>
              <w:rPr>
                <w:sz w:val="20"/>
                <w:szCs w:val="20"/>
                <w:color w:val="auto"/>
              </w:rPr>
            </w:pPr>
            <w:r>
              <w:rPr>
                <w:rFonts w:ascii="Arial" w:cs="Arial" w:eastAsia="Arial" w:hAnsi="Arial"/>
                <w:sz w:val="13"/>
                <w:szCs w:val="13"/>
                <w:color w:val="auto"/>
              </w:rPr>
              <w:t>Total deferred</w:t>
            </w:r>
          </w:p>
        </w:tc>
        <w:tc>
          <w:tcPr>
            <w:tcW w:w="20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5,529</w:t>
            </w: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4,849</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84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4,849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actual income tax expense for the nine months ended September 30, 2022 and 2021 differs from the statutory tax expense for the period (computed by applying the U.S. federal corporate tax rate of 21% for 2022 and 2021 to income before provision for income taxes) as follows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56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12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4,460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4,258</w:t>
            </w: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923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 w:type="dxa"/>
            <w:vAlign w:val="bottom"/>
            <w:shd w:val="clear" w:color="auto" w:fill="CCEEFF"/>
          </w:tcPr>
          <w:p>
            <w:pPr>
              <w:spacing w:after="0"/>
              <w:rPr>
                <w:sz w:val="14"/>
                <w:szCs w:val="14"/>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348</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12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4,849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8"/>
              </w:rPr>
              <w:t>September 30, 2022</w:t>
            </w:r>
          </w:p>
        </w:tc>
        <w:tc>
          <w:tcPr>
            <w:tcW w:w="40" w:type="dxa"/>
            <w:vAlign w:val="bottom"/>
          </w:tcPr>
          <w:p>
            <w:pPr>
              <w:spacing w:after="0"/>
              <w:rPr>
                <w:sz w:val="13"/>
                <w:szCs w:val="13"/>
                <w:color w:val="auto"/>
              </w:rPr>
            </w:pPr>
          </w:p>
        </w:tc>
        <w:tc>
          <w:tcPr>
            <w:tcW w:w="132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0" w:type="dxa"/>
            <w:vAlign w:val="bottom"/>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Net operating loss</w:t>
            </w:r>
          </w:p>
        </w:tc>
        <w:tc>
          <w:tcPr>
            <w:tcW w:w="1560" w:type="dxa"/>
            <w:vAlign w:val="bottom"/>
            <w:gridSpan w:val="2"/>
          </w:tcPr>
          <w:p>
            <w:pPr>
              <w:jc w:val="right"/>
              <w:ind w:right="3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23,580</w:t>
            </w:r>
          </w:p>
        </w:tc>
        <w:tc>
          <w:tcPr>
            <w:tcW w:w="48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28,819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Allowance for credit losses</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4,208</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3,816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Lease liability</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3,418</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losses on available for sale securities</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15,345</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Deferred loan fees</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Depreciable property</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Stock option compensation</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332</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Accruals</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467</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net</w:t>
            </w:r>
          </w:p>
        </w:tc>
        <w:tc>
          <w:tcPr>
            <w:tcW w:w="1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r>
      <w:tr>
        <w:trPr>
          <w:trHeight w:val="151"/>
        </w:trPr>
        <w:tc>
          <w:tcPr>
            <w:tcW w:w="60" w:type="dxa"/>
            <w:vAlign w:val="bottom"/>
            <w:gridSpan w:val="2"/>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47,520</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38,651</w:t>
            </w:r>
          </w:p>
        </w:tc>
        <w:tc>
          <w:tcPr>
            <w:tcW w:w="20" w:type="dxa"/>
            <w:vAlign w:val="bottom"/>
            <w:shd w:val="clear" w:color="auto" w:fill="CCEEFF"/>
          </w:tcPr>
          <w:p>
            <w:pPr>
              <w:spacing w:after="0"/>
              <w:rPr>
                <w:sz w:val="13"/>
                <w:szCs w:val="13"/>
                <w:color w:val="auto"/>
              </w:rPr>
            </w:pPr>
          </w:p>
        </w:tc>
      </w:tr>
      <w:tr>
        <w:trPr>
          <w:trHeight w:val="171"/>
        </w:trPr>
        <w:tc>
          <w:tcPr>
            <w:tcW w:w="396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40"/>
              <w:spacing w:after="0"/>
              <w:rPr>
                <w:sz w:val="20"/>
                <w:szCs w:val="20"/>
                <w:color w:val="auto"/>
              </w:rPr>
            </w:pPr>
            <w:r>
              <w:rPr>
                <w:rFonts w:ascii="Arial" w:cs="Arial" w:eastAsia="Arial" w:hAnsi="Arial"/>
                <w:sz w:val="13"/>
                <w:szCs w:val="13"/>
                <w:color w:val="auto"/>
              </w:rPr>
              <w:t>Lease right of use asset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(3,418)</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expenses</w:t>
            </w:r>
          </w:p>
        </w:tc>
        <w:tc>
          <w:tcPr>
            <w:tcW w:w="1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0" w:type="dxa"/>
            <w:vAlign w:val="bottom"/>
            <w:shd w:val="clear" w:color="auto" w:fill="CCEEFF"/>
          </w:tcPr>
          <w:p>
            <w:pPr>
              <w:spacing w:after="0"/>
              <w:rPr>
                <w:sz w:val="14"/>
                <w:szCs w:val="14"/>
                <w:color w:val="auto"/>
              </w:rPr>
            </w:pPr>
          </w:p>
        </w:tc>
      </w:tr>
      <w:tr>
        <w:trPr>
          <w:trHeight w:val="151"/>
        </w:trPr>
        <w:tc>
          <w:tcPr>
            <w:tcW w:w="3960" w:type="dxa"/>
            <w:vAlign w:val="bottom"/>
            <w:gridSpan w:val="3"/>
          </w:tcPr>
          <w:p>
            <w:pPr>
              <w:spacing w:after="0"/>
              <w:rPr>
                <w:sz w:val="20"/>
                <w:szCs w:val="20"/>
                <w:color w:val="auto"/>
              </w:rPr>
            </w:pPr>
            <w:r>
              <w:rPr>
                <w:rFonts w:ascii="Arial" w:cs="Arial" w:eastAsia="Arial" w:hAnsi="Arial"/>
                <w:sz w:val="13"/>
                <w:szCs w:val="13"/>
                <w:color w:val="auto"/>
              </w:rPr>
              <w:t>Deferred tax liability</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(3,592)</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(3,722)</w:t>
            </w:r>
          </w:p>
        </w:tc>
        <w:tc>
          <w:tcPr>
            <w:tcW w:w="20" w:type="dxa"/>
            <w:vAlign w:val="bottom"/>
          </w:tcPr>
          <w:p>
            <w:pPr>
              <w:spacing w:after="0"/>
              <w:rPr>
                <w:sz w:val="13"/>
                <w:szCs w:val="13"/>
                <w:color w:val="auto"/>
              </w:rPr>
            </w:pPr>
          </w:p>
        </w:tc>
      </w:tr>
      <w:tr>
        <w:trPr>
          <w:trHeight w:val="171"/>
        </w:trPr>
        <w:tc>
          <w:tcPr>
            <w:tcW w:w="60" w:type="dxa"/>
            <w:vAlign w:val="bottom"/>
            <w:gridSpan w:val="2"/>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3"/>
                <w:szCs w:val="13"/>
                <w:color w:val="auto"/>
              </w:rPr>
              <w:t>Net deferred tax assets</w:t>
            </w:r>
          </w:p>
        </w:tc>
        <w:tc>
          <w:tcPr>
            <w:tcW w:w="1560" w:type="dxa"/>
            <w:vAlign w:val="bottom"/>
            <w:gridSpan w:val="2"/>
          </w:tcPr>
          <w:p>
            <w:pPr>
              <w:jc w:val="right"/>
              <w:ind w:right="3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43,928</w:t>
            </w:r>
          </w:p>
        </w:tc>
        <w:tc>
          <w:tcPr>
            <w:tcW w:w="48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34,929</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The Company has approximately $89.1 million of federal and $111.9 million of state net operating loss carryforwards expiring in various amounts between 2031 and 2036 and which are limited to offset, to the extent permitted, future taxable earnings of the Company.</w:t>
      </w:r>
    </w:p>
    <w:p>
      <w:pPr>
        <w:spacing w:after="0" w:line="142"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w:t>
      </w:r>
    </w:p>
    <w:p>
      <w:pPr>
        <w:spacing w:after="0" w:line="2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719"/>
        <w:spacing w:after="0" w:line="253" w:lineRule="auto"/>
        <w:rPr>
          <w:sz w:val="20"/>
          <w:szCs w:val="20"/>
          <w:color w:val="auto"/>
        </w:rPr>
      </w:pPr>
      <w:r>
        <w:rPr>
          <w:rFonts w:ascii="Arial" w:cs="Arial" w:eastAsia="Arial" w:hAnsi="Arial"/>
          <w:sz w:val="14"/>
          <w:szCs w:val="14"/>
          <w:color w:val="auto"/>
        </w:rPr>
        <w:t>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42"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2018.</w:t>
      </w:r>
    </w:p>
    <w:p>
      <w:pPr>
        <w:spacing w:after="0" w:line="152"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For the three months ended September 30, 2022 and 2021, the Company did not have any unrecognized tax benefits as a result of tax positions taken during a prior period or during the current period. Additionally, no interest or penalties were recorded as a result of tax uncertainties.</w:t>
      </w:r>
    </w:p>
    <w:p>
      <w:pPr>
        <w:spacing w:after="0" w:line="140" w:lineRule="exact"/>
        <w:rPr>
          <w:sz w:val="20"/>
          <w:szCs w:val="20"/>
          <w:color w:val="auto"/>
        </w:rPr>
      </w:pPr>
    </w:p>
    <w:p>
      <w:pPr>
        <w:ind w:left="1020" w:hanging="378"/>
        <w:spacing w:after="0"/>
        <w:tabs>
          <w:tab w:leader="none" w:pos="10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20"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4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September 30, 2022 and December 31, 2021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b w:val="1"/>
                <w:bCs w:val="1"/>
                <w:color w:val="auto"/>
                <w:w w:val="98"/>
              </w:rPr>
              <w:t>September 30, 2022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9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Commitments to grant loans and unfunded lines of credit</w:t>
            </w:r>
          </w:p>
        </w:tc>
        <w:tc>
          <w:tcPr>
            <w:tcW w:w="8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119,830</w:t>
            </w:r>
          </w:p>
        </w:tc>
        <w:tc>
          <w:tcPr>
            <w:tcW w:w="1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2"/>
                <w:szCs w:val="12"/>
                <w:color w:val="auto"/>
              </w:rPr>
            </w:pPr>
          </w:p>
        </w:tc>
      </w:tr>
      <w:tr>
        <w:trPr>
          <w:trHeight w:val="160"/>
        </w:trPr>
        <w:tc>
          <w:tcPr>
            <w:tcW w:w="40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right"/>
              <w:ind w:right="16"/>
              <w:spacing w:after="0"/>
              <w:rPr>
                <w:sz w:val="20"/>
                <w:szCs w:val="20"/>
                <w:color w:val="auto"/>
              </w:rPr>
            </w:pPr>
            <w:r>
              <w:rPr>
                <w:rFonts w:ascii="Arial" w:cs="Arial" w:eastAsia="Arial" w:hAnsi="Arial"/>
                <w:sz w:val="13"/>
                <w:szCs w:val="13"/>
                <w:color w:val="auto"/>
              </w:rPr>
              <w:t>5,413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125,243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141,297</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42"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8"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2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exposure . The notional amount of the interest rate swaps do not represent actual amounts exchanged by the parties. The amounts exchanged are determined by reference to the notional amount and the other terms of the individual interest rate swap agreements.</w:t>
      </w:r>
    </w:p>
    <w:p>
      <w:pPr>
        <w:spacing w:after="0" w:line="156" w:lineRule="exact"/>
        <w:rPr>
          <w:sz w:val="20"/>
          <w:szCs w:val="20"/>
          <w:color w:val="auto"/>
        </w:rPr>
      </w:pPr>
    </w:p>
    <w:p>
      <w:pPr>
        <w:jc w:val="both"/>
        <w:ind w:left="640" w:right="679" w:firstLine="256"/>
        <w:spacing w:after="0" w:line="246" w:lineRule="auto"/>
        <w:rPr>
          <w:sz w:val="20"/>
          <w:szCs w:val="20"/>
          <w:color w:val="auto"/>
        </w:rPr>
      </w:pPr>
      <w:r>
        <w:rPr>
          <w:rFonts w:ascii="Arial" w:cs="Arial" w:eastAsia="Arial" w:hAnsi="Arial"/>
          <w:sz w:val="14"/>
          <w:szCs w:val="14"/>
          <w:color w:val="auto"/>
        </w:rPr>
        <w:t>The Company enters into interest rate swaps with its loan customers. The Company had 16 and 18 interest rate swaps with loan customers with an aggregate notional amount of $34.6 million and $39.2 million at September 30, 2022 and December 31, 2021,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2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4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Company’s customer-related interest rate swaps at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3"/>
                <w:szCs w:val="13"/>
                <w:color w:val="auto"/>
              </w:rPr>
            </w:pPr>
          </w:p>
        </w:tc>
        <w:tc>
          <w:tcPr>
            <w:tcW w:w="7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Asset</w:t>
            </w: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02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September 30, 2022: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34,635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02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39,156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2"/>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1,434</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20" w:hanging="378"/>
        <w:spacing w:after="0"/>
        <w:tabs>
          <w:tab w:leader="none" w:pos="10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88"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24"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2" w:lineRule="exact"/>
        <w:rPr>
          <w:sz w:val="20"/>
          <w:szCs w:val="20"/>
          <w:color w:val="auto"/>
        </w:rPr>
      </w:pPr>
    </w:p>
    <w:p>
      <w:pPr>
        <w:jc w:val="both"/>
        <w:ind w:left="1160" w:right="71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9"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ind w:left="640" w:right="719" w:firstLine="256"/>
        <w:spacing w:after="0" w:line="279"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ind w:left="640"/>
        <w:spacing w:after="0"/>
        <w:rPr>
          <w:sz w:val="20"/>
          <w:szCs w:val="20"/>
          <w:color w:val="auto"/>
        </w:rPr>
      </w:pPr>
      <w:r>
        <w:rPr>
          <w:rFonts w:ascii="Arial" w:cs="Arial" w:eastAsia="Arial" w:hAnsi="Arial"/>
          <w:sz w:val="14"/>
          <w:szCs w:val="14"/>
          <w:color w:val="auto"/>
        </w:rPr>
        <w:t>September 30, 2022 and December 31, 2021 for each of the fair value hierarchy levels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September 30, 2022</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3"/>
                <w:szCs w:val="13"/>
                <w:b w:val="1"/>
                <w:bCs w:val="1"/>
                <w:color w:val="auto"/>
              </w:rPr>
              <w:t>December 31, 2021</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32"/>
              <w:spacing w:after="0"/>
              <w:rPr>
                <w:sz w:val="20"/>
                <w:szCs w:val="20"/>
                <w:color w:val="auto"/>
              </w:rPr>
            </w:pPr>
            <w:r>
              <w:rPr>
                <w:rFonts w:ascii="Arial" w:cs="Arial" w:eastAsia="Arial" w:hAnsi="Arial"/>
                <w:sz w:val="13"/>
                <w:szCs w:val="13"/>
                <w:b w:val="1"/>
                <w:bCs w:val="1"/>
                <w:color w:val="auto"/>
                <w:w w:val="90"/>
              </w:rPr>
              <w:t>Level 1</w:t>
            </w: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4"/>
                <w:szCs w:val="1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Level 3</w:t>
            </w: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U.S. Government Agency</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9,028</w:t>
            </w:r>
          </w:p>
        </w:tc>
        <w:tc>
          <w:tcPr>
            <w:tcW w:w="260" w:type="dxa"/>
            <w:vAlign w:val="bottom"/>
            <w:gridSpan w:val="2"/>
          </w:tcPr>
          <w:p>
            <w:pPr>
              <w:jc w:val="right"/>
              <w:ind w:right="141"/>
              <w:spacing w:after="0"/>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9,028</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10,520</w:t>
            </w:r>
          </w:p>
        </w:tc>
        <w:tc>
          <w:tcPr>
            <w:tcW w:w="260" w:type="dxa"/>
            <w:vAlign w:val="bottom"/>
            <w:gridSpan w:val="2"/>
          </w:tcPr>
          <w:p>
            <w:pPr>
              <w:jc w:val="right"/>
              <w:ind w:right="135"/>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10,520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100,048</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100,048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156,829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76,707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76,707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118,842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118,842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Mortgage-backed securities - commercial</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26,935</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26,935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50,117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18,629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18,629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24,276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24,276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13,562</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13,562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28,408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3,662</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3,662</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12,550</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248,571</w:t>
            </w:r>
          </w:p>
        </w:tc>
        <w:tc>
          <w:tcPr>
            <w:tcW w:w="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248,571</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401,542</w:t>
            </w:r>
          </w:p>
        </w:tc>
        <w:tc>
          <w:tcPr>
            <w:tcW w:w="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401,542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5,254</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5,254</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1,434</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253,825</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253,825</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402,976</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402,976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Derivative liabilities</w:t>
            </w:r>
          </w:p>
        </w:tc>
        <w:tc>
          <w:tcPr>
            <w:tcW w:w="300" w:type="dxa"/>
            <w:vAlign w:val="bottom"/>
            <w:gridSpan w:val="2"/>
          </w:tcPr>
          <w:p>
            <w:pPr>
              <w:jc w:val="right"/>
              <w:ind w:right="116"/>
              <w:spacing w:after="0" w:line="121"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5,254</w:t>
            </w:r>
          </w:p>
        </w:tc>
        <w:tc>
          <w:tcPr>
            <w:tcW w:w="260" w:type="dxa"/>
            <w:vAlign w:val="bottom"/>
            <w:gridSpan w:val="2"/>
          </w:tcPr>
          <w:p>
            <w:pPr>
              <w:jc w:val="right"/>
              <w:ind w:right="141"/>
              <w:spacing w:after="0" w:line="121" w:lineRule="exact"/>
              <w:rPr>
                <w:sz w:val="20"/>
                <w:szCs w:val="20"/>
                <w:color w:val="auto"/>
              </w:rPr>
            </w:pPr>
            <w:r>
              <w:rPr>
                <w:rFonts w:ascii="Arial" w:cs="Arial" w:eastAsia="Arial" w:hAnsi="Arial"/>
                <w:sz w:val="13"/>
                <w:szCs w:val="13"/>
                <w:color w:val="auto"/>
                <w:w w:val="82"/>
              </w:rPr>
              <w:t>$</w:t>
            </w:r>
          </w:p>
        </w:tc>
        <w:tc>
          <w:tcPr>
            <w:tcW w:w="42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5,254</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60" w:type="dxa"/>
            <w:vAlign w:val="bottom"/>
            <w:gridSpan w:val="2"/>
          </w:tcPr>
          <w:p>
            <w:pPr>
              <w:jc w:val="right"/>
              <w:ind w:right="135"/>
              <w:spacing w:after="0" w:line="121"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4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vMerge w:val="continue"/>
          </w:tcPr>
          <w:p>
            <w:pPr>
              <w:spacing w:after="0"/>
              <w:rPr>
                <w:sz w:val="14"/>
                <w:szCs w:val="14"/>
                <w:color w:val="auto"/>
              </w:rPr>
            </w:pPr>
          </w:p>
        </w:tc>
        <w:tc>
          <w:tcPr>
            <w:tcW w:w="2460" w:type="dxa"/>
            <w:vAlign w:val="bottom"/>
            <w:vMerge w:val="continue"/>
            <w:shd w:val="clear" w:color="auto" w:fill="CCEEFF"/>
          </w:tcPr>
          <w:p>
            <w:pPr>
              <w:spacing w:after="0"/>
              <w:rPr>
                <w:sz w:val="14"/>
                <w:szCs w:val="14"/>
                <w:color w:val="auto"/>
              </w:rPr>
            </w:pP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5,254</w:t>
            </w:r>
          </w:p>
        </w:tc>
        <w:tc>
          <w:tcPr>
            <w:tcW w:w="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41"/>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5,254</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60" w:type="dxa"/>
            <w:vAlign w:val="bottom"/>
            <w:gridSpan w:val="2"/>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Impaired Loans: </w:t>
      </w:r>
      <w:r>
        <w:rPr>
          <w:rFonts w:ascii="Arial" w:cs="Arial" w:eastAsia="Arial" w:hAnsi="Arial"/>
          <w:sz w:val="14"/>
          <w:szCs w:val="14"/>
          <w:color w:val="auto"/>
        </w:rPr>
        <w:t>At September 30, 2022 and December 31, 2021, in accordance with provisions of the loan impairment</w:t>
      </w:r>
      <w:r>
        <w:rPr>
          <w:rFonts w:ascii="Arial" w:cs="Arial" w:eastAsia="Arial" w:hAnsi="Arial"/>
          <w:sz w:val="14"/>
          <w:szCs w:val="14"/>
          <w:b w:val="1"/>
          <w:bCs w:val="1"/>
          <w:color w:val="auto"/>
        </w:rPr>
        <w:t xml:space="preserve"> </w:t>
      </w:r>
      <w:r>
        <w:rPr>
          <w:rFonts w:ascii="Arial" w:cs="Arial" w:eastAsia="Arial" w:hAnsi="Arial"/>
          <w:sz w:val="14"/>
          <w:szCs w:val="14"/>
          <w:color w:val="auto"/>
        </w:rPr>
        <w:t>guidance, individual loans with a carrying amount of approximately $4.0 million and $4.4 million, respectively, were written down to their fair value of approximately $3.7 million and $4.0 million, respectively, resulting in an impairment charge of $309 thousand and $360 thousand, respectively, which was included in the allowance for credit losses at September 30, 2022 and December 31, 2021, respectively. Loans subject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is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September 30, 2022 and December 31, 2021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September 30, 2022:</w:t>
            </w:r>
          </w:p>
        </w:tc>
        <w:tc>
          <w:tcPr>
            <w:tcW w:w="1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Impaired loans</w:t>
            </w:r>
          </w:p>
        </w:tc>
        <w:tc>
          <w:tcPr>
            <w:tcW w:w="1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3,669</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3,669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September 30, 2022 and December 31,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4"/>
                <w:szCs w:val="14"/>
                <w:color w:val="auto"/>
              </w:rPr>
            </w:pPr>
          </w:p>
        </w:tc>
        <w:tc>
          <w:tcPr>
            <w:tcW w:w="3320" w:type="dxa"/>
            <w:vAlign w:val="bottom"/>
            <w:gridSpan w:val="2"/>
          </w:tcPr>
          <w:p>
            <w:pPr>
              <w:ind w:left="940"/>
              <w:spacing w:after="0"/>
              <w:rPr>
                <w:sz w:val="20"/>
                <w:szCs w:val="20"/>
                <w:color w:val="auto"/>
              </w:rPr>
            </w:pPr>
            <w:r>
              <w:rPr>
                <w:rFonts w:ascii="Arial" w:cs="Arial" w:eastAsia="Arial" w:hAnsi="Arial"/>
                <w:sz w:val="13"/>
                <w:szCs w:val="13"/>
                <w:b w:val="1"/>
                <w:bCs w:val="1"/>
                <w:color w:val="auto"/>
              </w:rPr>
              <w:t>Unobservable Input(s)</w:t>
            </w:r>
          </w:p>
        </w:tc>
      </w:tr>
      <w:tr>
        <w:trPr>
          <w:trHeight w:val="151"/>
        </w:trPr>
        <w:tc>
          <w:tcPr>
            <w:tcW w:w="40" w:type="dxa"/>
            <w:vAlign w:val="bottom"/>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2022:</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3,523</w:t>
            </w:r>
          </w:p>
        </w:tc>
        <w:tc>
          <w:tcPr>
            <w:tcW w:w="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Consumer and other loans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4"/>
                <w:szCs w:val="14"/>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61"/>
        </w:trPr>
        <w:tc>
          <w:tcPr>
            <w:tcW w:w="40" w:type="dxa"/>
            <w:vAlign w:val="bottom"/>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impaired loans</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3,807</w:t>
            </w:r>
          </w:p>
        </w:tc>
        <w:tc>
          <w:tcPr>
            <w:tcW w:w="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3"/>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71"/>
        </w:trPr>
        <w:tc>
          <w:tcPr>
            <w:tcW w:w="1600" w:type="dxa"/>
            <w:vAlign w:val="bottom"/>
            <w:gridSpan w:val="2"/>
          </w:tcPr>
          <w:p>
            <w:pPr>
              <w:spacing w:after="0"/>
              <w:rPr>
                <w:sz w:val="20"/>
                <w:szCs w:val="20"/>
                <w:color w:val="auto"/>
              </w:rPr>
            </w:pPr>
            <w:r>
              <w:rPr>
                <w:rFonts w:ascii="Arial" w:cs="Arial" w:eastAsia="Arial" w:hAnsi="Arial"/>
                <w:sz w:val="13"/>
                <w:szCs w:val="13"/>
                <w:color w:val="auto"/>
              </w:rPr>
              <w:t>Consumer and other loans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4"/>
                <w:szCs w:val="14"/>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61"/>
        </w:trPr>
        <w:tc>
          <w:tcPr>
            <w:tcW w:w="40" w:type="dxa"/>
            <w:vAlign w:val="bottom"/>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impaired loans</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There were no financial liabilities measured at fair value on a non-recurring basis at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September 30, 2022 and December 31, 2021 (in thousands):</w:t>
      </w:r>
    </w:p>
    <w:p>
      <w:pPr>
        <w:sectPr>
          <w:pgSz w:w="11900" w:h="16838" w:orient="portrait"/>
          <w:cols w:equalWidth="0" w:num="1">
            <w:col w:w="9019"/>
          </w:cols>
          <w:pgMar w:left="1440" w:top="490" w:right="1440" w:bottom="1440" w:gutter="0" w:footer="0" w:header="0"/>
        </w:sectPr>
      </w:pPr>
    </w:p>
    <w:p>
      <w:pPr>
        <w:spacing w:after="0" w:line="37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3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September 30, 2022:</w:t>
            </w:r>
          </w:p>
        </w:tc>
        <w:tc>
          <w:tcPr>
            <w:tcW w:w="360" w:type="dxa"/>
            <w:vAlign w:val="bottom"/>
            <w:tcBorders>
              <w:right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left w:val="single" w:sz="8" w:color="CCEEFF"/>
            </w:tcBorders>
          </w:tcPr>
          <w:p>
            <w:pPr>
              <w:spacing w:after="0"/>
              <w:rPr>
                <w:sz w:val="13"/>
                <w:szCs w:val="13"/>
                <w:color w:val="auto"/>
              </w:rPr>
            </w:pPr>
          </w:p>
        </w:tc>
      </w:tr>
      <w:tr>
        <w:trPr>
          <w:trHeight w:val="177"/>
        </w:trPr>
        <w:tc>
          <w:tcPr>
            <w:tcW w:w="2520" w:type="dxa"/>
            <w:vAlign w:val="bottom"/>
            <w:gridSpan w:val="3"/>
          </w:tcPr>
          <w:p>
            <w:pPr>
              <w:spacing w:after="0"/>
              <w:rPr>
                <w:sz w:val="20"/>
                <w:szCs w:val="20"/>
                <w:color w:val="auto"/>
              </w:rPr>
            </w:pPr>
            <w:r>
              <w:rPr>
                <w:rFonts w:ascii="Arial" w:cs="Arial" w:eastAsia="Arial" w:hAnsi="Arial"/>
                <w:sz w:val="13"/>
                <w:szCs w:val="13"/>
                <w:color w:val="auto"/>
              </w:rPr>
              <w:t>Financial Assets: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4"/>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67,351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178,865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1,414,909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6,568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87"/>
        </w:trPr>
        <w:tc>
          <w:tcPr>
            <w:tcW w:w="2520" w:type="dxa"/>
            <w:vAlign w:val="bottom"/>
            <w:gridSpan w:val="3"/>
          </w:tcPr>
          <w:p>
            <w:pPr>
              <w:spacing w:after="0"/>
              <w:rPr>
                <w:sz w:val="20"/>
                <w:szCs w:val="20"/>
                <w:color w:val="auto"/>
              </w:rPr>
            </w:pPr>
            <w:r>
              <w:rPr>
                <w:rFonts w:ascii="Arial" w:cs="Arial" w:eastAsia="Arial" w:hAnsi="Arial"/>
                <w:sz w:val="13"/>
                <w:szCs w:val="13"/>
                <w:color w:val="auto"/>
              </w:rPr>
              <w:t>Financial Liabilities: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4"/>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Demand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662,808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851,727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63,721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218,386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FHLB advances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26,000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520" w:type="dxa"/>
            <w:vAlign w:val="bottom"/>
            <w:gridSpan w:val="3"/>
          </w:tcPr>
          <w:p>
            <w:pPr>
              <w:spacing w:after="0"/>
              <w:rPr>
                <w:sz w:val="20"/>
                <w:szCs w:val="20"/>
                <w:color w:val="auto"/>
              </w:rPr>
            </w:pPr>
            <w:r>
              <w:rPr>
                <w:rFonts w:ascii="Arial" w:cs="Arial" w:eastAsia="Arial" w:hAnsi="Arial"/>
                <w:sz w:val="13"/>
                <w:szCs w:val="13"/>
                <w:b w:val="1"/>
                <w:bCs w:val="1"/>
                <w:color w:val="auto"/>
              </w:rPr>
              <w:t>December 31, 2021: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520" w:type="dxa"/>
            <w:vAlign w:val="bottom"/>
            <w:gridSpan w:val="3"/>
          </w:tcPr>
          <w:p>
            <w:pPr>
              <w:spacing w:after="0"/>
              <w:rPr>
                <w:sz w:val="20"/>
                <w:szCs w:val="20"/>
                <w:color w:val="auto"/>
              </w:rPr>
            </w:pPr>
            <w:r>
              <w:rPr>
                <w:rFonts w:ascii="Arial" w:cs="Arial" w:eastAsia="Arial" w:hAnsi="Arial"/>
                <w:sz w:val="13"/>
                <w:szCs w:val="13"/>
                <w:color w:val="auto"/>
              </w:rPr>
              <w:t>Financial Assets: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4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39,751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122,658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1,175,024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8"/>
        </w:trPr>
        <w:tc>
          <w:tcPr>
            <w:tcW w:w="40" w:type="dxa"/>
            <w:vAlign w:val="bottom"/>
          </w:tcPr>
          <w:p>
            <w:pPr>
              <w:spacing w:after="0"/>
              <w:rPr>
                <w:sz w:val="17"/>
                <w:szCs w:val="17"/>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54"/>
        </w:trPr>
        <w:tc>
          <w:tcPr>
            <w:tcW w:w="2520" w:type="dxa"/>
            <w:vAlign w:val="bottom"/>
            <w:gridSpan w:val="3"/>
          </w:tcPr>
          <w:p>
            <w:pPr>
              <w:spacing w:after="0"/>
              <w:rPr>
                <w:sz w:val="20"/>
                <w:szCs w:val="20"/>
                <w:color w:val="auto"/>
              </w:rPr>
            </w:pPr>
            <w:r>
              <w:rPr>
                <w:rFonts w:ascii="Arial" w:cs="Arial" w:eastAsia="Arial" w:hAnsi="Arial"/>
                <w:sz w:val="13"/>
                <w:szCs w:val="13"/>
                <w:color w:val="auto"/>
              </w:rPr>
              <w:t>Financial Liabilities:</w:t>
            </w:r>
          </w:p>
        </w:tc>
        <w:tc>
          <w:tcPr>
            <w:tcW w:w="36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81"/>
        </w:trPr>
        <w:tc>
          <w:tcPr>
            <w:tcW w:w="4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Demand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703,856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225,200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92"/>
        </w:trPr>
        <w:tc>
          <w:tcPr>
            <w:tcW w:w="4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Arial" w:cs="Arial" w:eastAsia="Arial" w:hAnsi="Arial"/>
                <w:sz w:val="13"/>
                <w:szCs w:val="13"/>
                <w:color w:val="auto"/>
              </w:rPr>
              <w:t>FHLB advances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36,000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7"/>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r>
      <w:tr>
        <w:trPr>
          <w:trHeight w:val="155"/>
        </w:trPr>
        <w:tc>
          <w:tcPr>
            <w:tcW w:w="760" w:type="dxa"/>
            <w:vAlign w:val="bottom"/>
          </w:tcPr>
          <w:p>
            <w:pPr>
              <w:jc w:val="right"/>
              <w:ind w:right="256"/>
              <w:spacing w:after="0"/>
              <w:rPr>
                <w:sz w:val="20"/>
                <w:szCs w:val="20"/>
                <w:color w:val="auto"/>
              </w:rPr>
            </w:pPr>
            <w:r>
              <w:rPr>
                <w:rFonts w:ascii="Arial" w:cs="Arial" w:eastAsia="Arial" w:hAnsi="Arial"/>
                <w:sz w:val="13"/>
                <w:szCs w:val="13"/>
                <w:b w:val="1"/>
                <w:bCs w:val="1"/>
                <w:color w:val="auto"/>
                <w:w w:val="95"/>
              </w:rPr>
              <w:t>Level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r>
      <w:tr>
        <w:trPr>
          <w:trHeight w:val="149"/>
        </w:trPr>
        <w:tc>
          <w:tcPr>
            <w:tcW w:w="760" w:type="dxa"/>
            <w:vAlign w:val="bottom"/>
            <w:tcBorders>
              <w:right w:val="single" w:sz="8" w:color="CCEEFF"/>
            </w:tcBorders>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341"/>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5,975</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24"/>
                <w:szCs w:val="24"/>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67,351</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67,351</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159,739</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159,739</w:t>
            </w:r>
          </w:p>
        </w:tc>
        <w:tc>
          <w:tcPr>
            <w:tcW w:w="20" w:type="dxa"/>
            <w:vAlign w:val="bottom"/>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1,366,891</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1,366,891</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1,278</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5,290</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6,568</w:t>
            </w:r>
          </w:p>
        </w:tc>
        <w:tc>
          <w:tcPr>
            <w:tcW w:w="20" w:type="dxa"/>
            <w:vAlign w:val="bottom"/>
          </w:tcPr>
          <w:p>
            <w:pPr>
              <w:spacing w:after="0"/>
              <w:rPr>
                <w:sz w:val="13"/>
                <w:szCs w:val="13"/>
                <w:color w:val="auto"/>
              </w:rPr>
            </w:pPr>
          </w:p>
        </w:tc>
      </w:tr>
      <w:tr>
        <w:trPr>
          <w:trHeight w:val="341"/>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662,808</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662,808</w:t>
            </w:r>
          </w:p>
        </w:tc>
        <w:tc>
          <w:tcPr>
            <w:tcW w:w="20" w:type="dxa"/>
            <w:vAlign w:val="bottom"/>
          </w:tcPr>
          <w:p>
            <w:pPr>
              <w:spacing w:after="0"/>
              <w:rPr>
                <w:sz w:val="24"/>
                <w:szCs w:val="24"/>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851,727</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851,727</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63,721</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63,721</w:t>
            </w:r>
          </w:p>
        </w:tc>
        <w:tc>
          <w:tcPr>
            <w:tcW w:w="20" w:type="dxa"/>
            <w:vAlign w:val="bottom"/>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212,450</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212,450</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24,505</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24,505</w:t>
            </w:r>
          </w:p>
        </w:tc>
        <w:tc>
          <w:tcPr>
            <w:tcW w:w="20" w:type="dxa"/>
            <w:vAlign w:val="bottom"/>
          </w:tcPr>
          <w:p>
            <w:pPr>
              <w:spacing w:after="0"/>
              <w:rPr>
                <w:sz w:val="13"/>
                <w:szCs w:val="13"/>
                <w:color w:val="auto"/>
              </w:rPr>
            </w:pPr>
          </w:p>
        </w:tc>
      </w:tr>
      <w:tr>
        <w:trPr>
          <w:trHeight w:val="190"/>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20</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30</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79</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129</w:t>
            </w:r>
          </w:p>
        </w:tc>
        <w:tc>
          <w:tcPr>
            <w:tcW w:w="20" w:type="dxa"/>
            <w:vAlign w:val="bottom"/>
          </w:tcPr>
          <w:p>
            <w:pPr>
              <w:spacing w:after="0"/>
              <w:rPr>
                <w:sz w:val="16"/>
                <w:szCs w:val="16"/>
                <w:color w:val="auto"/>
              </w:rPr>
            </w:pPr>
          </w:p>
        </w:tc>
      </w:tr>
      <w:tr>
        <w:trPr>
          <w:trHeight w:val="152"/>
        </w:trPr>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tcBorders>
              <w:right w:val="single" w:sz="8" w:color="CCEEFF"/>
            </w:tcBorders>
            <w:gridSpan w:val="2"/>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529"/>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6,477</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20" w:type="dxa"/>
            <w:vAlign w:val="bottom"/>
          </w:tcPr>
          <w:p>
            <w:pPr>
              <w:spacing w:after="0"/>
              <w:rPr>
                <w:sz w:val="24"/>
                <w:szCs w:val="24"/>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39,751</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39,751</w:t>
            </w:r>
          </w:p>
        </w:tc>
        <w:tc>
          <w:tcPr>
            <w:tcW w:w="20" w:type="dxa"/>
            <w:vAlign w:val="bottom"/>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1,189,191</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1,189,191</w:t>
            </w:r>
          </w:p>
        </w:tc>
        <w:tc>
          <w:tcPr>
            <w:tcW w:w="20" w:type="dxa"/>
            <w:vAlign w:val="bottom"/>
          </w:tcPr>
          <w:p>
            <w:pPr>
              <w:spacing w:after="0"/>
              <w:rPr>
                <w:sz w:val="13"/>
                <w:szCs w:val="13"/>
                <w:color w:val="auto"/>
              </w:rPr>
            </w:pPr>
          </w:p>
        </w:tc>
      </w:tr>
      <w:tr>
        <w:trPr>
          <w:trHeight w:val="190"/>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1,222</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4,753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16"/>
                <w:szCs w:val="16"/>
                <w:color w:val="auto"/>
              </w:rPr>
            </w:pPr>
          </w:p>
        </w:tc>
      </w:tr>
      <w:tr>
        <w:trPr>
          <w:trHeight w:val="152"/>
        </w:trPr>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tcBorders>
              <w:right w:val="single" w:sz="8" w:color="CCEEFF"/>
            </w:tcBorders>
            <w:gridSpan w:val="2"/>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605,425</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703,856</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55,878</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224,688</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224,688</w:t>
            </w:r>
          </w:p>
        </w:tc>
        <w:tc>
          <w:tcPr>
            <w:tcW w:w="20" w:type="dxa"/>
            <w:vAlign w:val="bottom"/>
          </w:tcPr>
          <w:p>
            <w:pPr>
              <w:spacing w:after="0"/>
              <w:rPr>
                <w:sz w:val="13"/>
                <w:szCs w:val="13"/>
                <w:color w:val="auto"/>
              </w:rPr>
            </w:pPr>
          </w:p>
        </w:tc>
      </w:tr>
      <w:tr>
        <w:trPr>
          <w:trHeight w:val="187"/>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 w:type="dxa"/>
            <w:vAlign w:val="bottom"/>
          </w:tcPr>
          <w:p>
            <w:pPr>
              <w:spacing w:after="0"/>
              <w:rPr>
                <w:sz w:val="16"/>
                <w:szCs w:val="16"/>
                <w:color w:val="auto"/>
              </w:rPr>
            </w:pPr>
          </w:p>
        </w:tc>
      </w:tr>
      <w:tr>
        <w:trPr>
          <w:trHeight w:val="154"/>
        </w:trPr>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100"/>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3"/>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46</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20" w:type="dxa"/>
            <w:vAlign w:val="bottom"/>
          </w:tcPr>
          <w:p>
            <w:pPr>
              <w:spacing w:after="0"/>
              <w:rPr>
                <w:sz w:val="13"/>
                <w:szCs w:val="13"/>
                <w:color w:val="auto"/>
              </w:rPr>
            </w:pPr>
          </w:p>
        </w:tc>
      </w:tr>
    </w:tbl>
    <w:p>
      <w:pPr>
        <w:spacing w:after="0" w:line="153" w:lineRule="exact"/>
        <w:rPr>
          <w:sz w:val="20"/>
          <w:szCs w:val="20"/>
          <w:color w:val="auto"/>
        </w:rPr>
      </w:pPr>
    </w:p>
    <w:p>
      <w:pPr>
        <w:sectPr>
          <w:pgSz w:w="11900" w:h="16838" w:orient="portrait"/>
          <w:cols w:equalWidth="0" w:num="2">
            <w:col w:w="4500" w:space="180"/>
            <w:col w:w="4339"/>
          </w:cols>
          <w:pgMar w:left="1440" w:top="490" w:right="1440" w:bottom="1440" w:gutter="0" w:footer="0" w:header="0"/>
          <w:type w:val="continuous"/>
        </w:sectPr>
      </w:pPr>
    </w:p>
    <w:p>
      <w:pPr>
        <w:ind w:left="1020" w:hanging="378"/>
        <w:spacing w:after="0"/>
        <w:tabs>
          <w:tab w:leader="none" w:pos="10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rights of the holders of Class A common stock and Class B common stock are the same, except for voting and conversion rights. Holders of Class A common stock are entitled to voting rights, while holders of Class B common stock have no voting rights. Shares of Class B common stock are convertible into shares of Class A common stock if sold or transferred.</w:t>
      </w:r>
    </w:p>
    <w:p>
      <w:pPr>
        <w:spacing w:after="0" w:line="145"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In June 2021, the Bank effected a 1 for 5 reverse stock split of all the Class A common stock $1.00 par value. Each five shares of the Bank’s Class A common stock was combined into one fully paid share of Class A common stock. Any fractional shares resulting from this reverse stock split were rounded up to one whole share. The Bank has adjusted the Class A common stock, earnings per share and stock options for this 1 for 5 reverse stock split for all periods in 2021. The Class B common stock was not adjusted but if sold or exchanged would be converted at the 1 for 5 reverse stock split of 1 share of Class A common stock for 5 shares of Class B common stock. Any dividends declared by the Board of Directors (the “Board”) to include Class B common stock would also be paid as if the Class B common stock had converted. The 1 for 5 reverse stock split resulted in adjustments to Consolidated Balance Sheets, Consolidated Statements of Operations, and Consolidated Statements of Changes in Stockholders’ Equity.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type w:val="continuous"/>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July 2021, the Bank completed the IPO of its Class A common stock, in which it issued and sold 4,600,000 shares of Class A common stock at a price of $10.00 per share. The Bank received total net proceeds of $40.0 million after deducting underwriting discounts and expenses.</w:t>
      </w:r>
    </w:p>
    <w:p>
      <w:pPr>
        <w:spacing w:after="0" w:line="142"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December 2021, the Bank entered into agreements with the Class B shareholders to exchange all outstanding shares of Class B common stock for shares of Class A common stock at a ratio of one share of Class A common stock for ever five shares of Class B common stock. As a result, a total of 6,121,052 shares of Class B common stock were exchanged for 1,224,212 shares of Class A common stock.</w:t>
      </w:r>
    </w:p>
    <w:p>
      <w:pPr>
        <w:spacing w:after="0" w:line="156"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In December 2021, the Company acquired all the issued and outstanding shares of the Class A voting common stock of the Bank, which at the time were the only issued and outstanding shares of the Bank’s capital stock, in a share exchange (the “Reorganization”) effected under the Florida Business Corporation Act. Each of the outstanding shares of the Bank’s Class A 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47"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current shareholders own the same percentages of its common stock as they previously owned of the Bank’s common stock.</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April 2021, the Board authorized and approved the offer to repurchase all outstanding shares of Class E preferred stock at the liquidation value of $7.5 million along with declared dividends of $103 thousand. All Class E preferred stock shareholders approved the repurchase which the Bank completed in April 2021.</w:t>
      </w:r>
    </w:p>
    <w:p>
      <w:pPr>
        <w:spacing w:after="0" w:line="15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Bank offered the Class C and Class D preferred stockholders the ability to exchange their shares for Class A common stock. The offer to exchange was voluntary and the preferred stockholders were given the option to convert 90% of their preferred shares for Class A common stock with the remaining 10% to be redeemed in the form of cash. The exchange ratio for the shares of Class A common stock issued in the preferred stock exchange transaction was based upon the IPO price for shares of Class A common stock.</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During the year ended December 31, 2021, 47,473 shares of Class C preferred stock and 11,061,552 shares of Class D preferred stock converted into an aggregate of 10,278,072 shares of Class A common stock. The exchange of the Class C and Class D preferred shares had a total liquidation value of $102.8 million. The remaining unconverted shares of Class C preferred stock and Class D preferred stock totaling 1,234,354 shares were subsequently redeemed at their liquidation value for $11.4 million.</w:t>
      </w:r>
    </w:p>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fair value of consideration on the preferred stock exchange and redemption of the Class C and Class D preferred shares exceeded the book value causing a one-time reduction in net income available to common stockholders of $89.6 million. As of September 30, 2022 and December 31, 2021, there were no preferred shares outstanding and no outstanding dividends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dividend amounts were paid on the preferred shares for the three and nine months ended September 30, 2022 and 2021 (in thousands):</w:t>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8"/>
              </w:rPr>
              <w:t>Nine Months Ended</w:t>
            </w: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9"/>
        </w:trPr>
        <w:tc>
          <w:tcPr>
            <w:tcW w:w="4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Preferred stock - Class C: Non-voting, Non-cumulative, Perpetual:</w:t>
            </w:r>
          </w:p>
        </w:tc>
        <w:tc>
          <w:tcPr>
            <w:tcW w:w="6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9"/>
        </w:trPr>
        <w:tc>
          <w:tcPr>
            <w:tcW w:w="3920" w:type="dxa"/>
            <w:vAlign w:val="bottom"/>
            <w:gridSpan w:val="2"/>
          </w:tcPr>
          <w:p>
            <w:pPr>
              <w:spacing w:after="0"/>
              <w:rPr>
                <w:sz w:val="20"/>
                <w:szCs w:val="20"/>
                <w:color w:val="auto"/>
              </w:rPr>
            </w:pPr>
            <w:r>
              <w:rPr>
                <w:rFonts w:ascii="Arial" w:cs="Arial" w:eastAsia="Arial" w:hAnsi="Arial"/>
                <w:sz w:val="13"/>
                <w:szCs w:val="13"/>
                <w:color w:val="auto"/>
              </w:rPr>
              <w:t>$1.00 par value; $1,000 per share liquidation preference; annual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920" w:type="dxa"/>
            <w:vAlign w:val="bottom"/>
            <w:gridSpan w:val="2"/>
          </w:tcPr>
          <w:p>
            <w:pPr>
              <w:spacing w:after="0" w:line="148" w:lineRule="exact"/>
              <w:rPr>
                <w:sz w:val="20"/>
                <w:szCs w:val="20"/>
                <w:color w:val="auto"/>
              </w:rPr>
            </w:pPr>
            <w:r>
              <w:rPr>
                <w:rFonts w:ascii="Arial" w:cs="Arial" w:eastAsia="Arial" w:hAnsi="Arial"/>
                <w:sz w:val="13"/>
                <w:szCs w:val="13"/>
                <w:color w:val="auto"/>
                <w:w w:val="98"/>
              </w:rPr>
              <w:t>dividend rate of 4% of liquidation preference paid quarterly. Quarterly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40" w:type="dxa"/>
            <w:vAlign w:val="bottom"/>
          </w:tcPr>
          <w:p>
            <w:pPr>
              <w:spacing w:after="0"/>
              <w:rPr>
                <w:sz w:val="12"/>
                <w:szCs w:val="12"/>
                <w:color w:val="auto"/>
              </w:rPr>
            </w:pPr>
          </w:p>
        </w:tc>
        <w:tc>
          <w:tcPr>
            <w:tcW w:w="38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dividend of $10.00 per share.</w:t>
            </w:r>
          </w:p>
        </w:tc>
        <w:tc>
          <w:tcPr>
            <w:tcW w:w="720" w:type="dxa"/>
            <w:vAlign w:val="bottom"/>
            <w:gridSpan w:val="2"/>
            <w:shd w:val="clear" w:color="auto" w:fill="CCEEFF"/>
          </w:tcPr>
          <w:p>
            <w:pPr>
              <w:jc w:val="right"/>
              <w:ind w:right="576"/>
              <w:spacing w:after="0" w:line="139" w:lineRule="exact"/>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shd w:val="clear" w:color="auto" w:fill="CCEEFF"/>
          </w:tcPr>
          <w:p>
            <w:pPr>
              <w:jc w:val="right"/>
              <w:ind w:right="56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3920" w:type="dxa"/>
            <w:vAlign w:val="bottom"/>
            <w:gridSpan w:val="2"/>
          </w:tcPr>
          <w:p>
            <w:pPr>
              <w:spacing w:after="0"/>
              <w:rPr>
                <w:sz w:val="20"/>
                <w:szCs w:val="20"/>
                <w:color w:val="auto"/>
              </w:rPr>
            </w:pPr>
            <w:r>
              <w:rPr>
                <w:rFonts w:ascii="Arial" w:cs="Arial" w:eastAsia="Arial" w:hAnsi="Arial"/>
                <w:sz w:val="13"/>
                <w:szCs w:val="13"/>
                <w:color w:val="auto"/>
              </w:rPr>
              <w:t>Preferred stock - Class D: Non-voting, Non-cumulative, Perpetual:</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9"/>
        </w:trPr>
        <w:tc>
          <w:tcPr>
            <w:tcW w:w="3920" w:type="dxa"/>
            <w:vAlign w:val="bottom"/>
            <w:gridSpan w:val="2"/>
          </w:tcPr>
          <w:p>
            <w:pPr>
              <w:spacing w:after="0"/>
              <w:rPr>
                <w:sz w:val="20"/>
                <w:szCs w:val="20"/>
                <w:color w:val="auto"/>
              </w:rPr>
            </w:pPr>
            <w:r>
              <w:rPr>
                <w:rFonts w:ascii="Arial" w:cs="Arial" w:eastAsia="Arial" w:hAnsi="Arial"/>
                <w:sz w:val="13"/>
                <w:szCs w:val="13"/>
                <w:color w:val="auto"/>
              </w:rPr>
              <w:t>$1.00 par value; $5.00 per share liquidation preference; annual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920" w:type="dxa"/>
            <w:vAlign w:val="bottom"/>
            <w:gridSpan w:val="2"/>
          </w:tcPr>
          <w:p>
            <w:pPr>
              <w:spacing w:after="0"/>
              <w:rPr>
                <w:sz w:val="20"/>
                <w:szCs w:val="20"/>
                <w:color w:val="auto"/>
              </w:rPr>
            </w:pPr>
            <w:r>
              <w:rPr>
                <w:rFonts w:ascii="Arial" w:cs="Arial" w:eastAsia="Arial" w:hAnsi="Arial"/>
                <w:sz w:val="13"/>
                <w:szCs w:val="13"/>
                <w:color w:val="auto"/>
                <w:w w:val="99"/>
              </w:rPr>
              <w:t>dividend rate of 4% of par value paid quarterly. Quarterly dividend of</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920" w:type="dxa"/>
            <w:vAlign w:val="bottom"/>
            <w:gridSpan w:val="2"/>
          </w:tcPr>
          <w:p>
            <w:pPr>
              <w:spacing w:after="0" w:line="148" w:lineRule="exact"/>
              <w:rPr>
                <w:sz w:val="20"/>
                <w:szCs w:val="20"/>
                <w:color w:val="auto"/>
              </w:rPr>
            </w:pPr>
            <w:r>
              <w:rPr>
                <w:rFonts w:ascii="Arial" w:cs="Arial" w:eastAsia="Arial" w:hAnsi="Arial"/>
                <w:sz w:val="13"/>
                <w:szCs w:val="13"/>
                <w:color w:val="auto"/>
              </w:rPr>
              <w:t>$0.01 per share.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102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348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6"/>
        </w:trPr>
        <w:tc>
          <w:tcPr>
            <w:tcW w:w="4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 Class E: Non-voting, Partially Cumulative,</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49"/>
        </w:trPr>
        <w:tc>
          <w:tcPr>
            <w:tcW w:w="4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w w:val="99"/>
              </w:rPr>
              <w:t>Perpetual: $1.00 par value; $1,000 per share liquidation preference;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38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annual dividend rate of 7% of liquidation preference paid quarterly.</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9"/>
        </w:trPr>
        <w:tc>
          <w:tcPr>
            <w:tcW w:w="40" w:type="dxa"/>
            <w:vAlign w:val="bottom"/>
          </w:tcPr>
          <w:p>
            <w:pPr>
              <w:spacing w:after="0"/>
              <w:rPr>
                <w:sz w:val="12"/>
                <w:szCs w:val="12"/>
                <w:color w:val="auto"/>
              </w:rPr>
            </w:pPr>
          </w:p>
        </w:tc>
        <w:tc>
          <w:tcPr>
            <w:tcW w:w="38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Quarterly dividend of $17.50 per share.</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235</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3880" w:type="dxa"/>
            <w:vAlign w:val="bottom"/>
          </w:tcPr>
          <w:p>
            <w:pPr>
              <w:ind w:left="60"/>
              <w:spacing w:after="0"/>
              <w:rPr>
                <w:sz w:val="20"/>
                <w:szCs w:val="20"/>
                <w:color w:val="auto"/>
              </w:rPr>
            </w:pPr>
            <w:r>
              <w:rPr>
                <w:rFonts w:ascii="Arial" w:cs="Arial" w:eastAsia="Arial" w:hAnsi="Arial"/>
                <w:sz w:val="13"/>
                <w:szCs w:val="13"/>
                <w:color w:val="auto"/>
              </w:rPr>
              <w:t>Total dividends paid</w:t>
            </w:r>
          </w:p>
        </w:tc>
        <w:tc>
          <w:tcPr>
            <w:tcW w:w="720" w:type="dxa"/>
            <w:vAlign w:val="bottom"/>
            <w:gridSpan w:val="2"/>
          </w:tcPr>
          <w:p>
            <w:pPr>
              <w:jc w:val="right"/>
              <w:ind w:right="576"/>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4"/>
          </w:tcPr>
          <w:p>
            <w:pPr>
              <w:jc w:val="right"/>
              <w:ind w:right="5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542</w:t>
            </w:r>
          </w:p>
        </w:tc>
        <w:tc>
          <w:tcPr>
            <w:tcW w:w="26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three months ended September 30, 2022 and 2021. Additionally, there were no dividends declared and unpaid as of September 30, 2022 and 2021.</w:t>
      </w:r>
    </w:p>
    <w:p>
      <w:pPr>
        <w:spacing w:after="0" w:line="142"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Company and the Bank exceeded all regulatory capital requirements and remained significantly above “well-capitalized” guidelines. At September 30, 2022, the total risk-based capital ratios for the Company and the Bank were 13.65% and 13.58%, respectively.</w:t>
      </w:r>
    </w:p>
    <w:p>
      <w:pPr>
        <w:spacing w:after="0" w:line="134" w:lineRule="exact"/>
        <w:rPr>
          <w:sz w:val="20"/>
          <w:szCs w:val="20"/>
          <w:color w:val="auto"/>
        </w:rPr>
      </w:pPr>
    </w:p>
    <w:p>
      <w:pPr>
        <w:ind w:left="1020" w:hanging="378"/>
        <w:spacing w:after="0"/>
        <w:tabs>
          <w:tab w:leader="none" w:pos="102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57"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To calculate EPS for the three and nine months ended September 30, 2022, net income available to common stockholders was not allocated between Class A and Class B common stock since there were no issued and outstanding shares of Class B common stock as of September 30, 2022.</w:t>
      </w:r>
    </w:p>
    <w:p>
      <w:pPr>
        <w:spacing w:after="0" w:line="158"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To calculate EPS for the three and nine months ended September 30, 2021, net income available to common stockholders was allocated as if all the income for the period were distributed to common stockholders. The allocation was based on the outstanding shares per common share class to the total common shares outstanding during each period giving effect for the 1 for 5 reverse stock split. The Company’s Articles of Incorporation require that the distribution of net income to Common B stockholders be adjusted to give effect for Class A stock splits. Therefore, the income allocated to Class B common shares was calculated based on their 20% per share equivalent to Class A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79" w:firstLine="256"/>
        <w:spacing w:after="0" w:line="252" w:lineRule="auto"/>
        <w:rPr>
          <w:sz w:val="20"/>
          <w:szCs w:val="20"/>
          <w:color w:val="auto"/>
        </w:rPr>
      </w:pPr>
      <w:r>
        <w:rPr>
          <w:rFonts w:ascii="Arial" w:cs="Arial" w:eastAsia="Arial" w:hAnsi="Arial"/>
          <w:sz w:val="14"/>
          <w:szCs w:val="14"/>
          <w:color w:val="auto"/>
        </w:rPr>
        <w:t>The following table reflects the calculation of net income available to common stockholders for the three and nine months ended September 30, 2022 and 2021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7"/>
              </w:rPr>
              <w:t>Three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right"/>
              <w:ind w:right="376"/>
              <w:spacing w:after="0"/>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3"/>
                <w:szCs w:val="13"/>
                <w:b w:val="1"/>
                <w:bCs w:val="1"/>
                <w:color w:val="auto"/>
                <w:w w:val="96"/>
              </w:rPr>
              <w:t>September 30,</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536"/>
              <w:spacing w:after="0"/>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15,427</w:t>
            </w:r>
          </w:p>
        </w:tc>
        <w:tc>
          <w:tcPr>
            <w:tcW w:w="20" w:type="dxa"/>
            <w:vAlign w:val="bottom"/>
            <w:shd w:val="clear" w:color="auto" w:fill="CCEEFF"/>
          </w:tcPr>
          <w:p>
            <w:pPr>
              <w:spacing w:after="0"/>
              <w:rPr>
                <w:sz w:val="13"/>
                <w:szCs w:val="13"/>
                <w:color w:val="auto"/>
              </w:rPr>
            </w:pPr>
          </w:p>
        </w:tc>
      </w:tr>
      <w:tr>
        <w:trPr>
          <w:trHeight w:val="171"/>
        </w:trPr>
        <w:tc>
          <w:tcPr>
            <w:tcW w:w="332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2,077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Less: Exchange and redemption of preferred shares</w:t>
            </w:r>
          </w:p>
        </w:tc>
        <w:tc>
          <w:tcPr>
            <w:tcW w:w="3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89,585</w:t>
            </w: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Arial" w:cs="Arial" w:eastAsia="Arial" w:hAnsi="Arial"/>
                <w:sz w:val="13"/>
                <w:szCs w:val="13"/>
                <w:color w:val="auto"/>
              </w:rPr>
              <w:t>Net income (loss) available to common stockholders</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5,558</w:t>
            </w:r>
          </w:p>
        </w:tc>
        <w:tc>
          <w:tcPr>
            <w:tcW w:w="260" w:type="dxa"/>
            <w:vAlign w:val="bottom"/>
            <w:gridSpan w:val="4"/>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(83,534)</w:t>
            </w:r>
          </w:p>
        </w:tc>
        <w:tc>
          <w:tcPr>
            <w:tcW w:w="2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15,707</w:t>
            </w:r>
          </w:p>
        </w:tc>
        <w:tc>
          <w:tcPr>
            <w:tcW w:w="26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(76,235)</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nine months ended September 30, 2022 and 2021 (in thousands, except per share amounts):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5"/>
          </w:tcPr>
          <w:p>
            <w:pPr>
              <w:jc w:val="right"/>
              <w:ind w:right="40"/>
              <w:spacing w:after="0"/>
              <w:rPr>
                <w:sz w:val="20"/>
                <w:szCs w:val="20"/>
                <w:color w:val="auto"/>
              </w:rPr>
            </w:pPr>
            <w:r>
              <w:rPr>
                <w:rFonts w:ascii="Arial" w:cs="Arial" w:eastAsia="Arial" w:hAnsi="Arial"/>
                <w:sz w:val="13"/>
                <w:szCs w:val="13"/>
                <w:b w:val="1"/>
                <w:bCs w:val="1"/>
                <w:color w:val="auto"/>
              </w:rPr>
              <w:t>Three Months Ended September 30,</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Class B</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line="151" w:lineRule="exact"/>
              <w:rPr>
                <w:sz w:val="20"/>
                <w:szCs w:val="20"/>
                <w:color w:val="auto"/>
              </w:rPr>
            </w:pPr>
            <w:r>
              <w:rPr>
                <w:rFonts w:ascii="Arial" w:cs="Arial" w:eastAsia="Arial" w:hAnsi="Arial"/>
                <w:sz w:val="13"/>
                <w:szCs w:val="13"/>
                <w:b w:val="1"/>
                <w:bCs w:val="1"/>
                <w:color w:val="auto"/>
                <w:w w:val="95"/>
              </w:rPr>
              <w:t xml:space="preserve">Class B </w:t>
            </w:r>
            <w:r>
              <w:rPr>
                <w:rFonts w:ascii="Arial" w:cs="Arial" w:eastAsia="Arial" w:hAnsi="Arial"/>
                <w:sz w:val="17"/>
                <w:szCs w:val="17"/>
                <w:color w:val="auto"/>
                <w:w w:val="95"/>
                <w:vertAlign w:val="superscript"/>
              </w:rPr>
              <w:t>(1)</w:t>
            </w: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(loss) available to common shares before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5,558</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(83,534)</w:t>
            </w:r>
          </w:p>
        </w:tc>
        <w:tc>
          <w:tcPr>
            <w:tcW w:w="1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(83,534)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(loss) available to common shares after allocation</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5,558</w:t>
            </w:r>
          </w:p>
        </w:tc>
        <w:tc>
          <w:tcPr>
            <w:tcW w:w="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(77,278)</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(6,256)</w:t>
            </w:r>
          </w:p>
        </w:tc>
        <w:tc>
          <w:tcPr>
            <w:tcW w:w="20" w:type="dxa"/>
            <w:vAlign w:val="bottom"/>
            <w:shd w:val="clear" w:color="auto" w:fill="CCEEFF"/>
          </w:tcPr>
          <w:p>
            <w:pPr>
              <w:spacing w:after="0"/>
              <w:rPr>
                <w:sz w:val="13"/>
                <w:szCs w:val="13"/>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15,121,460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shd w:val="clear" w:color="auto" w:fill="CCEEFF"/>
          </w:tcPr>
          <w:p>
            <w:pPr>
              <w:spacing w:after="0"/>
              <w:rPr>
                <w:sz w:val="14"/>
                <w:szCs w:val="14"/>
                <w:color w:val="auto"/>
              </w:rPr>
            </w:pPr>
          </w:p>
        </w:tc>
      </w:tr>
      <w:tr>
        <w:trPr>
          <w:trHeight w:val="212"/>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Earnings (loss) per share, basic</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0.28</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(5.11)</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3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before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5,558</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(83,534)</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(83,534)</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Multiply: % allocated on weighted avg. shares outstanding</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92.5%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after allocation</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5,558</w:t>
            </w:r>
          </w:p>
        </w:tc>
        <w:tc>
          <w:tcPr>
            <w:tcW w:w="780" w:type="dxa"/>
            <w:vAlign w:val="bottom"/>
            <w:gridSpan w:val="4"/>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(77,278)</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(6,256)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15,121,460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147,455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3"/>
                <w:szCs w:val="13"/>
                <w:color w:val="auto"/>
                <w:w w:val="99"/>
              </w:rPr>
              <w:t>Weighted avg. shares including dilutive potential common shares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20,148,208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15,121,460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(loss) per share, diluted</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2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0" w:type="dxa"/>
            <w:vAlign w:val="bottom"/>
            <w:shd w:val="clear" w:color="auto" w:fill="CCEEFF"/>
          </w:tcPr>
          <w:p>
            <w:pPr>
              <w:spacing w:after="0"/>
              <w:rPr>
                <w:sz w:val="14"/>
                <w:szCs w:val="14"/>
                <w:color w:val="auto"/>
              </w:rPr>
            </w:pPr>
          </w:p>
        </w:tc>
      </w:tr>
      <w:tr>
        <w:trPr>
          <w:trHeight w:val="20"/>
        </w:trPr>
        <w:tc>
          <w:tcPr>
            <w:tcW w:w="3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95,602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bl>
    <w:p>
      <w:pPr>
        <w:spacing w:after="0" w:line="185" w:lineRule="exact"/>
        <w:rPr>
          <w:sz w:val="20"/>
          <w:szCs w:val="20"/>
          <w:color w:val="auto"/>
        </w:rPr>
      </w:pPr>
    </w:p>
    <w:p>
      <w:pPr>
        <w:ind w:left="620" w:right="759"/>
        <w:spacing w:after="0" w:line="253" w:lineRule="auto"/>
        <w:tabs>
          <w:tab w:leader="none" w:pos="824"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loss available to common shares between Class A and Class B common stock was allocated based on the weighted average number of shares outstanding. The allocation also assumes that Class B shares had converted to Class A shares which is equivalent to 0.20 per share of Class B or 1,224,212 shares of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3"/>
                <w:szCs w:val="13"/>
                <w:b w:val="1"/>
                <w:bCs w:val="1"/>
                <w:color w:val="auto"/>
              </w:rPr>
              <w:t>Nine Months Ended September 30,</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Class B</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Class A</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line="151" w:lineRule="exact"/>
              <w:rPr>
                <w:sz w:val="20"/>
                <w:szCs w:val="20"/>
                <w:color w:val="auto"/>
              </w:rPr>
            </w:pPr>
            <w:r>
              <w:rPr>
                <w:rFonts w:ascii="Arial" w:cs="Arial" w:eastAsia="Arial" w:hAnsi="Arial"/>
                <w:sz w:val="13"/>
                <w:szCs w:val="13"/>
                <w:b w:val="1"/>
                <w:bCs w:val="1"/>
                <w:color w:val="auto"/>
                <w:w w:val="95"/>
              </w:rPr>
              <w:t xml:space="preserve">Class B </w:t>
            </w:r>
            <w:r>
              <w:rPr>
                <w:rFonts w:ascii="Arial" w:cs="Arial" w:eastAsia="Arial" w:hAnsi="Arial"/>
                <w:sz w:val="17"/>
                <w:szCs w:val="17"/>
                <w:b w:val="1"/>
                <w:bCs w:val="1"/>
                <w:color w:val="auto"/>
                <w:w w:val="95"/>
                <w:vertAlign w:val="superscript"/>
              </w:rPr>
              <w:t>(1)</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40" w:type="dxa"/>
            <w:vAlign w:val="bottom"/>
            <w:gridSpan w:val="3"/>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available to common shares before allocation</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(76,235)</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(76,235)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Multiply: % allocated on weighted avg. shares 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86.2%</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Net income (loss) available to common shares after allocation</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700" w:type="dxa"/>
            <w:vAlign w:val="bottom"/>
            <w:vMerge w:val="continue"/>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(65,747)</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40" w:type="dxa"/>
            <w:vAlign w:val="bottom"/>
            <w:gridSpan w:val="3"/>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19,998,841</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7,674,609</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40" w:type="dxa"/>
            <w:vAlign w:val="bottom"/>
            <w:gridSpan w:val="3"/>
          </w:tcPr>
          <w:p>
            <w:pPr>
              <w:spacing w:after="0"/>
              <w:rPr>
                <w:sz w:val="20"/>
                <w:szCs w:val="20"/>
                <w:color w:val="auto"/>
              </w:rPr>
            </w:pPr>
            <w:r>
              <w:rPr>
                <w:rFonts w:ascii="Arial" w:cs="Arial" w:eastAsia="Arial" w:hAnsi="Arial"/>
                <w:sz w:val="13"/>
                <w:szCs w:val="13"/>
                <w:b w:val="1"/>
                <w:bCs w:val="1"/>
                <w:color w:val="auto"/>
              </w:rPr>
              <w:t>Earnings (loss) per share, basic</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0.79</w:t>
            </w:r>
          </w:p>
        </w:tc>
        <w:tc>
          <w:tcPr>
            <w:tcW w:w="780" w:type="dxa"/>
            <w:vAlign w:val="bottom"/>
            <w:gridSpan w:val="3"/>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(8.57)</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7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gridSpan w:val="3"/>
          </w:tcPr>
          <w:p>
            <w:pPr>
              <w:spacing w:after="0"/>
              <w:rPr>
                <w:sz w:val="20"/>
                <w:szCs w:val="20"/>
                <w:color w:val="auto"/>
              </w:rPr>
            </w:pPr>
            <w:r>
              <w:rPr>
                <w:rFonts w:ascii="Arial" w:cs="Arial" w:eastAsia="Arial" w:hAnsi="Arial"/>
                <w:sz w:val="13"/>
                <w:szCs w:val="13"/>
                <w:b w:val="1"/>
                <w:bCs w:val="1"/>
                <w:color w:val="auto"/>
              </w:rPr>
              <w:t>Diluted EPS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Net income (loss) available to common shares before allocation</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15,707</w:t>
            </w:r>
          </w:p>
        </w:tc>
        <w:tc>
          <w:tcPr>
            <w:tcW w:w="780" w:type="dxa"/>
            <w:vAlign w:val="bottom"/>
            <w:gridSpan w:val="3"/>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76,235</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76,235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Multiply: % allocated on weighted avg. shares outstanding</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86.2%</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Net income (loss) available to common shares after allocation</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15,707</w:t>
            </w:r>
          </w:p>
        </w:tc>
        <w:tc>
          <w:tcPr>
            <w:tcW w:w="780" w:type="dxa"/>
            <w:vAlign w:val="bottom"/>
            <w:gridSpan w:val="3"/>
          </w:tcPr>
          <w:p>
            <w:pPr>
              <w:jc w:val="right"/>
              <w:ind w:right="616"/>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(65,747)</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rPr>
              <w:t>Weighted average shares outstanding for basic EPS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19,998,841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7,674,609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Add: Dilutive effects of assumed exercises of stock options</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179,248</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3780" w:type="dxa"/>
            <w:vAlign w:val="bottom"/>
            <w:gridSpan w:val="2"/>
          </w:tcPr>
          <w:p>
            <w:pPr>
              <w:ind w:left="40"/>
              <w:spacing w:after="0"/>
              <w:rPr>
                <w:sz w:val="20"/>
                <w:szCs w:val="20"/>
                <w:color w:val="auto"/>
              </w:rPr>
            </w:pPr>
            <w:r>
              <w:rPr>
                <w:rFonts w:ascii="Arial" w:cs="Arial" w:eastAsia="Arial" w:hAnsi="Arial"/>
                <w:sz w:val="13"/>
                <w:szCs w:val="13"/>
                <w:color w:val="auto"/>
                <w:w w:val="99"/>
              </w:rPr>
              <w:t>Weighted avg. shares including dilutive potential common shares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20,178,089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7,674,609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Earnings (loss) per share, diluted</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168,709</w:t>
            </w: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20" w:right="759"/>
        <w:spacing w:after="0" w:line="263" w:lineRule="auto"/>
        <w:tabs>
          <w:tab w:leader="none" w:pos="824" w:val="left"/>
        </w:tabs>
        <w:numPr>
          <w:ilvl w:val="0"/>
          <w:numId w:val="14"/>
        </w:numPr>
        <w:rPr>
          <w:rFonts w:ascii="Arial" w:cs="Arial" w:eastAsia="Arial" w:hAnsi="Arial"/>
          <w:sz w:val="11"/>
          <w:szCs w:val="11"/>
          <w:color w:val="auto"/>
        </w:rPr>
      </w:pPr>
      <w:r>
        <w:rPr>
          <w:rFonts w:ascii="Arial" w:cs="Arial" w:eastAsia="Arial" w:hAnsi="Arial"/>
          <w:sz w:val="11"/>
          <w:szCs w:val="11"/>
          <w:color w:val="auto"/>
        </w:rPr>
        <w:t>Net loss available to common shares between Class A and Class B common stock was allocated based on the weighted average number of shares outstanding. The allocation also assumes that Class B shares had converted to Class A shares which is equivalent to 0.20 per share of Class B or 1,224,212 shares of Class A shares.</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8 “Stockholders’ Equity” for further discussion of the reverse stock split effected in 2021.</w:t>
      </w:r>
    </w:p>
    <w:p>
      <w:pPr>
        <w:spacing w:after="0" w:line="141" w:lineRule="exact"/>
        <w:rPr>
          <w:sz w:val="20"/>
          <w:szCs w:val="20"/>
          <w:color w:val="auto"/>
        </w:rPr>
      </w:pPr>
    </w:p>
    <w:p>
      <w:pPr>
        <w:ind w:left="1040" w:hanging="398"/>
        <w:spacing w:after="0"/>
        <w:tabs>
          <w:tab w:leader="none" w:pos="10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0"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for the quarter and nine months ended September 30, 2022. This discussion and analysis is best read in conjunction with the unaudited consolidated financial statements and related footnotes included in this quarterly report on Form 10-Q and the audited consolidated financial statements and related footnotes included in the Annual Report filed on the Form 10-K (“2021 form 10-K”) filed with the Securities and Exchange Commission (“SEC”) for the year ended December 31, 2021.</w:t>
      </w:r>
    </w:p>
    <w:p>
      <w:pPr>
        <w:spacing w:after="0" w:line="142"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and in the 2021 Form 10-K filed with the SEC which is available at the SEC’s website www.sec.gov.</w:t>
      </w:r>
    </w:p>
    <w:p>
      <w:pPr>
        <w:spacing w:after="0" w:line="137" w:lineRule="exact"/>
        <w:rPr>
          <w:sz w:val="20"/>
          <w:szCs w:val="20"/>
          <w:color w:val="auto"/>
        </w:rPr>
      </w:pPr>
    </w:p>
    <w:p>
      <w:pPr>
        <w:ind w:left="660" w:right="73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This Quarterly Report on Form 10-Q (“Form 10-Q”) contains statements that are not historical in nature and are intended to be, and are hereby identified as, forward-looking statements for purposes of the safe harbor provided by Section 21E of the Securities Exchange Act of 1934, as amended (Exchange Act”). The words “may,” “will,” “anticipate,”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47"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42" w:lineRule="exact"/>
        <w:rPr>
          <w:sz w:val="20"/>
          <w:szCs w:val="20"/>
          <w:color w:val="auto"/>
        </w:rPr>
      </w:pPr>
    </w:p>
    <w:p>
      <w:pPr>
        <w:ind w:left="1180" w:right="699" w:hanging="261"/>
        <w:spacing w:after="0" w:line="238" w:lineRule="auto"/>
        <w:tabs>
          <w:tab w:leader="none" w:pos="1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1180" w:right="679" w:hanging="261"/>
        <w:spacing w:after="0" w:line="246" w:lineRule="auto"/>
        <w:tabs>
          <w:tab w:leader="none" w:pos="1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continuation of COVID-19 pandemic and its impact on us, our employees, customers and third-party service providers, and the ultimate extent of the impacts of the pandemic and related government stimulus programs;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71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w:t>
      </w:r>
    </w:p>
    <w:p>
      <w:pPr>
        <w:jc w:val="both"/>
        <w:ind w:left="1180" w:right="699" w:hanging="261"/>
        <w:spacing w:after="0" w:line="23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right="65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continuing high levels of inflation, changes in market interest rates, the unemployment rate, as well as monetary fluctuations, in particular in reaction to inflation and changes in interest rates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margin;</w:t>
      </w: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risks described in this Form 10-Q, the 2021 Form 10-K and other filings we make with the SEC.</w:t>
      </w:r>
    </w:p>
    <w:p>
      <w:pPr>
        <w:spacing w:after="0" w:line="159"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w:t>
      </w: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5" w:lineRule="auto"/>
        <w:rPr>
          <w:sz w:val="20"/>
          <w:szCs w:val="20"/>
          <w:color w:val="auto"/>
        </w:rPr>
      </w:pPr>
      <w:r>
        <w:rPr>
          <w:rFonts w:ascii="Arial" w:cs="Arial" w:eastAsia="Arial" w:hAnsi="Arial"/>
          <w:sz w:val="14"/>
          <w:szCs w:val="14"/>
          <w:color w:val="auto"/>
        </w:rPr>
        <w:t>hereof, and we undertake no obligation to update or revise any forward-looking statement to reflect events or circumstances occurring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U.S. Century Bank (“Bank”) filed with the Federal Deposit Insurance Corporation (“FDIC”).</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88"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The Company, the holding company of the Bank, reported net income of $5.6 million or $0.28 per diluted share for Class A common stock for the three months ended September 30, 2022, compared with net income of $6.6 million or $5.11 loss and $1.02 loss per diluted share for Class A and Class B common stock, respectively, for the same period in 2021. The losses per share for the Class A and Class B common stock for the quarter ended September 30, 2021 reflected the effects of the exchange and redemption of the Bank’s preferred shares. In December 2021, the Company agreed to exchange all the outstanding shares of Class B common stock for Class A common stock at a ratio of one share of Class A common stock for each five shares of Class B common stock. As of September 30, 2022 and December 31, 2021, the Company’s only class of securities issued and outstanding was Class A common stock.</w:t>
      </w:r>
    </w:p>
    <w:p>
      <w:pPr>
        <w:spacing w:after="0" w:line="158"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During the first quarter of 2022, the Board of Directors (the “Board”) approved a share repurchase program of up to 750,000 shares of Class A common stock. Under the repurchase program, the Company may purchase shares of Class A common stock on a discretionary basis from time to time. As of September 30, 2022, the Company had not repurchased any shares.</w:t>
      </w:r>
    </w:p>
    <w:p>
      <w:pPr>
        <w:spacing w:after="0" w:line="145"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Unless otherwise stated, all period comparisons in the bullet points below are calculated for the quarter ended</w:t>
      </w:r>
    </w:p>
    <w:p>
      <w:pPr>
        <w:ind w:left="660"/>
        <w:spacing w:after="0"/>
        <w:rPr>
          <w:sz w:val="20"/>
          <w:szCs w:val="20"/>
          <w:color w:val="auto"/>
        </w:rPr>
      </w:pPr>
      <w:r>
        <w:rPr>
          <w:rFonts w:ascii="Arial" w:cs="Arial" w:eastAsia="Arial" w:hAnsi="Arial"/>
          <w:sz w:val="14"/>
          <w:szCs w:val="14"/>
          <w:color w:val="auto"/>
        </w:rPr>
        <w:t>September 30, 2022 compared to the quarter ended September 30, 2021 and annualized where appropriate:</w:t>
      </w:r>
    </w:p>
    <w:p>
      <w:pPr>
        <w:spacing w:after="0" w:line="170" w:lineRule="exact"/>
        <w:rPr>
          <w:sz w:val="20"/>
          <w:szCs w:val="20"/>
          <w:color w:val="auto"/>
        </w:rPr>
      </w:pPr>
    </w:p>
    <w:p>
      <w:pPr>
        <w:ind w:left="1180" w:right="71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income increased $3.3 million or 24.5% to $16.8 million from $13.5 million for the quarter ended September 30, 2021.</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(“NIM”) increased to 3.47% from 3.19% for the third quarter of 2021.</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assets exceeded $2.0 billion, an increase of $183.5 million or 9.9%, compared to December 31,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loans grew to $1.4 billion, an increase of $241.4 million or 20.3%, compared to December 31,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deposits increased $206.3 million or 13.0% to $1.8 billion from $1.6 billion at December 31, 2021.</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assets was 1.09% compared to 1.50% at September 30, 2021.</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stockholders’ equity was 11.90% compared to 13.41% at September 30, 2021.</w:t>
      </w:r>
    </w:p>
    <w:p>
      <w:pPr>
        <w:spacing w:after="0" w:line="169" w:lineRule="exact"/>
        <w:rPr>
          <w:rFonts w:ascii="Arial" w:cs="Arial" w:eastAsia="Arial" w:hAnsi="Arial"/>
          <w:sz w:val="14"/>
          <w:szCs w:val="14"/>
          <w:color w:val="auto"/>
        </w:rPr>
      </w:pPr>
    </w:p>
    <w:p>
      <w:pPr>
        <w:ind w:left="1180" w:right="63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allowance for credit losses to total loans ratio decreased to 1.16% at September 30, 2022 from 1.27% at September 30, 2021.</w:t>
      </w:r>
    </w:p>
    <w:p>
      <w:pPr>
        <w:spacing w:after="0" w:line="152"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loans to total loans was 0.00% at September 30, 2022 and September 30, 2021.</w:t>
      </w:r>
    </w:p>
    <w:p>
      <w:pPr>
        <w:spacing w:after="0" w:line="2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ind w:left="1180" w:right="699" w:hanging="261"/>
        <w:spacing w:after="0" w:line="252"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September 30, 2022, the total risk-based capital ratio for the Company and the Bank was 13.65% and 13.58%, respectively.</w:t>
      </w:r>
    </w:p>
    <w:p>
      <w:pPr>
        <w:spacing w:after="0" w:line="152" w:lineRule="exact"/>
        <w:rPr>
          <w:rFonts w:ascii="Arial" w:cs="Arial" w:eastAsia="Arial" w:hAnsi="Arial"/>
          <w:sz w:val="14"/>
          <w:szCs w:val="14"/>
          <w:color w:val="auto"/>
        </w:rPr>
      </w:pPr>
    </w:p>
    <w:p>
      <w:pPr>
        <w:jc w:val="both"/>
        <w:ind w:left="1180" w:right="639" w:hanging="261"/>
        <w:spacing w:after="0" w:line="248"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Tangible book value per common share (a Non-GAAP financial measure) was $8.87 as of September 30, 2022, compared to $10.10 at September 30, 2021. The decline was primarily driven by unrealized security losses in accumulated other comprehensive income at September 30, 2022. See “Reconciliation and Management Explanation for Non-GAAP Financial Measures” for a reconciliation of this non-GAAP financial measure.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in the Company’s 2021 Form 10-K.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the allowance. Management considers the policies related to the ACL as the most critical to the financial statement presentation. The total ACL includes activity related to allowances calculated in accordance with Accounting Standards Codification (“ASC”) 310, Receivables, and ASC 450, Contingencies.</w:t>
      </w:r>
    </w:p>
    <w:p>
      <w:pPr>
        <w:spacing w:after="0" w:line="158"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Throughout the year, management estimates the probable incurred losses in the loan portfolio to determine if the ACL is adequate to absorb such losses. The ACL consists of specific and general components. The specific component relates to loans that are individually classified as impaired. We follow a loan review program to evaluate the credit risk existing in the loan portfolio. Loans that have been identified as impaired are reviewed on a quarterly basis to determine whether a specific reserve is required. The general component covers non-impaired loans and is based on our specific historical loan loss experience, volume, growth and composition of the loan portfolio, the evaluation of our loan portfolio through our internal loan review process, general current economic conditions both internal and external to us that may affect the borrower’s ability to pay, value of collateral and other qualitative relevant risk factors. Based on a review of these estimates, we adjust the ACL to a level determined by management to be adequate. Estimates of credit losses are inherently subjective as they involve an exercise of judgment.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8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4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onereportable operating segment.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75"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September 30, 2022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2,037,453</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1,853,939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1,431,513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1,796,642</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1,590,379</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177,417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4"/>
                <w:szCs w:val="14"/>
                <w:color w:val="auto"/>
              </w:rPr>
            </w:pPr>
          </w:p>
        </w:tc>
      </w:tr>
    </w:tbl>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32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0"/>
        </w:trPr>
        <w:tc>
          <w:tcPr>
            <w:tcW w:w="3260" w:type="dxa"/>
            <w:vAlign w:val="bottom"/>
          </w:tcPr>
          <w:p>
            <w:pPr>
              <w:spacing w:after="0"/>
              <w:rPr>
                <w:sz w:val="24"/>
                <w:szCs w:val="24"/>
                <w:color w:val="auto"/>
              </w:rPr>
            </w:pPr>
          </w:p>
        </w:tc>
        <w:tc>
          <w:tcPr>
            <w:tcW w:w="2240" w:type="dxa"/>
            <w:vAlign w:val="bottom"/>
            <w:gridSpan w:val="9"/>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0" w:type="dxa"/>
            <w:vAlign w:val="bottom"/>
          </w:tcPr>
          <w:p>
            <w:pPr>
              <w:spacing w:after="0"/>
              <w:rPr>
                <w:sz w:val="24"/>
                <w:szCs w:val="24"/>
                <w:color w:val="auto"/>
              </w:rPr>
            </w:pPr>
          </w:p>
        </w:tc>
        <w:tc>
          <w:tcPr>
            <w:tcW w:w="218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71"/>
        </w:trPr>
        <w:tc>
          <w:tcPr>
            <w:tcW w:w="32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41"/>
        </w:trPr>
        <w:tc>
          <w:tcPr>
            <w:tcW w:w="32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Statements of Operations:</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24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16,774</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13,471</w:t>
            </w:r>
          </w:p>
        </w:tc>
        <w:tc>
          <w:tcPr>
            <w:tcW w:w="60" w:type="dxa"/>
            <w:vAlign w:val="bottom"/>
          </w:tcPr>
          <w:p>
            <w:pPr>
              <w:spacing w:after="0"/>
              <w:rPr>
                <w:sz w:val="14"/>
                <w:szCs w:val="14"/>
                <w:color w:val="auto"/>
              </w:rPr>
            </w:pP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46,795</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38,420</w:t>
            </w:r>
          </w:p>
        </w:tc>
        <w:tc>
          <w:tcPr>
            <w:tcW w:w="20" w:type="dxa"/>
            <w:vAlign w:val="bottom"/>
          </w:tcPr>
          <w:p>
            <w:pPr>
              <w:spacing w:after="0"/>
              <w:rPr>
                <w:sz w:val="14"/>
                <w:szCs w:val="14"/>
                <w:color w:val="auto"/>
              </w:rPr>
            </w:pPr>
          </w:p>
        </w:tc>
      </w:tr>
      <w:tr>
        <w:trPr>
          <w:trHeight w:val="171"/>
        </w:trPr>
        <w:tc>
          <w:tcPr>
            <w:tcW w:w="3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4,217</w:t>
            </w: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5,351</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8,054</w:t>
            </w:r>
          </w:p>
        </w:tc>
        <w:tc>
          <w:tcPr>
            <w:tcW w:w="20" w:type="dxa"/>
            <w:vAlign w:val="bottom"/>
            <w:shd w:val="clear" w:color="auto" w:fill="CCEEFF"/>
          </w:tcPr>
          <w:p>
            <w:pPr>
              <w:spacing w:after="0"/>
              <w:rPr>
                <w:sz w:val="14"/>
                <w:szCs w:val="14"/>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24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10,132</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9,007</w:t>
            </w:r>
          </w:p>
        </w:tc>
        <w:tc>
          <w:tcPr>
            <w:tcW w:w="60" w:type="dxa"/>
            <w:vAlign w:val="bottom"/>
          </w:tcPr>
          <w:p>
            <w:pPr>
              <w:spacing w:after="0"/>
              <w:rPr>
                <w:sz w:val="14"/>
                <w:szCs w:val="14"/>
                <w:color w:val="auto"/>
              </w:rPr>
            </w:pP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29,295</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26,358</w:t>
            </w:r>
          </w:p>
        </w:tc>
        <w:tc>
          <w:tcPr>
            <w:tcW w:w="20" w:type="dxa"/>
            <w:vAlign w:val="bottom"/>
          </w:tcPr>
          <w:p>
            <w:pPr>
              <w:spacing w:after="0"/>
              <w:rPr>
                <w:sz w:val="14"/>
                <w:szCs w:val="14"/>
                <w:color w:val="auto"/>
              </w:rPr>
            </w:pPr>
          </w:p>
        </w:tc>
      </w:tr>
      <w:tr>
        <w:trPr>
          <w:trHeight w:val="171"/>
        </w:trPr>
        <w:tc>
          <w:tcPr>
            <w:tcW w:w="3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6,593</w:t>
            </w: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15,427</w:t>
            </w:r>
          </w:p>
        </w:tc>
        <w:tc>
          <w:tcPr>
            <w:tcW w:w="20" w:type="dxa"/>
            <w:vAlign w:val="bottom"/>
            <w:shd w:val="clear" w:color="auto" w:fill="CCEEFF"/>
          </w:tcPr>
          <w:p>
            <w:pPr>
              <w:spacing w:after="0"/>
              <w:rPr>
                <w:sz w:val="14"/>
                <w:szCs w:val="14"/>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Net income (loss) available to common stockholders</w:t>
            </w:r>
          </w:p>
        </w:tc>
        <w:tc>
          <w:tcPr>
            <w:tcW w:w="240" w:type="dxa"/>
            <w:vAlign w:val="bottom"/>
            <w:gridSpan w:val="2"/>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5,558</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(83,534)</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15,707</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(76,235)</w:t>
            </w:r>
          </w:p>
        </w:tc>
      </w:tr>
      <w:tr>
        <w:trPr>
          <w:trHeight w:val="171"/>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Profitability:</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260" w:type="dxa"/>
            <w:vAlign w:val="bottom"/>
          </w:tcPr>
          <w:p>
            <w:pPr>
              <w:ind w:left="100"/>
              <w:spacing w:after="0"/>
              <w:rPr>
                <w:sz w:val="20"/>
                <w:szCs w:val="20"/>
                <w:color w:val="auto"/>
              </w:rPr>
            </w:pPr>
            <w:r>
              <w:rPr>
                <w:rFonts w:ascii="Arial" w:cs="Arial" w:eastAsia="Arial" w:hAnsi="Arial"/>
                <w:sz w:val="13"/>
                <w:szCs w:val="13"/>
                <w:color w:val="auto"/>
              </w:rPr>
              <w:t>Efficiency ratio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54.58%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50.92%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56.72%</w:t>
            </w:r>
          </w:p>
        </w:tc>
        <w:tc>
          <w:tcPr>
            <w:tcW w:w="20" w:type="dxa"/>
            <w:vAlign w:val="bottom"/>
          </w:tcPr>
          <w:p>
            <w:pPr>
              <w:spacing w:after="0"/>
              <w:rPr>
                <w:sz w:val="14"/>
                <w:szCs w:val="14"/>
                <w:color w:val="auto"/>
              </w:rPr>
            </w:pPr>
          </w:p>
        </w:tc>
      </w:tr>
      <w:tr>
        <w:trPr>
          <w:trHeight w:val="171"/>
        </w:trPr>
        <w:tc>
          <w:tcPr>
            <w:tcW w:w="3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interest margin</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20" w:type="dxa"/>
            <w:vAlign w:val="bottom"/>
            <w:shd w:val="clear" w:color="auto" w:fill="CCEEFF"/>
          </w:tcPr>
          <w:p>
            <w:pPr>
              <w:spacing w:after="0"/>
              <w:rPr>
                <w:sz w:val="14"/>
                <w:szCs w:val="14"/>
                <w:color w:val="auto"/>
              </w:rPr>
            </w:pPr>
          </w:p>
        </w:tc>
      </w:tr>
    </w:tbl>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expenses, and provision for income taxes.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7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income decreased to $5.6 million for the three months ended September 30, 2022 from $6.6 million for the same period in 2021. Net income available to common stockholders increased $89.0 million for the three months ended September 30, 2022 compared to the same period in 2021 primarily because the 2021 period reflected the effect of preferred dividends paid and the $89.6 million exchange and redemption of the Bank’s preferred shares.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84" w:lineRule="exact"/>
        <w:rPr>
          <w:sz w:val="20"/>
          <w:szCs w:val="20"/>
          <w:color w:val="auto"/>
        </w:rPr>
      </w:pPr>
    </w:p>
    <w:p>
      <w:pPr>
        <w:jc w:val="both"/>
        <w:ind w:left="660" w:right="679" w:firstLine="256"/>
        <w:spacing w:after="0" w:line="273" w:lineRule="auto"/>
        <w:rPr>
          <w:sz w:val="20"/>
          <w:szCs w:val="20"/>
          <w:color w:val="auto"/>
        </w:rPr>
      </w:pPr>
      <w:r>
        <w:rPr>
          <w:rFonts w:ascii="Arial" w:cs="Arial" w:eastAsia="Arial" w:hAnsi="Arial"/>
          <w:sz w:val="13"/>
          <w:szCs w:val="13"/>
          <w:color w:val="auto"/>
        </w:rPr>
        <w:t>Net income increased to $15.7 million for the nine months ended September 30, 2022 from $15.4 million for the same period in 2021. Net income available to common stockholders increased $91.9 million for the September 30, 2022 compared to the same period in 2021 primarily because of an increase in net interest income in 2022 and the 2021 period reflected the effect of preferred dividends paid and the $89.6 million exchange and redemption of the Bank’s preferred shares.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75" w:lineRule="exact"/>
        <w:rPr>
          <w:sz w:val="20"/>
          <w:szCs w:val="20"/>
          <w:color w:val="auto"/>
        </w:rPr>
      </w:pPr>
    </w:p>
    <w:p>
      <w:pPr>
        <w:jc w:val="both"/>
        <w:ind w:left="660" w:right="679" w:firstLine="256"/>
        <w:spacing w:after="0" w:line="282" w:lineRule="auto"/>
        <w:rPr>
          <w:sz w:val="20"/>
          <w:szCs w:val="20"/>
          <w:color w:val="auto"/>
        </w:rPr>
      </w:pPr>
      <w:r>
        <w:rPr>
          <w:rFonts w:ascii="Arial" w:cs="Arial" w:eastAsia="Arial" w:hAnsi="Arial"/>
          <w:sz w:val="13"/>
          <w:szCs w:val="13"/>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w:t>
      </w:r>
    </w:p>
    <w:p>
      <w:pPr>
        <w:spacing w:after="0" w:line="200" w:lineRule="exact"/>
        <w:rPr>
          <w:sz w:val="20"/>
          <w:szCs w:val="20"/>
          <w:color w:val="auto"/>
        </w:rPr>
      </w:pPr>
    </w:p>
    <w:p>
      <w:pPr>
        <w:spacing w:after="0" w:line="22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39"/>
        <w:spacing w:after="0" w:line="252" w:lineRule="auto"/>
        <w:rPr>
          <w:sz w:val="20"/>
          <w:szCs w:val="20"/>
          <w:color w:val="auto"/>
        </w:rPr>
      </w:pPr>
      <w:r>
        <w:rPr>
          <w:rFonts w:ascii="Arial" w:cs="Arial" w:eastAsia="Arial" w:hAnsi="Arial"/>
          <w:sz w:val="14"/>
          <w:szCs w:val="14"/>
          <w:color w:val="auto"/>
        </w:rPr>
        <w:t>incurred from interest paid on interest-bearing liabilities, including interest-bearing deposits, FHLB advances and other borrowings.</w:t>
      </w:r>
    </w:p>
    <w:p>
      <w:pPr>
        <w:spacing w:after="0" w:line="153"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sources.</w:t>
      </w:r>
    </w:p>
    <w:p>
      <w:pPr>
        <w:spacing w:after="0" w:line="14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52" w:lineRule="auto"/>
        <w:rPr>
          <w:sz w:val="20"/>
          <w:szCs w:val="20"/>
          <w:color w:val="auto"/>
        </w:rPr>
      </w:pPr>
      <w:r>
        <w:rPr>
          <w:rFonts w:ascii="Arial" w:cs="Arial" w:eastAsia="Arial" w:hAnsi="Arial"/>
          <w:sz w:val="14"/>
          <w:szCs w:val="14"/>
          <w:color w:val="auto"/>
        </w:rPr>
        <w:t>The following table contains information related to average balance sheet, average yields on assets, and average costs of liabilities for the periods indicated (in thousands):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2690" w:type="dxa"/>
            <w:vAlign w:val="bottom"/>
            <w:tcBorders>
              <w:bottom w:val="single" w:sz="8" w:color="auto"/>
            </w:tcBorders>
            <w:gridSpan w:val="10"/>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65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2"/>
        </w:trPr>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6"/>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Interest</w:t>
            </w:r>
          </w:p>
        </w:tc>
        <w:tc>
          <w:tcPr>
            <w:tcW w:w="40" w:type="dxa"/>
            <w:vAlign w:val="bottom"/>
          </w:tcPr>
          <w:p>
            <w:pPr>
              <w:spacing w:after="0"/>
              <w:rPr>
                <w:sz w:val="14"/>
                <w:szCs w:val="14"/>
                <w:color w:val="auto"/>
              </w:rPr>
            </w:pPr>
          </w:p>
        </w:tc>
        <w:tc>
          <w:tcPr>
            <w:tcW w:w="940" w:type="dxa"/>
            <w:vAlign w:val="bottom"/>
            <w:gridSpan w:val="3"/>
          </w:tcPr>
          <w:p>
            <w:pPr>
              <w:ind w:left="40"/>
              <w:spacing w:after="0" w:line="162" w:lineRule="exact"/>
              <w:rPr>
                <w:sz w:val="20"/>
                <w:szCs w:val="20"/>
                <w:color w:val="auto"/>
              </w:rPr>
            </w:pPr>
            <w:r>
              <w:rPr>
                <w:rFonts w:ascii="Arial" w:cs="Arial" w:eastAsia="Arial" w:hAnsi="Arial"/>
                <w:sz w:val="13"/>
                <w:szCs w:val="13"/>
                <w:b w:val="1"/>
                <w:bCs w:val="1"/>
                <w:color w:val="auto"/>
              </w:rPr>
              <w:t xml:space="preserve">Yield/Rate </w:t>
            </w:r>
            <w:r>
              <w:rPr>
                <w:rFonts w:ascii="Arial" w:cs="Arial" w:eastAsia="Arial" w:hAnsi="Arial"/>
                <w:sz w:val="17"/>
                <w:szCs w:val="17"/>
                <w:b w:val="1"/>
                <w:bCs w:val="1"/>
                <w:color w:val="auto"/>
                <w:vertAlign w:val="superscript"/>
              </w:rPr>
              <w:t>(2)</w:t>
            </w:r>
          </w:p>
        </w:tc>
        <w:tc>
          <w:tcPr>
            <w:tcW w:w="1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3"/>
                <w:szCs w:val="13"/>
                <w:b w:val="1"/>
                <w:bCs w:val="1"/>
                <w:color w:val="auto"/>
                <w:w w:val="93"/>
              </w:rPr>
              <w:t>Interest</w:t>
            </w:r>
          </w:p>
        </w:tc>
        <w:tc>
          <w:tcPr>
            <w:tcW w:w="40" w:type="dxa"/>
            <w:vAlign w:val="bottom"/>
          </w:tcPr>
          <w:p>
            <w:pPr>
              <w:spacing w:after="0"/>
              <w:rPr>
                <w:sz w:val="14"/>
                <w:szCs w:val="14"/>
                <w:color w:val="auto"/>
              </w:rPr>
            </w:pPr>
          </w:p>
        </w:tc>
        <w:tc>
          <w:tcPr>
            <w:tcW w:w="860" w:type="dxa"/>
            <w:vAlign w:val="bottom"/>
            <w:gridSpan w:val="3"/>
          </w:tcPr>
          <w:p>
            <w:pPr>
              <w:ind w:left="40"/>
              <w:spacing w:after="0" w:line="162" w:lineRule="exact"/>
              <w:rPr>
                <w:sz w:val="20"/>
                <w:szCs w:val="20"/>
                <w:color w:val="auto"/>
              </w:rPr>
            </w:pPr>
            <w:r>
              <w:rPr>
                <w:rFonts w:ascii="Arial" w:cs="Arial" w:eastAsia="Arial" w:hAnsi="Arial"/>
                <w:sz w:val="13"/>
                <w:szCs w:val="13"/>
                <w:b w:val="1"/>
                <w:bCs w:val="1"/>
                <w:color w:val="auto"/>
                <w:w w:val="99"/>
              </w:rPr>
              <w:t xml:space="preserve">Yield/Rate </w:t>
            </w:r>
            <w:r>
              <w:rPr>
                <w:rFonts w:ascii="Arial" w:cs="Arial" w:eastAsia="Arial" w:hAnsi="Arial"/>
                <w:sz w:val="17"/>
                <w:szCs w:val="17"/>
                <w:b w:val="1"/>
                <w:bCs w:val="1"/>
                <w:color w:val="auto"/>
                <w:w w:val="99"/>
                <w:vertAlign w:val="superscript"/>
              </w:rPr>
              <w:t>(2)</w:t>
            </w:r>
          </w:p>
        </w:tc>
      </w:tr>
      <w:tr>
        <w:trPr>
          <w:trHeight w:val="151"/>
        </w:trPr>
        <w:tc>
          <w:tcPr>
            <w:tcW w:w="2480" w:type="dxa"/>
            <w:vAlign w:val="bottom"/>
            <w:tcBorders>
              <w:top w:val="single" w:sz="8" w:color="CCEEFF"/>
            </w:tcBorders>
            <w:gridSpan w:val="2"/>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65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48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1,398,761</w:t>
            </w:r>
          </w:p>
        </w:tc>
        <w:tc>
          <w:tcPr>
            <w:tcW w:w="4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15,954</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1,144,275</w:t>
            </w: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12,538</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360" w:type="dxa"/>
            <w:vAlign w:val="bottom"/>
          </w:tcPr>
          <w:p>
            <w:pPr>
              <w:ind w:left="20"/>
              <w:spacing w:after="0" w:line="171"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450,514</w:t>
            </w: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2,201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1.94</w:t>
            </w: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399,745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1,858</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1.86</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171"/>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interest earnings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70,540</w:t>
            </w:r>
          </w:p>
        </w:tc>
        <w:tc>
          <w:tcPr>
            <w:tcW w:w="4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322</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Total interest-earning assets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1,919,815</w:t>
            </w:r>
          </w:p>
        </w:tc>
        <w:tc>
          <w:tcPr>
            <w:tcW w:w="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18,477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3.82</w:t>
            </w: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1,653,659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14,434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3.43</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171"/>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106,976</w:t>
            </w:r>
          </w:p>
        </w:tc>
        <w:tc>
          <w:tcPr>
            <w:tcW w:w="4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87,764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2,026,791</w:t>
            </w:r>
          </w:p>
        </w:tc>
        <w:tc>
          <w:tcPr>
            <w:tcW w:w="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1,741,423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248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CCEEFF"/>
            </w:tcBorders>
            <w:shd w:val="clear" w:color="auto" w:fill="CCEEFF"/>
          </w:tcPr>
          <w:p>
            <w:pPr>
              <w:spacing w:after="0"/>
              <w:rPr>
                <w:sz w:val="10"/>
                <w:szCs w:val="10"/>
                <w:color w:val="auto"/>
              </w:rPr>
            </w:pPr>
          </w:p>
        </w:tc>
        <w:tc>
          <w:tcPr>
            <w:tcW w:w="65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0"/>
        </w:trPr>
        <w:tc>
          <w:tcPr>
            <w:tcW w:w="248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Interest-bearing checking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66,585</w:t>
            </w:r>
          </w:p>
        </w:tc>
        <w:tc>
          <w:tcPr>
            <w:tcW w:w="4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0.11</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Arial" w:cs="Arial" w:eastAsia="Arial" w:hAnsi="Arial"/>
                <w:sz w:val="13"/>
                <w:szCs w:val="13"/>
                <w:color w:val="auto"/>
              </w:rPr>
              <w:t>Money market and savings accounts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823,521</w:t>
            </w: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1,141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0.55</w:t>
            </w: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627,654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0.32</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171"/>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217,023</w:t>
            </w:r>
          </w:p>
        </w:tc>
        <w:tc>
          <w:tcPr>
            <w:tcW w:w="4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363</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229,055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Total interest-bearing deposits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1,107,129</w:t>
            </w:r>
          </w:p>
        </w:tc>
        <w:tc>
          <w:tcPr>
            <w:tcW w:w="4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ind w:right="16"/>
              <w:spacing w:after="0"/>
              <w:rPr>
                <w:sz w:val="20"/>
                <w:szCs w:val="20"/>
                <w:color w:val="auto"/>
              </w:rPr>
            </w:pPr>
            <w:r>
              <w:rPr>
                <w:rFonts w:ascii="Arial" w:cs="Arial" w:eastAsia="Arial" w:hAnsi="Arial"/>
                <w:sz w:val="13"/>
                <w:szCs w:val="13"/>
                <w:color w:val="auto"/>
              </w:rPr>
              <w:t>1,523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0.55</w:t>
            </w: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912,330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0.36</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r>
      <w:tr>
        <w:trPr>
          <w:trHeight w:val="165"/>
        </w:trPr>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43,935</w:t>
            </w:r>
          </w:p>
        </w:tc>
        <w:tc>
          <w:tcPr>
            <w:tcW w:w="4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180</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bl>
    <w:p>
      <w:pPr>
        <w:spacing w:after="0" w:line="12" w:lineRule="exact"/>
        <w:rPr>
          <w:sz w:val="20"/>
          <w:szCs w:val="20"/>
          <w:color w:val="auto"/>
        </w:rPr>
      </w:pPr>
    </w:p>
    <w:p>
      <w:pPr>
        <w:sectPr>
          <w:pgSz w:w="11900" w:h="16838" w:orient="portrait"/>
          <w:cols w:equalWidth="0" w:num="1">
            <w:col w:w="9019"/>
          </w:cols>
          <w:pgMar w:left="1440" w:top="491" w:right="1440" w:bottom="1440" w:gutter="0" w:footer="0" w:header="0"/>
        </w:sectPr>
      </w:pPr>
    </w:p>
    <w:p>
      <w:pPr>
        <w:ind w:left="880"/>
        <w:spacing w:after="0"/>
        <w:rPr>
          <w:sz w:val="20"/>
          <w:szCs w:val="20"/>
          <w:color w:val="auto"/>
        </w:rPr>
      </w:pPr>
      <w:r>
        <w:rPr>
          <w:rFonts w:ascii="Arial" w:cs="Arial" w:eastAsia="Arial" w:hAnsi="Arial"/>
          <w:sz w:val="13"/>
          <w:szCs w:val="13"/>
          <w:color w:val="auto"/>
        </w:rPr>
        <w:t>Total interest-bearing liabilities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2"/>
          <w:szCs w:val="12"/>
          <w:color w:val="auto"/>
        </w:rPr>
        <w:t>Non-interest bearing demand deposits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Other non-interest-bearing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Arial" w:cs="Arial" w:eastAsia="Arial" w:hAnsi="Arial"/>
                <w:sz w:val="13"/>
                <w:szCs w:val="13"/>
                <w:color w:val="auto"/>
              </w:rPr>
              <w:t>1,151,064</w:t>
            </w: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1,703</w:t>
            </w:r>
          </w:p>
        </w:tc>
        <w:tc>
          <w:tcPr>
            <w:tcW w:w="1120" w:type="dxa"/>
            <w:vAlign w:val="bottom"/>
            <w:gridSpan w:val="4"/>
          </w:tcPr>
          <w:p>
            <w:pPr>
              <w:jc w:val="right"/>
              <w:ind w:right="220"/>
              <w:spacing w:after="0"/>
              <w:rPr>
                <w:sz w:val="20"/>
                <w:szCs w:val="20"/>
                <w:color w:val="auto"/>
              </w:rPr>
            </w:pPr>
            <w:r>
              <w:rPr>
                <w:rFonts w:ascii="Arial" w:cs="Arial" w:eastAsia="Arial" w:hAnsi="Arial"/>
                <w:sz w:val="13"/>
                <w:szCs w:val="13"/>
                <w:color w:val="auto"/>
              </w:rPr>
              <w:t>0.59  %</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948,330</w:t>
            </w:r>
          </w:p>
        </w:tc>
        <w:tc>
          <w:tcPr>
            <w:tcW w:w="80" w:type="dxa"/>
            <w:vAlign w:val="bottom"/>
          </w:tcPr>
          <w:p>
            <w:pPr>
              <w:spacing w:after="0"/>
              <w:rPr>
                <w:sz w:val="14"/>
                <w:szCs w:val="14"/>
                <w:color w:val="auto"/>
              </w:rPr>
            </w:pPr>
          </w:p>
        </w:tc>
        <w:tc>
          <w:tcPr>
            <w:tcW w:w="960" w:type="dxa"/>
            <w:vAlign w:val="bottom"/>
          </w:tcPr>
          <w:p>
            <w:pPr>
              <w:jc w:val="right"/>
              <w:ind w:right="176"/>
              <w:spacing w:after="0"/>
              <w:rPr>
                <w:sz w:val="20"/>
                <w:szCs w:val="20"/>
                <w:color w:val="auto"/>
              </w:rPr>
            </w:pPr>
            <w:r>
              <w:rPr>
                <w:rFonts w:ascii="Arial" w:cs="Arial" w:eastAsia="Arial" w:hAnsi="Arial"/>
                <w:sz w:val="13"/>
                <w:szCs w:val="13"/>
                <w:color w:val="auto"/>
              </w:rPr>
              <w:t>963</w:t>
            </w:r>
          </w:p>
        </w:tc>
        <w:tc>
          <w:tcPr>
            <w:tcW w:w="720" w:type="dxa"/>
            <w:vAlign w:val="bottom"/>
          </w:tcPr>
          <w:p>
            <w:pPr>
              <w:jc w:val="right"/>
              <w:spacing w:after="0"/>
              <w:rPr>
                <w:sz w:val="20"/>
                <w:szCs w:val="20"/>
                <w:color w:val="auto"/>
              </w:rPr>
            </w:pPr>
            <w:r>
              <w:rPr>
                <w:rFonts w:ascii="Arial" w:cs="Arial" w:eastAsia="Arial" w:hAnsi="Arial"/>
                <w:sz w:val="13"/>
                <w:szCs w:val="13"/>
                <w:color w:val="auto"/>
              </w:rPr>
              <w:t>0.40  %</w:t>
            </w:r>
          </w:p>
        </w:tc>
      </w:tr>
      <w:tr>
        <w:trPr>
          <w:trHeight w:val="146"/>
        </w:trPr>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655,853</w:t>
            </w:r>
          </w:p>
        </w:tc>
        <w:tc>
          <w:tcPr>
            <w:tcW w:w="6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564,928</w:t>
            </w:r>
          </w:p>
        </w:tc>
        <w:tc>
          <w:tcPr>
            <w:tcW w:w="80" w:type="dxa"/>
            <w:vAlign w:val="bottom"/>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9"/>
        </w:trPr>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34,586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33,156</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2960" w:space="360"/>
            <w:col w:w="569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53"/>
        </w:trPr>
        <w:tc>
          <w:tcPr>
            <w:tcW w:w="220" w:type="dxa"/>
            <w:vAlign w:val="bottom"/>
            <w:tcBorders>
              <w:top w:val="single" w:sz="8" w:color="CCEEFF"/>
            </w:tcBorders>
            <w:shd w:val="clear" w:color="auto" w:fill="CCEEFF"/>
          </w:tcPr>
          <w:p>
            <w:pPr>
              <w:spacing w:after="0"/>
              <w:rPr>
                <w:sz w:val="13"/>
                <w:szCs w:val="13"/>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1,841,503</w:t>
            </w:r>
          </w:p>
        </w:tc>
        <w:tc>
          <w:tcPr>
            <w:tcW w:w="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CCEEFF"/>
            </w:tcBorders>
            <w:shd w:val="clear" w:color="auto" w:fill="CCEEFF"/>
          </w:tcPr>
          <w:p>
            <w:pPr>
              <w:spacing w:after="0"/>
              <w:rPr>
                <w:sz w:val="13"/>
                <w:szCs w:val="13"/>
                <w:color w:val="auto"/>
              </w:rPr>
            </w:pPr>
          </w:p>
        </w:tc>
        <w:tc>
          <w:tcPr>
            <w:tcW w:w="135" w:type="dxa"/>
            <w:vAlign w:val="bottom"/>
            <w:tcBorders>
              <w:top w:val="single" w:sz="8" w:color="auto"/>
            </w:tcBorders>
            <w:shd w:val="clear" w:color="auto" w:fill="CCEEFF"/>
          </w:tcPr>
          <w:p>
            <w:pPr>
              <w:spacing w:after="0"/>
              <w:rPr>
                <w:sz w:val="13"/>
                <w:szCs w:val="13"/>
                <w:color w:val="auto"/>
              </w:rPr>
            </w:pPr>
          </w:p>
        </w:tc>
        <w:tc>
          <w:tcPr>
            <w:tcW w:w="725"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1,546,414</w:t>
            </w:r>
          </w:p>
        </w:tc>
        <w:tc>
          <w:tcPr>
            <w:tcW w:w="20" w:type="dxa"/>
            <w:vAlign w:val="bottom"/>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r>
      <w:tr>
        <w:trPr>
          <w:trHeight w:val="171"/>
        </w:trPr>
        <w:tc>
          <w:tcPr>
            <w:tcW w:w="2660" w:type="dxa"/>
            <w:vAlign w:val="bottom"/>
            <w:gridSpan w:val="4"/>
          </w:tcPr>
          <w:p>
            <w:pPr>
              <w:jc w:val="right"/>
              <w:ind w:right="1316"/>
              <w:spacing w:after="0"/>
              <w:rPr>
                <w:sz w:val="20"/>
                <w:szCs w:val="20"/>
                <w:color w:val="auto"/>
              </w:rPr>
            </w:pPr>
            <w:r>
              <w:rPr>
                <w:rFonts w:ascii="Arial" w:cs="Arial" w:eastAsia="Arial" w:hAnsi="Arial"/>
                <w:sz w:val="13"/>
                <w:szCs w:val="13"/>
                <w:color w:val="auto"/>
              </w:rPr>
              <w:t>Stockholders' equity</w:t>
            </w:r>
          </w:p>
        </w:tc>
        <w:tc>
          <w:tcPr>
            <w:tcW w:w="640" w:type="dxa"/>
            <w:vAlign w:val="bottom"/>
          </w:tcPr>
          <w:p>
            <w:pPr>
              <w:jc w:val="right"/>
              <w:spacing w:after="0"/>
              <w:rPr>
                <w:sz w:val="20"/>
                <w:szCs w:val="20"/>
                <w:color w:val="auto"/>
              </w:rPr>
            </w:pPr>
            <w:r>
              <w:rPr>
                <w:rFonts w:ascii="Arial" w:cs="Arial" w:eastAsia="Arial" w:hAnsi="Arial"/>
                <w:sz w:val="13"/>
                <w:szCs w:val="13"/>
                <w:color w:val="auto"/>
              </w:rPr>
              <w:t>185,288</w:t>
            </w:r>
          </w:p>
        </w:tc>
        <w:tc>
          <w:tcPr>
            <w:tcW w:w="2700" w:type="dxa"/>
            <w:vAlign w:val="bottom"/>
            <w:gridSpan w:val="4"/>
          </w:tcPr>
          <w:p>
            <w:pPr>
              <w:jc w:val="right"/>
              <w:spacing w:after="0"/>
              <w:rPr>
                <w:sz w:val="20"/>
                <w:szCs w:val="20"/>
                <w:color w:val="auto"/>
              </w:rPr>
            </w:pPr>
            <w:r>
              <w:rPr>
                <w:rFonts w:ascii="Arial" w:cs="Arial" w:eastAsia="Arial" w:hAnsi="Arial"/>
                <w:sz w:val="13"/>
                <w:szCs w:val="13"/>
                <w:color w:val="auto"/>
              </w:rPr>
              <w:t>195,009</w:t>
            </w: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22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w w:val="99"/>
                <w:shd w:val="clear" w:color="auto" w:fill="CCEEFF"/>
              </w:rPr>
              <w:t>Total liabilities and stockholders' equity</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2,026,791</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135"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5"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1,741,423</w:t>
            </w:r>
          </w:p>
        </w:tc>
        <w:tc>
          <w:tcPr>
            <w:tcW w:w="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top w:val="single" w:sz="8" w:color="CCEEFF"/>
            </w:tcBorders>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72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interest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16,774</w:t>
            </w:r>
          </w:p>
        </w:tc>
        <w:tc>
          <w:tcPr>
            <w:tcW w:w="7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13,471</w:t>
            </w:r>
          </w:p>
        </w:tc>
        <w:tc>
          <w:tcPr>
            <w:tcW w:w="7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vMerge w:val="restart"/>
            <w:shd w:val="clear" w:color="auto" w:fill="CCEEFF"/>
          </w:tcPr>
          <w:p>
            <w:pPr>
              <w:ind w:left="40"/>
              <w:spacing w:after="0" w:line="162" w:lineRule="exact"/>
              <w:rPr>
                <w:sz w:val="20"/>
                <w:szCs w:val="20"/>
                <w:color w:val="auto"/>
              </w:rPr>
            </w:pPr>
            <w:r>
              <w:rPr>
                <w:rFonts w:ascii="Arial" w:cs="Arial" w:eastAsia="Arial" w:hAnsi="Arial"/>
                <w:sz w:val="13"/>
                <w:szCs w:val="13"/>
                <w:color w:val="auto"/>
              </w:rPr>
              <w:t xml:space="preserve">Net interest spread </w:t>
            </w:r>
            <w:r>
              <w:rPr>
                <w:rFonts w:ascii="Arial" w:cs="Arial" w:eastAsia="Arial" w:hAnsi="Arial"/>
                <w:sz w:val="17"/>
                <w:szCs w:val="17"/>
                <w:color w:val="auto"/>
                <w:vertAlign w:val="superscript"/>
              </w:rPr>
              <w:t>(5)</w:t>
            </w: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160" w:type="dxa"/>
            <w:vAlign w:val="bottom"/>
            <w:tcBorders>
              <w:bottom w:val="single" w:sz="8" w:color="CCEEFF"/>
            </w:tcBorders>
            <w:vMerge w:val="restart"/>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21"/>
        </w:trPr>
        <w:tc>
          <w:tcPr>
            <w:tcW w:w="3400" w:type="dxa"/>
            <w:vAlign w:val="bottom"/>
            <w:vMerge w:val="continue"/>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4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(6)</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3.47</w:t>
            </w:r>
          </w:p>
        </w:tc>
        <w:tc>
          <w:tcPr>
            <w:tcW w:w="116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3.19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6"/>
          </w:tcPr>
          <w:p>
            <w:pPr>
              <w:ind w:left="420"/>
              <w:spacing w:after="0"/>
              <w:rPr>
                <w:sz w:val="20"/>
                <w:szCs w:val="20"/>
                <w:color w:val="auto"/>
              </w:rPr>
            </w:pPr>
            <w:r>
              <w:rPr>
                <w:rFonts w:ascii="Arial" w:cs="Arial" w:eastAsia="Arial" w:hAnsi="Arial"/>
                <w:sz w:val="13"/>
                <w:szCs w:val="13"/>
                <w:b w:val="1"/>
                <w:bCs w:val="1"/>
                <w:color w:val="auto"/>
                <w:w w:val="97"/>
              </w:rPr>
              <w:t>Nine Months Ended September 30,</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Average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w w:val="95"/>
              </w:rPr>
              <w:t>Yield/Rate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80"/>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5"/>
          </w:tcPr>
          <w:p>
            <w:pPr>
              <w:spacing w:after="0" w:line="162" w:lineRule="exact"/>
              <w:rPr>
                <w:sz w:val="20"/>
                <w:szCs w:val="20"/>
                <w:color w:val="auto"/>
              </w:rPr>
            </w:pPr>
            <w:r>
              <w:rPr>
                <w:rFonts w:ascii="Arial" w:cs="Arial" w:eastAsia="Arial" w:hAnsi="Arial"/>
                <w:sz w:val="13"/>
                <w:szCs w:val="13"/>
                <w:b w:val="1"/>
                <w:bCs w:val="1"/>
                <w:color w:val="auto"/>
              </w:rPr>
              <w:t xml:space="preserve">Yield/Rate </w:t>
            </w:r>
            <w:r>
              <w:rPr>
                <w:rFonts w:ascii="Arial" w:cs="Arial" w:eastAsia="Arial" w:hAnsi="Arial"/>
                <w:sz w:val="17"/>
                <w:szCs w:val="17"/>
                <w:b w:val="1"/>
                <w:bCs w:val="1"/>
                <w:color w:val="auto"/>
                <w:vertAlign w:val="superscript"/>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100"/>
              <w:spacing w:after="0" w:line="162"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Interest</w:t>
            </w:r>
          </w:p>
        </w:tc>
        <w:tc>
          <w:tcPr>
            <w:tcW w:w="640" w:type="dxa"/>
            <w:vAlign w:val="bottom"/>
            <w:gridSpan w:val="3"/>
          </w:tcPr>
          <w:p>
            <w:pPr>
              <w:jc w:val="right"/>
              <w:ind w:right="116"/>
              <w:spacing w:after="0"/>
              <w:rPr>
                <w:sz w:val="20"/>
                <w:szCs w:val="20"/>
                <w:color w:val="auto"/>
              </w:rPr>
            </w:pPr>
            <w:r>
              <w:rPr>
                <w:rFonts w:ascii="Arial" w:cs="Arial" w:eastAsia="Arial" w:hAnsi="Arial"/>
                <w:sz w:val="9"/>
                <w:szCs w:val="9"/>
                <w:b w:val="1"/>
                <w:bCs w:val="1"/>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left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left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gridSpan w:val="4"/>
          </w:tcPr>
          <w:p>
            <w:pPr>
              <w:ind w:left="40"/>
              <w:spacing w:after="0"/>
              <w:rPr>
                <w:sz w:val="20"/>
                <w:szCs w:val="20"/>
                <w:color w:val="auto"/>
              </w:rPr>
            </w:pPr>
            <w:r>
              <w:rPr>
                <w:rFonts w:ascii="Arial" w:cs="Arial" w:eastAsia="Arial" w:hAnsi="Arial"/>
                <w:sz w:val="13"/>
                <w:szCs w:val="13"/>
                <w:b w:val="1"/>
                <w:bCs w:val="1"/>
                <w:color w:val="auto"/>
              </w:rPr>
              <w:t>Interest-earning assets: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2480" w:type="dxa"/>
            <w:vAlign w:val="bottom"/>
            <w:gridSpan w:val="2"/>
            <w:vMerge w:val="restart"/>
            <w:shd w:val="clear" w:color="auto" w:fill="CCEEFF"/>
          </w:tcPr>
          <w:p>
            <w:pPr>
              <w:ind w:left="2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(3)</w:t>
            </w:r>
          </w:p>
        </w:tc>
        <w:tc>
          <w:tcPr>
            <w:tcW w:w="20" w:type="dxa"/>
            <w:vAlign w:val="bottom"/>
          </w:tcPr>
          <w:p>
            <w:pPr>
              <w:spacing w:after="0"/>
              <w:rPr>
                <w:sz w:val="2"/>
                <w:szCs w:val="2"/>
                <w:color w:val="auto"/>
              </w:rPr>
            </w:pPr>
          </w:p>
        </w:tc>
        <w:tc>
          <w:tcPr>
            <w:tcW w:w="1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2480" w:type="dxa"/>
            <w:vAlign w:val="bottom"/>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shd w:val="clear" w:color="auto" w:fill="CCEEFF"/>
              </w:rPr>
              <w:t>1,302,909</w:t>
            </w:r>
          </w:p>
        </w:tc>
        <w:tc>
          <w:tcPr>
            <w:tcW w:w="140" w:type="dxa"/>
            <w:vAlign w:val="bottom"/>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5"/>
                <w:szCs w:val="5"/>
                <w:color w:val="auto"/>
                <w:w w:val="70"/>
                <w:shd w:val="clear" w:color="auto" w:fill="CCEEFF"/>
              </w:rPr>
              <w:t>$</w:t>
            </w:r>
          </w:p>
        </w:tc>
        <w:tc>
          <w:tcPr>
            <w:tcW w:w="60" w:type="dxa"/>
            <w:vAlign w:val="bottom"/>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42,989</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4.41</w:t>
            </w:r>
          </w:p>
        </w:tc>
        <w:tc>
          <w:tcPr>
            <w:tcW w:w="100" w:type="dxa"/>
            <w:vAlign w:val="bottom"/>
          </w:tcPr>
          <w:p>
            <w:pPr>
              <w:spacing w:after="0"/>
              <w:rPr>
                <w:sz w:val="11"/>
                <w:szCs w:val="11"/>
                <w:color w:val="auto"/>
              </w:rPr>
            </w:pPr>
          </w:p>
        </w:tc>
        <w:tc>
          <w:tcPr>
            <w:tcW w:w="10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w w:val="74"/>
                <w:shd w:val="clear" w:color="auto" w:fill="CCEEFF"/>
              </w:rPr>
              <w:t>%</w:t>
            </w:r>
          </w:p>
        </w:tc>
        <w:tc>
          <w:tcPr>
            <w:tcW w:w="100" w:type="dxa"/>
            <w:vAlign w:val="bottom"/>
            <w:gridSpan w:val="2"/>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shd w:val="clear" w:color="auto" w:fill="CCEEFF"/>
              </w:rPr>
              <w:t>1,101,782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5"/>
                <w:szCs w:val="5"/>
                <w:color w:val="auto"/>
                <w:w w:val="70"/>
                <w:shd w:val="clear" w:color="auto" w:fill="CCEEFF"/>
              </w:rPr>
              <w:t>$</w:t>
            </w:r>
          </w:p>
        </w:tc>
        <w:tc>
          <w:tcPr>
            <w:tcW w:w="60" w:type="dxa"/>
            <w:vAlign w:val="bottom"/>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35,944</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4.30</w:t>
            </w:r>
          </w:p>
        </w:tc>
        <w:tc>
          <w:tcPr>
            <w:tcW w:w="80" w:type="dxa"/>
            <w:vAlign w:val="bottom"/>
          </w:tcPr>
          <w:p>
            <w:pPr>
              <w:spacing w:after="0"/>
              <w:rPr>
                <w:sz w:val="11"/>
                <w:szCs w:val="11"/>
                <w:color w:val="auto"/>
              </w:rPr>
            </w:pPr>
          </w:p>
        </w:tc>
        <w:tc>
          <w:tcPr>
            <w:tcW w:w="40" w:type="dxa"/>
            <w:vAlign w:val="bottom"/>
            <w:tcBorders>
              <w:right w:val="single" w:sz="8" w:color="CCEEFF"/>
            </w:tcBorders>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500" w:type="dxa"/>
            <w:vAlign w:val="bottom"/>
            <w:gridSpan w:val="3"/>
          </w:tcPr>
          <w:p>
            <w:pPr>
              <w:ind w:left="20"/>
              <w:spacing w:after="0" w:line="162"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484,489</w:t>
            </w:r>
          </w:p>
        </w:tc>
        <w:tc>
          <w:tcPr>
            <w:tcW w:w="6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7,040</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1.94</w:t>
            </w:r>
          </w:p>
        </w:tc>
        <w:tc>
          <w:tcPr>
            <w:tcW w:w="3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374,318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5,670</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4"/>
                <w:szCs w:val="14"/>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Other interest-earnings assets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3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76,655</w:t>
            </w:r>
          </w:p>
        </w:tc>
        <w:tc>
          <w:tcPr>
            <w:tcW w:w="14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474</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0.83</w:t>
            </w:r>
          </w:p>
        </w:tc>
        <w:tc>
          <w:tcPr>
            <w:tcW w:w="10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w w:val="74"/>
                <w:shd w:val="clear" w:color="auto" w:fill="CCEEFF"/>
              </w:rPr>
              <w:t>%</w:t>
            </w:r>
          </w:p>
        </w:tc>
        <w:tc>
          <w:tcPr>
            <w:tcW w:w="100" w:type="dxa"/>
            <w:vAlign w:val="bottom"/>
            <w:tcBorders>
              <w:right w:val="single" w:sz="8" w:color="CCEEFF"/>
            </w:tcBorders>
            <w:gridSpan w:val="2"/>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96,561</w:t>
            </w:r>
          </w:p>
        </w:tc>
        <w:tc>
          <w:tcPr>
            <w:tcW w:w="6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77</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0.11</w:t>
            </w:r>
          </w:p>
        </w:tc>
        <w:tc>
          <w:tcPr>
            <w:tcW w:w="8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3"/>
                <w:szCs w:val="13"/>
                <w:color w:val="auto"/>
              </w:rPr>
              <w:t>Total interest-earning assets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1,864,053</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1" w:lineRule="exact"/>
              <w:rPr>
                <w:sz w:val="20"/>
                <w:szCs w:val="20"/>
                <w:color w:val="auto"/>
              </w:rPr>
            </w:pPr>
            <w:r>
              <w:rPr>
                <w:rFonts w:ascii="Arial" w:cs="Arial" w:eastAsia="Arial" w:hAnsi="Arial"/>
                <w:sz w:val="13"/>
                <w:szCs w:val="13"/>
                <w:color w:val="auto"/>
              </w:rPr>
              <w:t>50,503</w:t>
            </w:r>
          </w:p>
        </w:tc>
        <w:tc>
          <w:tcPr>
            <w:tcW w:w="6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3.62</w:t>
            </w:r>
          </w:p>
        </w:tc>
        <w:tc>
          <w:tcPr>
            <w:tcW w:w="300" w:type="dxa"/>
            <w:vAlign w:val="bottom"/>
            <w:gridSpan w:val="4"/>
          </w:tcPr>
          <w:p>
            <w:pPr>
              <w:ind w:left="100"/>
              <w:spacing w:after="0" w:line="14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1,572,661</w:t>
            </w:r>
          </w:p>
        </w:tc>
        <w:tc>
          <w:tcPr>
            <w:tcW w:w="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1" w:lineRule="exact"/>
              <w:rPr>
                <w:sz w:val="20"/>
                <w:szCs w:val="20"/>
                <w:color w:val="auto"/>
              </w:rPr>
            </w:pPr>
            <w:r>
              <w:rPr>
                <w:rFonts w:ascii="Arial" w:cs="Arial" w:eastAsia="Arial" w:hAnsi="Arial"/>
                <w:sz w:val="13"/>
                <w:szCs w:val="13"/>
                <w:color w:val="auto"/>
              </w:rPr>
              <w:t>41,691</w:t>
            </w:r>
          </w:p>
        </w:tc>
        <w:tc>
          <w:tcPr>
            <w:tcW w:w="6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3.50</w:t>
            </w:r>
          </w:p>
        </w:tc>
        <w:tc>
          <w:tcPr>
            <w:tcW w:w="80" w:type="dxa"/>
            <w:vAlign w:val="bottom"/>
          </w:tcPr>
          <w:p>
            <w:pPr>
              <w:spacing w:after="0"/>
              <w:rPr>
                <w:sz w:val="12"/>
                <w:szCs w:val="12"/>
                <w:color w:val="auto"/>
              </w:rPr>
            </w:pPr>
          </w:p>
        </w:tc>
        <w:tc>
          <w:tcPr>
            <w:tcW w:w="1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Non-interest earning assets</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105,914</w:t>
            </w:r>
          </w:p>
        </w:tc>
        <w:tc>
          <w:tcPr>
            <w:tcW w:w="140" w:type="dxa"/>
            <w:vAlign w:val="bottom"/>
            <w:tcBorders>
              <w:bottom w:val="single" w:sz="8" w:color="auto"/>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86,407</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20" w:type="dxa"/>
            <w:vAlign w:val="bottom"/>
            <w:gridSpan w:val="4"/>
          </w:tcPr>
          <w:p>
            <w:pPr>
              <w:ind w:left="40"/>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1,969,967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1,659,068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gridSpan w:val="4"/>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left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left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20" w:type="dxa"/>
            <w:vAlign w:val="bottom"/>
            <w:gridSpan w:val="4"/>
          </w:tcPr>
          <w:p>
            <w:pPr>
              <w:ind w:left="40"/>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Interest-bearing checking</w:t>
            </w:r>
          </w:p>
        </w:tc>
        <w:tc>
          <w:tcPr>
            <w:tcW w:w="20" w:type="dxa"/>
            <w:vAlign w:val="bottom"/>
          </w:tcPr>
          <w:p>
            <w:pPr>
              <w:spacing w:after="0"/>
              <w:rPr>
                <w:sz w:val="2"/>
                <w:szCs w:val="2"/>
                <w:color w:val="auto"/>
              </w:rPr>
            </w:pPr>
          </w:p>
        </w:tc>
        <w:tc>
          <w:tcPr>
            <w:tcW w:w="120" w:type="dxa"/>
            <w:vAlign w:val="bottom"/>
            <w:gridSpan w:val="4"/>
          </w:tcPr>
          <w:p>
            <w:pPr>
              <w:spacing w:after="0"/>
              <w:rPr>
                <w:sz w:val="2"/>
                <w:szCs w:val="2"/>
                <w:color w:val="auto"/>
              </w:rPr>
            </w:pPr>
          </w:p>
        </w:tc>
        <w:tc>
          <w:tcPr>
            <w:tcW w:w="8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300" w:type="dxa"/>
            <w:vAlign w:val="bottom"/>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2480" w:type="dxa"/>
            <w:vAlign w:val="bottom"/>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65,798</w:t>
            </w:r>
          </w:p>
        </w:tc>
        <w:tc>
          <w:tcPr>
            <w:tcW w:w="140" w:type="dxa"/>
            <w:vAlign w:val="bottom"/>
            <w:tcBorders>
              <w:right w:val="single" w:sz="8" w:color="CCEEFF"/>
            </w:tcBorders>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left w:val="single" w:sz="8" w:color="CCEEFF"/>
            </w:tcBorders>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52</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0.11</w:t>
            </w:r>
          </w:p>
        </w:tc>
        <w:tc>
          <w:tcPr>
            <w:tcW w:w="100" w:type="dxa"/>
            <w:vAlign w:val="bottom"/>
          </w:tcPr>
          <w:p>
            <w:pPr>
              <w:spacing w:after="0"/>
              <w:rPr>
                <w:sz w:val="11"/>
                <w:szCs w:val="11"/>
                <w:color w:val="auto"/>
              </w:rPr>
            </w:pPr>
          </w:p>
        </w:tc>
        <w:tc>
          <w:tcPr>
            <w:tcW w:w="10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w w:val="74"/>
                <w:shd w:val="clear" w:color="auto" w:fill="CCEEFF"/>
              </w:rPr>
              <w:t>%</w:t>
            </w:r>
          </w:p>
        </w:tc>
        <w:tc>
          <w:tcPr>
            <w:tcW w:w="100" w:type="dxa"/>
            <w:vAlign w:val="bottom"/>
            <w:gridSpan w:val="2"/>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50,971</w:t>
            </w:r>
          </w:p>
        </w:tc>
        <w:tc>
          <w:tcPr>
            <w:tcW w:w="60" w:type="dxa"/>
            <w:vAlign w:val="bottom"/>
          </w:tcPr>
          <w:p>
            <w:pPr>
              <w:spacing w:after="0"/>
              <w:rPr>
                <w:sz w:val="11"/>
                <w:szCs w:val="11"/>
                <w:color w:val="auto"/>
              </w:rPr>
            </w:pPr>
          </w:p>
        </w:tc>
        <w:tc>
          <w:tcPr>
            <w:tcW w:w="80" w:type="dxa"/>
            <w:vAlign w:val="bottom"/>
            <w:tcBorders>
              <w:right w:val="single" w:sz="8" w:color="CCEEFF"/>
            </w:tcBorders>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left w:val="single" w:sz="8" w:color="CCEEFF"/>
            </w:tcBorders>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0.12</w:t>
            </w:r>
          </w:p>
        </w:tc>
        <w:tc>
          <w:tcPr>
            <w:tcW w:w="80" w:type="dxa"/>
            <w:vAlign w:val="bottom"/>
          </w:tcPr>
          <w:p>
            <w:pPr>
              <w:spacing w:after="0"/>
              <w:rPr>
                <w:sz w:val="11"/>
                <w:szCs w:val="11"/>
                <w:color w:val="auto"/>
              </w:rPr>
            </w:pPr>
          </w:p>
        </w:tc>
        <w:tc>
          <w:tcPr>
            <w:tcW w:w="40" w:type="dxa"/>
            <w:vAlign w:val="bottom"/>
            <w:tcBorders>
              <w:right w:val="single" w:sz="8" w:color="CCEEFF"/>
            </w:tcBorders>
          </w:tcPr>
          <w:p>
            <w:pPr>
              <w:spacing w:after="0"/>
              <w:rPr>
                <w:sz w:val="11"/>
                <w:szCs w:val="11"/>
                <w:color w:val="auto"/>
              </w:rPr>
            </w:pP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color w:val="auto"/>
              </w:rPr>
              <w:t>Money market and savings accounts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780,564</w:t>
            </w:r>
          </w:p>
        </w:tc>
        <w:tc>
          <w:tcPr>
            <w:tcW w:w="6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2,307</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0.40</w:t>
            </w:r>
          </w:p>
        </w:tc>
        <w:tc>
          <w:tcPr>
            <w:tcW w:w="3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601,550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1,572</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0.35</w:t>
            </w:r>
          </w:p>
        </w:tc>
        <w:tc>
          <w:tcPr>
            <w:tcW w:w="80" w:type="dxa"/>
            <w:vAlign w:val="bottom"/>
          </w:tcPr>
          <w:p>
            <w:pPr>
              <w:spacing w:after="0"/>
              <w:rPr>
                <w:sz w:val="14"/>
                <w:szCs w:val="14"/>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Time deposits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3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221,504</w:t>
            </w:r>
          </w:p>
        </w:tc>
        <w:tc>
          <w:tcPr>
            <w:tcW w:w="14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893</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0.54</w:t>
            </w:r>
          </w:p>
        </w:tc>
        <w:tc>
          <w:tcPr>
            <w:tcW w:w="10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w w:val="74"/>
                <w:shd w:val="clear" w:color="auto" w:fill="CCEEFF"/>
              </w:rPr>
              <w:t>%</w:t>
            </w:r>
          </w:p>
        </w:tc>
        <w:tc>
          <w:tcPr>
            <w:tcW w:w="100" w:type="dxa"/>
            <w:vAlign w:val="bottom"/>
            <w:tcBorders>
              <w:right w:val="single" w:sz="8" w:color="CCEEFF"/>
            </w:tcBorders>
            <w:gridSpan w:val="2"/>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237,633</w:t>
            </w:r>
          </w:p>
        </w:tc>
        <w:tc>
          <w:tcPr>
            <w:tcW w:w="6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1,239</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0.70</w:t>
            </w:r>
          </w:p>
        </w:tc>
        <w:tc>
          <w:tcPr>
            <w:tcW w:w="8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3"/>
                <w:szCs w:val="13"/>
                <w:color w:val="auto"/>
              </w:rPr>
              <w:t>Total interest-bearing deposits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3"/>
                <w:szCs w:val="13"/>
                <w:color w:val="auto"/>
              </w:rPr>
              <w:t>1,067,866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7" w:lineRule="exact"/>
              <w:rPr>
                <w:sz w:val="20"/>
                <w:szCs w:val="20"/>
                <w:color w:val="auto"/>
              </w:rPr>
            </w:pPr>
            <w:r>
              <w:rPr>
                <w:rFonts w:ascii="Arial" w:cs="Arial" w:eastAsia="Arial" w:hAnsi="Arial"/>
                <w:sz w:val="13"/>
                <w:szCs w:val="13"/>
                <w:color w:val="auto"/>
              </w:rPr>
              <w:t>3,252</w:t>
            </w:r>
          </w:p>
        </w:tc>
        <w:tc>
          <w:tcPr>
            <w:tcW w:w="64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0.30</w:t>
            </w:r>
          </w:p>
        </w:tc>
        <w:tc>
          <w:tcPr>
            <w:tcW w:w="300" w:type="dxa"/>
            <w:vAlign w:val="bottom"/>
            <w:gridSpan w:val="4"/>
          </w:tcPr>
          <w:p>
            <w:pPr>
              <w:ind w:left="100"/>
              <w:spacing w:after="0" w:line="147"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3"/>
                <w:szCs w:val="13"/>
                <w:color w:val="auto"/>
              </w:rPr>
              <w:t>890,154</w:t>
            </w:r>
          </w:p>
        </w:tc>
        <w:tc>
          <w:tcPr>
            <w:tcW w:w="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7" w:lineRule="exact"/>
              <w:rPr>
                <w:sz w:val="20"/>
                <w:szCs w:val="20"/>
                <w:color w:val="auto"/>
              </w:rPr>
            </w:pPr>
            <w:r>
              <w:rPr>
                <w:rFonts w:ascii="Arial" w:cs="Arial" w:eastAsia="Arial" w:hAnsi="Arial"/>
                <w:sz w:val="13"/>
                <w:szCs w:val="13"/>
                <w:color w:val="auto"/>
              </w:rPr>
              <w:t>2,856</w:t>
            </w:r>
          </w:p>
        </w:tc>
        <w:tc>
          <w:tcPr>
            <w:tcW w:w="64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0.43</w:t>
            </w:r>
          </w:p>
        </w:tc>
        <w:tc>
          <w:tcPr>
            <w:tcW w:w="80" w:type="dxa"/>
            <w:vAlign w:val="bottom"/>
          </w:tcPr>
          <w:p>
            <w:pPr>
              <w:spacing w:after="0"/>
              <w:rPr>
                <w:sz w:val="12"/>
                <w:szCs w:val="12"/>
                <w:color w:val="auto"/>
              </w:rPr>
            </w:pPr>
          </w:p>
        </w:tc>
        <w:tc>
          <w:tcPr>
            <w:tcW w:w="14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30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tcPr>
          <w:p>
            <w:pPr>
              <w:spacing w:after="0"/>
              <w:rPr>
                <w:sz w:val="12"/>
                <w:szCs w:val="12"/>
                <w:color w:val="auto"/>
              </w:rPr>
            </w:pPr>
          </w:p>
        </w:tc>
        <w:tc>
          <w:tcPr>
            <w:tcW w:w="248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38,788</w:t>
            </w:r>
          </w:p>
        </w:tc>
        <w:tc>
          <w:tcPr>
            <w:tcW w:w="14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456</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1.57</w:t>
            </w:r>
          </w:p>
        </w:tc>
        <w:tc>
          <w:tcPr>
            <w:tcW w:w="10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w w:val="74"/>
                <w:shd w:val="clear" w:color="auto" w:fill="CCEEFF"/>
              </w:rPr>
              <w:t>%</w:t>
            </w:r>
          </w:p>
        </w:tc>
        <w:tc>
          <w:tcPr>
            <w:tcW w:w="100" w:type="dxa"/>
            <w:vAlign w:val="bottom"/>
            <w:tcBorders>
              <w:right w:val="single" w:sz="8" w:color="CCEEFF"/>
            </w:tcBorders>
            <w:gridSpan w:val="2"/>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36,000</w:t>
            </w:r>
          </w:p>
        </w:tc>
        <w:tc>
          <w:tcPr>
            <w:tcW w:w="6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415</w:t>
            </w: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1.52</w:t>
            </w:r>
          </w:p>
        </w:tc>
        <w:tc>
          <w:tcPr>
            <w:tcW w:w="8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100" w:type="dxa"/>
            <w:vAlign w:val="bottom"/>
            <w:gridSpan w:val="2"/>
          </w:tcPr>
          <w:p>
            <w:pPr>
              <w:jc w:val="right"/>
              <w:spacing w:after="0" w:line="128"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41" w:lineRule="exact"/>
              <w:rPr>
                <w:sz w:val="20"/>
                <w:szCs w:val="20"/>
                <w:color w:val="auto"/>
              </w:rPr>
            </w:pPr>
            <w:r>
              <w:rPr>
                <w:rFonts w:ascii="Arial" w:cs="Arial" w:eastAsia="Arial" w:hAnsi="Arial"/>
                <w:sz w:val="13"/>
                <w:szCs w:val="13"/>
                <w:color w:val="auto"/>
              </w:rPr>
              <w:t>Total interest-bearing liabilities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1,106,654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1" w:lineRule="exact"/>
              <w:rPr>
                <w:sz w:val="20"/>
                <w:szCs w:val="20"/>
                <w:color w:val="auto"/>
              </w:rPr>
            </w:pPr>
            <w:r>
              <w:rPr>
                <w:rFonts w:ascii="Arial" w:cs="Arial" w:eastAsia="Arial" w:hAnsi="Arial"/>
                <w:sz w:val="13"/>
                <w:szCs w:val="13"/>
                <w:color w:val="auto"/>
              </w:rPr>
              <w:t>3,708</w:t>
            </w:r>
          </w:p>
        </w:tc>
        <w:tc>
          <w:tcPr>
            <w:tcW w:w="6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0.45</w:t>
            </w:r>
          </w:p>
        </w:tc>
        <w:tc>
          <w:tcPr>
            <w:tcW w:w="300" w:type="dxa"/>
            <w:vAlign w:val="bottom"/>
            <w:gridSpan w:val="4"/>
          </w:tcPr>
          <w:p>
            <w:pPr>
              <w:ind w:left="100"/>
              <w:spacing w:after="0" w:line="14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926,154</w:t>
            </w:r>
          </w:p>
        </w:tc>
        <w:tc>
          <w:tcPr>
            <w:tcW w:w="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80"/>
              <w:spacing w:after="0" w:line="141" w:lineRule="exact"/>
              <w:rPr>
                <w:sz w:val="20"/>
                <w:szCs w:val="20"/>
                <w:color w:val="auto"/>
              </w:rPr>
            </w:pPr>
            <w:r>
              <w:rPr>
                <w:rFonts w:ascii="Arial" w:cs="Arial" w:eastAsia="Arial" w:hAnsi="Arial"/>
                <w:sz w:val="13"/>
                <w:szCs w:val="13"/>
                <w:color w:val="auto"/>
              </w:rPr>
              <w:t>3,271</w:t>
            </w:r>
          </w:p>
        </w:tc>
        <w:tc>
          <w:tcPr>
            <w:tcW w:w="6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0.47</w:t>
            </w:r>
          </w:p>
        </w:tc>
        <w:tc>
          <w:tcPr>
            <w:tcW w:w="80" w:type="dxa"/>
            <w:vAlign w:val="bottom"/>
          </w:tcPr>
          <w:p>
            <w:pPr>
              <w:spacing w:after="0"/>
              <w:rPr>
                <w:sz w:val="12"/>
                <w:szCs w:val="12"/>
                <w:color w:val="auto"/>
              </w:rPr>
            </w:pPr>
          </w:p>
        </w:tc>
        <w:tc>
          <w:tcPr>
            <w:tcW w:w="14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Non-interest bearing demand deposits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642,396</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528,035</w:t>
            </w:r>
          </w:p>
        </w:tc>
        <w:tc>
          <w:tcPr>
            <w:tcW w:w="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Other non-interest-bearing liabilities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29,608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26,954</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1,778,658</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1,481,143</w:t>
            </w:r>
          </w:p>
        </w:tc>
        <w:tc>
          <w:tcPr>
            <w:tcW w:w="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Stockholders' equity</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191,309</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177,925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1,969,967</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1,659,068</w:t>
            </w:r>
          </w:p>
        </w:tc>
        <w:tc>
          <w:tcPr>
            <w:tcW w:w="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gridSpan w:val="4"/>
            <w:vMerge w:val="restart"/>
          </w:tcPr>
          <w:p>
            <w:pPr>
              <w:ind w:left="40"/>
              <w:spacing w:after="0"/>
              <w:rPr>
                <w:sz w:val="20"/>
                <w:szCs w:val="20"/>
                <w:color w:val="auto"/>
              </w:rPr>
            </w:pPr>
            <w:r>
              <w:rPr>
                <w:rFonts w:ascii="Arial" w:cs="Arial" w:eastAsia="Arial" w:hAnsi="Arial"/>
                <w:sz w:val="13"/>
                <w:szCs w:val="13"/>
                <w:color w:val="auto"/>
              </w:rPr>
              <w:t>Net interest income</w:t>
            </w: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5"/>
                <w:szCs w:val="5"/>
                <w:color w:val="auto"/>
                <w:w w:val="70"/>
              </w:rPr>
              <w:t>$</w:t>
            </w: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46,795</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vMerge w:val="restart"/>
          </w:tcPr>
          <w:p>
            <w:pPr>
              <w:ind w:left="80"/>
              <w:spacing w:after="0"/>
              <w:rPr>
                <w:sz w:val="20"/>
                <w:szCs w:val="20"/>
                <w:color w:val="auto"/>
              </w:rPr>
            </w:pPr>
            <w:r>
              <w:rPr>
                <w:rFonts w:ascii="Arial" w:cs="Arial" w:eastAsia="Arial" w:hAnsi="Arial"/>
                <w:sz w:val="5"/>
                <w:szCs w:val="5"/>
                <w:color w:val="auto"/>
                <w:w w:val="70"/>
              </w:rPr>
              <w:t>$</w:t>
            </w: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38,420</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gridSpan w:val="4"/>
            <w:shd w:val="clear" w:color="auto" w:fill="CCEEFF"/>
          </w:tcPr>
          <w:p>
            <w:pPr>
              <w:ind w:left="40"/>
              <w:spacing w:after="0" w:line="121"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CCEEFF"/>
            </w:tcBorders>
            <w:gridSpan w:val="3"/>
            <w:shd w:val="clear" w:color="auto" w:fill="CCEEFF"/>
          </w:tcPr>
          <w:p>
            <w:pPr>
              <w:jc w:val="right"/>
              <w:spacing w:after="0" w:line="121" w:lineRule="exact"/>
              <w:rPr>
                <w:sz w:val="20"/>
                <w:szCs w:val="20"/>
                <w:color w:val="auto"/>
              </w:rPr>
            </w:pPr>
            <w:r>
              <w:rPr>
                <w:rFonts w:ascii="Arial" w:cs="Arial" w:eastAsia="Arial" w:hAnsi="Arial"/>
                <w:sz w:val="13"/>
                <w:szCs w:val="13"/>
                <w:color w:val="auto"/>
              </w:rPr>
              <w:t>3.17</w:t>
            </w:r>
          </w:p>
        </w:tc>
        <w:tc>
          <w:tcPr>
            <w:tcW w:w="300" w:type="dxa"/>
            <w:vAlign w:val="bottom"/>
            <w:tcBorders>
              <w:top w:val="single" w:sz="8" w:color="CCEEFF"/>
              <w:right w:val="single" w:sz="8" w:color="CCEEFF"/>
            </w:tcBorders>
            <w:gridSpan w:val="4"/>
            <w:shd w:val="clear" w:color="auto" w:fill="CCEEFF"/>
          </w:tcPr>
          <w:p>
            <w:pPr>
              <w:ind w:left="100"/>
              <w:spacing w:after="0" w:line="12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3.03</w:t>
            </w:r>
          </w:p>
        </w:tc>
        <w:tc>
          <w:tcPr>
            <w:tcW w:w="80" w:type="dxa"/>
            <w:vAlign w:val="bottom"/>
          </w:tcPr>
          <w:p>
            <w:pPr>
              <w:spacing w:after="0"/>
              <w:rPr>
                <w:sz w:val="10"/>
                <w:szCs w:val="10"/>
                <w:color w:val="auto"/>
              </w:rPr>
            </w:pPr>
          </w:p>
        </w:tc>
        <w:tc>
          <w:tcPr>
            <w:tcW w:w="14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5"/>
        </w:trPr>
        <w:tc>
          <w:tcPr>
            <w:tcW w:w="2620" w:type="dxa"/>
            <w:vAlign w:val="bottom"/>
            <w:gridSpan w:val="4"/>
          </w:tcPr>
          <w:p>
            <w:pPr>
              <w:ind w:left="40"/>
              <w:spacing w:after="0"/>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3.36</w:t>
            </w:r>
          </w:p>
        </w:tc>
        <w:tc>
          <w:tcPr>
            <w:tcW w:w="30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8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Net interest income before the provision for credit losses was $16.8 million for the three months ended September 30, 2022, an increase of $3.3 million or 24.5%, from $13.5 million for the same period in 2021. This increase was primarily attributable to higher income from larger loan and investment portfolios combined with an increase in the weighted average loan yield.</w:t>
      </w:r>
    </w:p>
    <w:p>
      <w:pPr>
        <w:spacing w:after="0" w:line="14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Included with loan interest income are PPP interest and loan fees totaling $145 thousand and $1.1 million for the three months ended September 30, 2022 and 2021, respectively . PPP loan fees are recognized upon loan forgiveness by the SBA.</w:t>
      </w:r>
    </w:p>
    <w:p>
      <w:pPr>
        <w:spacing w:after="0" w:line="15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Net interest margin increased to 3.47% for the quarter ended September 30, 2022 from 3.19% for the same period in 2021. This increase was primarily due to the yields for loans and other interest-earning assets increasing.</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73" w:lineRule="exact"/>
        <w:rPr>
          <w:sz w:val="20"/>
          <w:szCs w:val="20"/>
          <w:color w:val="auto"/>
        </w:rPr>
      </w:pPr>
    </w:p>
    <w:p>
      <w:pPr>
        <w:jc w:val="both"/>
        <w:ind w:left="660" w:right="699"/>
        <w:spacing w:after="0" w:line="253" w:lineRule="auto"/>
        <w:rPr>
          <w:sz w:val="20"/>
          <w:szCs w:val="20"/>
          <w:color w:val="auto"/>
        </w:rPr>
      </w:pPr>
      <w:r>
        <w:rPr>
          <w:rFonts w:ascii="Arial" w:cs="Arial" w:eastAsia="Arial" w:hAnsi="Arial"/>
          <w:sz w:val="14"/>
          <w:szCs w:val="14"/>
          <w:color w:val="auto"/>
        </w:rPr>
        <w:t>Net interest income before the provision for credit losses was $46.8 million for the nine months ended September 30, 2022, an increase of $8.4 million or 21.8%, from $38.4 million for the same period in 2021. This increase was primarily attributable to higher income from larger loan and investment portfolios.</w:t>
      </w:r>
    </w:p>
    <w:p>
      <w:pPr>
        <w:spacing w:after="0" w:line="152" w:lineRule="exact"/>
        <w:rPr>
          <w:sz w:val="20"/>
          <w:szCs w:val="20"/>
          <w:color w:val="auto"/>
        </w:rPr>
      </w:pPr>
    </w:p>
    <w:p>
      <w:pPr>
        <w:jc w:val="both"/>
        <w:ind w:left="660" w:right="699"/>
        <w:spacing w:after="0" w:line="252" w:lineRule="auto"/>
        <w:rPr>
          <w:sz w:val="20"/>
          <w:szCs w:val="20"/>
          <w:color w:val="auto"/>
        </w:rPr>
      </w:pPr>
      <w:r>
        <w:rPr>
          <w:rFonts w:ascii="Arial" w:cs="Arial" w:eastAsia="Arial" w:hAnsi="Arial"/>
          <w:sz w:val="14"/>
          <w:szCs w:val="14"/>
          <w:color w:val="auto"/>
        </w:rPr>
        <w:t>Included with loan interest income are PPP interest and loan fees totaling $1.6 million and $3.5 million for the nine months ended September 30, 2022 and 2021, respectively. PPP loan fees are recognized upon loan forgiveness by the SBA.</w:t>
      </w:r>
    </w:p>
    <w:p>
      <w:pPr>
        <w:spacing w:after="0" w:line="200" w:lineRule="exact"/>
        <w:rPr>
          <w:sz w:val="20"/>
          <w:szCs w:val="20"/>
          <w:color w:val="auto"/>
        </w:rPr>
      </w:pPr>
    </w:p>
    <w:p>
      <w:pPr>
        <w:spacing w:after="0" w:line="2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2" w:lineRule="auto"/>
        <w:rPr>
          <w:sz w:val="20"/>
          <w:szCs w:val="20"/>
          <w:color w:val="auto"/>
        </w:rPr>
      </w:pPr>
      <w:r>
        <w:rPr>
          <w:rFonts w:ascii="Arial" w:cs="Arial" w:eastAsia="Arial" w:hAnsi="Arial"/>
          <w:sz w:val="14"/>
          <w:szCs w:val="14"/>
          <w:color w:val="auto"/>
        </w:rPr>
        <w:t>Net interest margin increased to 3.36% at September 30, 2022 from 3.22% for the same period in 2021. The yield on interest earnings assets increased 12 bps, with a decrease of 2 bps in interest-bearing liability rates.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7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ACL represents probable incurred losses in our portfolio. We maintain an adequate ACL that can mitigate probable losses inherent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considers statistical and historical trends and economic conditions and other applicable factors.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84"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provision for credit loss was $910 thousand for the three months ended September 30, 2022 compared to no provision recorded for the same period in 2021. The primary driver of the provision expense in the 2022 period was attributable to loan growth.</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84" w:lineRule="exact"/>
        <w:rPr>
          <w:sz w:val="20"/>
          <w:szCs w:val="20"/>
          <w:color w:val="auto"/>
        </w:rPr>
      </w:pPr>
    </w:p>
    <w:p>
      <w:pPr>
        <w:jc w:val="both"/>
        <w:ind w:left="660" w:right="659" w:firstLine="256"/>
        <w:spacing w:after="0" w:line="243" w:lineRule="auto"/>
        <w:rPr>
          <w:sz w:val="20"/>
          <w:szCs w:val="20"/>
          <w:color w:val="auto"/>
        </w:rPr>
      </w:pPr>
      <w:r>
        <w:rPr>
          <w:rFonts w:ascii="Arial" w:cs="Arial" w:eastAsia="Arial" w:hAnsi="Arial"/>
          <w:sz w:val="14"/>
          <w:szCs w:val="14"/>
          <w:color w:val="auto"/>
        </w:rPr>
        <w:t>The provision for credit loss was $1.6 million for the nine months ended September 30, 2022 compared to a net recovery of $160 thousand for the same period in 2021. The primary driver of the provision expense was attributable to loan growth. The ACL as a percentage of total loans decreased to 1.16% at September 30, 2022 compared to 1.27% at September 30, 2021 due to the growth of the loan portfolio.</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below for further discussion on how the ACL is calculated.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7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on the increase in the cash surrender value of these policies.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77" w:lineRule="exact"/>
        <w:rPr>
          <w:sz w:val="20"/>
          <w:szCs w:val="20"/>
          <w:color w:val="auto"/>
        </w:rPr>
      </w:pPr>
    </w:p>
    <w:tbl>
      <w:tblPr>
        <w:tblLayout w:type="fixed"/>
        <w:tblInd w:w="3820" w:type="dxa"/>
        <w:tblCellMar>
          <w:top w:w="0" w:type="dxa"/>
          <w:left w:w="0" w:type="dxa"/>
          <w:bottom w:w="0" w:type="dxa"/>
          <w:right w:w="0" w:type="dxa"/>
        </w:tblCellMar>
      </w:tblPr>
      <w:tr>
        <w:trPr>
          <w:trHeight w:val="153"/>
        </w:trPr>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Three Months Ended September 30,</w:t>
            </w:r>
          </w:p>
        </w:tc>
        <w:tc>
          <w:tcPr>
            <w:tcW w:w="40" w:type="dxa"/>
            <w:vAlign w:val="bottom"/>
          </w:tcPr>
          <w:p>
            <w:pPr>
              <w:spacing w:after="0"/>
              <w:rPr>
                <w:sz w:val="13"/>
                <w:szCs w:val="13"/>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1140" w:type="dxa"/>
            <w:vAlign w:val="bottom"/>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118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2021</w:t>
            </w:r>
          </w:p>
        </w:tc>
      </w:tr>
    </w:tbl>
    <w:p>
      <w:pPr>
        <w:spacing w:after="0" w:line="1" w:lineRule="exact"/>
        <w:rPr>
          <w:sz w:val="20"/>
          <w:szCs w:val="20"/>
          <w:color w:val="auto"/>
        </w:rPr>
      </w:pPr>
    </w:p>
    <w:p>
      <w:pPr>
        <w:sectPr>
          <w:pgSz w:w="11900" w:h="16838" w:orient="portrait"/>
          <w:cols w:equalWidth="0" w:num="1">
            <w:col w:w="9019"/>
          </w:cols>
          <w:pgMar w:left="1440" w:top="491" w:right="1440" w:bottom="1440" w:gutter="0" w:footer="0" w:header="0"/>
        </w:sectPr>
      </w:pP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Service fees</w:t>
            </w:r>
          </w:p>
        </w:tc>
        <w:tc>
          <w:tcPr>
            <w:tcW w:w="80" w:type="dxa"/>
            <w:vAlign w:val="bottom"/>
            <w:shd w:val="clear" w:color="auto" w:fill="CCEEFF"/>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r>
      <w:tr>
        <w:trPr>
          <w:trHeight w:val="166"/>
        </w:trPr>
        <w:tc>
          <w:tcPr>
            <w:tcW w:w="310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Gain on sale of loans held for sale,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Loan settlement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3"/>
                <w:szCs w:val="13"/>
                <w:color w:val="auto"/>
              </w:rPr>
              <w:t>Other non-interest income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420" w:type="dxa"/>
            <w:vAlign w:val="bottom"/>
            <w:tcBorders>
              <w:right w:val="single" w:sz="8" w:color="CCEEFF"/>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Borders>
              <w:top w:val="single" w:sz="8" w:color="auto"/>
              <w:right w:val="single" w:sz="8" w:color="CCEEFF"/>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auto"/>
              <w:right w:val="single" w:sz="8" w:color="CCEEFF"/>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21"/>
        </w:trPr>
        <w:tc>
          <w:tcPr>
            <w:tcW w:w="420" w:type="dxa"/>
            <w:vAlign w:val="bottom"/>
            <w:tcBorders>
              <w:right w:val="single" w:sz="8" w:color="CCEEFF"/>
            </w:tcBorders>
          </w:tcPr>
          <w:p>
            <w:pPr>
              <w:jc w:val="right"/>
              <w:ind w:right="36"/>
              <w:spacing w:after="0" w:line="121" w:lineRule="exact"/>
              <w:rPr>
                <w:sz w:val="20"/>
                <w:szCs w:val="20"/>
                <w:color w:val="auto"/>
              </w:rPr>
            </w:pPr>
            <w:r>
              <w:rPr>
                <w:rFonts w:ascii="Arial" w:cs="Arial" w:eastAsia="Arial" w:hAnsi="Arial"/>
                <w:sz w:val="13"/>
                <w:szCs w:val="13"/>
                <w:color w:val="auto"/>
              </w:rPr>
              <w:t>934</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856</w:t>
            </w:r>
          </w:p>
        </w:tc>
        <w:tc>
          <w:tcPr>
            <w:tcW w:w="100" w:type="dxa"/>
            <w:vAlign w:val="bottom"/>
            <w:tcBorders>
              <w:right w:val="single" w:sz="8" w:color="CCEEFF"/>
            </w:tcBorders>
          </w:tcPr>
          <w:p>
            <w:pPr>
              <w:spacing w:after="0"/>
              <w:rPr>
                <w:sz w:val="10"/>
                <w:szCs w:val="10"/>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2,917</w:t>
            </w:r>
          </w:p>
        </w:tc>
        <w:tc>
          <w:tcPr>
            <w:tcW w:w="120" w:type="dxa"/>
            <w:vAlign w:val="bottom"/>
            <w:tcBorders>
              <w:right w:val="single" w:sz="8" w:color="CCEEFF"/>
            </w:tcBorders>
          </w:tcPr>
          <w:p>
            <w:pPr>
              <w:spacing w:after="0"/>
              <w:rPr>
                <w:sz w:val="10"/>
                <w:szCs w:val="10"/>
                <w:color w:val="auto"/>
              </w:rPr>
            </w:pPr>
          </w:p>
        </w:tc>
        <w:tc>
          <w:tcPr>
            <w:tcW w:w="380" w:type="dxa"/>
            <w:vAlign w:val="bottom"/>
            <w:shd w:val="clear" w:color="auto" w:fill="CCEEFF"/>
          </w:tcPr>
          <w:p>
            <w:pPr>
              <w:jc w:val="right"/>
              <w:ind w:right="31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2,648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7"/>
        </w:trPr>
        <w:tc>
          <w:tcPr>
            <w:tcW w:w="420" w:type="dxa"/>
            <w:vAlign w:val="bottom"/>
          </w:tcPr>
          <w:p>
            <w:pPr>
              <w:jc w:val="right"/>
              <w:spacing w:after="0"/>
              <w:rPr>
                <w:sz w:val="20"/>
                <w:szCs w:val="20"/>
                <w:color w:val="auto"/>
              </w:rPr>
            </w:pPr>
            <w:r>
              <w:rPr>
                <w:rFonts w:ascii="Arial" w:cs="Arial" w:eastAsia="Arial" w:hAnsi="Arial"/>
                <w:sz w:val="13"/>
                <w:szCs w:val="13"/>
                <w:color w:val="auto"/>
              </w:rPr>
              <w:t>(558)</w:t>
            </w:r>
          </w:p>
        </w:tc>
        <w:tc>
          <w:tcPr>
            <w:tcW w:w="4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c>
          <w:tcPr>
            <w:tcW w:w="4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(540)</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330</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Borders>
              <w:right w:val="single" w:sz="8" w:color="CCEEFF"/>
            </w:tcBorders>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120" w:type="dxa"/>
            <w:vAlign w:val="bottom"/>
            <w:tcBorders>
              <w:right w:val="single" w:sz="8" w:color="CCEEFF"/>
            </w:tcBorders>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4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w w:val="92"/>
              </w:rPr>
              <w:t>1,083</w:t>
            </w: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Borders>
              <w:bottom w:val="single" w:sz="8" w:color="auto"/>
              <w:right w:val="single" w:sz="8" w:color="CCEEFF"/>
            </w:tcBorders>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120" w:type="dxa"/>
            <w:vAlign w:val="bottom"/>
            <w:tcBorders>
              <w:bottom w:val="single" w:sz="8" w:color="auto"/>
              <w:right w:val="single" w:sz="8" w:color="CCEEFF"/>
            </w:tcBorders>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1,208</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20" w:type="dxa"/>
            <w:vAlign w:val="bottom"/>
          </w:tcPr>
          <w:p>
            <w:pPr>
              <w:jc w:val="right"/>
              <w:ind w:right="36"/>
              <w:spacing w:after="0"/>
              <w:rPr>
                <w:sz w:val="20"/>
                <w:szCs w:val="20"/>
                <w:color w:val="auto"/>
              </w:rPr>
            </w:pPr>
            <w:r>
              <w:rPr>
                <w:rFonts w:ascii="Arial" w:cs="Arial" w:eastAsia="Arial" w:hAnsi="Arial"/>
                <w:sz w:val="13"/>
                <w:szCs w:val="13"/>
                <w:color w:val="auto"/>
                <w:w w:val="92"/>
              </w:rPr>
              <w:t>1,789</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4,217</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5,351</w:t>
            </w:r>
          </w:p>
        </w:tc>
        <w:tc>
          <w:tcPr>
            <w:tcW w:w="120" w:type="dxa"/>
            <w:vAlign w:val="bottom"/>
          </w:tcPr>
          <w:p>
            <w:pPr>
              <w:spacing w:after="0"/>
              <w:rPr>
                <w:sz w:val="13"/>
                <w:szCs w:val="13"/>
                <w:color w:val="auto"/>
              </w:rPr>
            </w:pPr>
          </w:p>
        </w:tc>
        <w:tc>
          <w:tcPr>
            <w:tcW w:w="380" w:type="dxa"/>
            <w:vAlign w:val="bottom"/>
          </w:tcPr>
          <w:p>
            <w:pPr>
              <w:jc w:val="right"/>
              <w:ind w:right="313"/>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8,054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3900" w:space="660"/>
            <w:col w:w="4459"/>
          </w:cols>
          <w:pgMar w:left="1440" w:top="491"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8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Non-interest income for the three months ended September 30, 2022 decreased $2.4 million or 57.7%, compared to the same period in 2021. This decrease was primarily driven by a non-recurring $2.5 million default interest recovery from a prior lending customer of the Bank. The loan was originated in 2008 and subsequently went through many iterations of credit collection. This payment reflects the final payment and settlement of lien judgements against the customer.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7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income for the nine months ended September 30, 2022 decreased $2.7 million or 33.6%, compared to the same period in 2021. This decrease was primarily driven by a non-recurring $2.5 million default interest recovery from a prior lending customer of the Bank,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type w:val="continuous"/>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8"/>
              </w:rPr>
              <w:t>Three Months Ended September 30,</w:t>
            </w:r>
          </w:p>
        </w:tc>
        <w:tc>
          <w:tcPr>
            <w:tcW w:w="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15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6,075</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5,313</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17,863</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15,804</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1,192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3,802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3,990</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1,519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915</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1,470</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4,080</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3,761</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10,132</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9,007</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29,295</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84"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Non-interest expense for the three months ended September 30, 2022 increased $1.1 million or 12.5%, compared to the same period in 2021. The increase was primarily driven by higher salaries and employee benefits expense due to new hires and increased salary compensation.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8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expense for the nine months ended September 30, 2022 increased $2.9 million or 11.1%, compared to the same period in 2021. The increase was primarily driven by higher salaries and employee benefits expense due to new hires and increased salary compensation.</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86"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2022 compared to the three months ended September 30, 2021</w:t>
      </w:r>
    </w:p>
    <w:p>
      <w:pPr>
        <w:spacing w:after="0" w:line="184" w:lineRule="exact"/>
        <w:rPr>
          <w:sz w:val="20"/>
          <w:szCs w:val="20"/>
          <w:color w:val="auto"/>
        </w:rPr>
      </w:pPr>
    </w:p>
    <w:p>
      <w:pPr>
        <w:jc w:val="both"/>
        <w:ind w:left="660" w:right="679" w:firstLine="299"/>
        <w:spacing w:after="0" w:line="245" w:lineRule="auto"/>
        <w:rPr>
          <w:sz w:val="20"/>
          <w:szCs w:val="20"/>
          <w:color w:val="auto"/>
        </w:rPr>
      </w:pPr>
      <w:r>
        <w:rPr>
          <w:rFonts w:ascii="Arial" w:cs="Arial" w:eastAsia="Arial" w:hAnsi="Arial"/>
          <w:sz w:val="14"/>
          <w:szCs w:val="14"/>
          <w:color w:val="auto"/>
        </w:rPr>
        <w:t>Income tax expense for the three months ended September 30, 2022 decreased to $2.0 million from $2.1 million for the same period in 2021. The effective tax rate for the three months ended September 30, 2022 was 26.1% compared to 24.1% for the same period in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2022 compared to nine months ended September 30, 2021</w:t>
      </w:r>
    </w:p>
    <w:p>
      <w:pPr>
        <w:spacing w:after="0" w:line="184"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Income tax expense for the nine months ended September 30, 2022 increased to $5.5 million from $4.8 million for the same period in 2021. The Company’s effective tax rate was 26.0% for the 2022 period compared to 23.9% for the same period in 2021.</w:t>
      </w:r>
    </w:p>
    <w:p>
      <w:pPr>
        <w:spacing w:after="0" w:line="158" w:lineRule="exact"/>
        <w:rPr>
          <w:sz w:val="20"/>
          <w:szCs w:val="20"/>
          <w:color w:val="auto"/>
        </w:rPr>
      </w:pPr>
    </w:p>
    <w:p>
      <w:pPr>
        <w:ind w:left="660" w:right="719" w:firstLine="256"/>
        <w:spacing w:after="0" w:line="268"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this Form 10-Q.</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88"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Total assets at September 30, 2022 were $2.0 billion, an increase of $183.5 million, or 9.9%, over total assets of $1.9 billion at December 31, 2021. Total loans increased $241.4 million, or 20.3%, to $1.4 billion at September 30, 2022 compared to $1.2 billion at December 31, 2021. Total deposits increased by $206.3 million, or 13.0%, to $1.8 billion at September 30, 2022 compared to December 31, 2021.</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75" w:lineRule="exact"/>
        <w:rPr>
          <w:sz w:val="20"/>
          <w:szCs w:val="20"/>
          <w:color w:val="auto"/>
        </w:rPr>
      </w:pPr>
    </w:p>
    <w:p>
      <w:pPr>
        <w:ind w:left="660" w:right="679" w:firstLine="256"/>
        <w:spacing w:after="0" w:line="268"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w:t>
      </w:r>
    </w:p>
    <w:p>
      <w:pPr>
        <w:spacing w:after="0" w:line="29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45" w:lineRule="auto"/>
        <w:rPr>
          <w:sz w:val="20"/>
          <w:szCs w:val="20"/>
          <w:color w:val="auto"/>
        </w:rPr>
      </w:pPr>
      <w:r>
        <w:rPr>
          <w:rFonts w:ascii="Arial" w:cs="Arial" w:eastAsia="Arial" w:hAnsi="Arial"/>
          <w:sz w:val="14"/>
          <w:szCs w:val="14"/>
          <w:color w:val="auto"/>
        </w:rPr>
        <w:t>capital market risk exposure. The philosophy of the portfolio is to maximize the Company’s profitability taking into consideration the Company’s risk appetite and tolerance, manage the asset composition and diversification, and maintain adequate risk-based capital ratios.</w:t>
      </w:r>
    </w:p>
    <w:p>
      <w:pPr>
        <w:spacing w:after="0" w:line="15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5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57"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During the quarter ended September 30, 2022 and year ended December 31, 2021, the Company transferred, at fair value, $63.8 million and $68.7 million, respectively, of securities from available-for-sale (“AFS”) to held-to-maturity (“HTM”). The related net unrealized losses of $10.6 million and net unrealized gains of $1.1 million, respectively, remained in accumulated other comprehensive income (“AOCI”) and are being amortized over the remaining life of the transferred securities. No gains or losses were recognized to income at transfer date.</w:t>
      </w:r>
    </w:p>
    <w:p>
      <w:pPr>
        <w:spacing w:after="0" w:line="160"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The book value of the AFS securities is adjusted monthly for unrealized gain or loss as a valuation allowance, and any gain or loss is reported on an after-tax basis as a component of other comprehensive income in stockholders’ equity. Periodically, we may need to assess whether there have been any events or unexpected economic circumstances to indicate that a security on which there is an unrealized loss is impaired on an other-than-temporary basis (“OTTI”). If the impairment is deemed to be permanent, an analysis is then made considering many factors, including the severity and duration of the impairment, the severity of the event, our intent and ability to hold the security for a period of time sufficient for a recovery in value, recent events specific to the issuer or industry, any related credit events, and for debt securities, external credit ratings and recent downgrades related to deterioration of credit quality. Securities on which there is an unrealized loss that is deemed to be OTTI are written down to fair value, with the write-down recorded as a realized loss under line item “Gain (loss) on sale of securities available-for-sale, net” of the Consolidated Statements of Operations. As of September 30, 2022, there are no securities which management has classified as OTTI. For further discussion of our analysis on impaired investment securities for OTTI, see Note 2 “Investment Securities” to the unaudited Consolidated Financial Statements in this Form 10-Q.</w:t>
      </w:r>
    </w:p>
    <w:p>
      <w:pPr>
        <w:spacing w:after="0" w:line="147"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AFS and HTM investment securities decreased $96.8 million or 18.5% to $427.4 million at September 30, 2022 from $524.2 million at December 31, 2021. Investment securities decreased due to payments received and higher unrealized losses. Management reinvested excess cash balances into high credit quality investments to increase the Company’s profitability and modify the Company’s balance sheet duration according to the ALM policy. As of September 30, 2022, corporate bond securities with a market value of $39.1 million were pledged to secure public deposits.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296"/>
              <w:spacing w:after="0"/>
              <w:rPr>
                <w:sz w:val="20"/>
                <w:szCs w:val="20"/>
                <w:color w:val="auto"/>
              </w:rPr>
            </w:pPr>
            <w:r>
              <w:rPr>
                <w:rFonts w:ascii="Arial" w:cs="Arial" w:eastAsia="Arial" w:hAnsi="Arial"/>
                <w:sz w:val="13"/>
                <w:szCs w:val="13"/>
                <w:b w:val="1"/>
                <w:bCs w:val="1"/>
                <w:color w:val="auto"/>
              </w:rPr>
              <w:t>September 30,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31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r>
      <w:tr>
        <w:trPr>
          <w:trHeight w:val="211"/>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3"/>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3"/>
                <w:szCs w:val="13"/>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10,520</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121,760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100,048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160,506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156,829</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92,649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76,707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26,935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49,905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50,117</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14,503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13,562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28,408</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20" w:type="dxa"/>
            <w:vAlign w:val="bottom"/>
            <w:shd w:val="clear" w:color="auto" w:fill="CCEEFF"/>
          </w:tcPr>
          <w:p>
            <w:pPr>
              <w:spacing w:after="0"/>
              <w:rPr>
                <w:sz w:val="14"/>
                <w:szCs w:val="14"/>
                <w:color w:val="auto"/>
              </w:rPr>
            </w:pPr>
          </w:p>
        </w:tc>
      </w:tr>
      <w:tr>
        <w:trPr>
          <w:trHeight w:val="221"/>
        </w:trPr>
        <w:tc>
          <w:tcPr>
            <w:tcW w:w="3800" w:type="dxa"/>
            <w:vAlign w:val="bottom"/>
          </w:tcPr>
          <w:p>
            <w:pPr>
              <w:spacing w:after="0"/>
              <w:rPr>
                <w:sz w:val="19"/>
                <w:szCs w:val="19"/>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299,273</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248,571</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405,853</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401,542</w:t>
            </w:r>
          </w:p>
        </w:tc>
        <w:tc>
          <w:tcPr>
            <w:tcW w:w="20" w:type="dxa"/>
            <w:vAlign w:val="bottom"/>
          </w:tcPr>
          <w:p>
            <w:pPr>
              <w:spacing w:after="0"/>
              <w:rPr>
                <w:sz w:val="19"/>
                <w:szCs w:val="19"/>
                <w:color w:val="auto"/>
              </w:rPr>
            </w:pPr>
          </w:p>
        </w:tc>
      </w:tr>
      <w:tr>
        <w:trPr>
          <w:trHeight w:val="133"/>
        </w:trPr>
        <w:tc>
          <w:tcPr>
            <w:tcW w:w="3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45,243</w:t>
            </w:r>
          </w:p>
        </w:tc>
        <w:tc>
          <w:tcPr>
            <w:tcW w:w="220" w:type="dxa"/>
            <w:vAlign w:val="bottom"/>
            <w:gridSpan w:val="5"/>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39,439</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34,505</w:t>
            </w:r>
          </w:p>
        </w:tc>
        <w:tc>
          <w:tcPr>
            <w:tcW w:w="240" w:type="dxa"/>
            <w:vAlign w:val="bottom"/>
            <w:gridSpan w:val="5"/>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33,904</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43,799</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40,574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35,730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26,352</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13,310</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13,089</w:t>
            </w:r>
          </w:p>
        </w:tc>
        <w:tc>
          <w:tcPr>
            <w:tcW w:w="20" w:type="dxa"/>
            <w:vAlign w:val="bottom"/>
          </w:tcPr>
          <w:p>
            <w:pPr>
              <w:spacing w:after="0"/>
              <w:rPr>
                <w:sz w:val="14"/>
                <w:szCs w:val="14"/>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178,865</w:t>
            </w:r>
          </w:p>
        </w:tc>
        <w:tc>
          <w:tcPr>
            <w:tcW w:w="6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159,739</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122,658</w:t>
            </w:r>
          </w:p>
        </w:tc>
        <w:tc>
          <w:tcPr>
            <w:tcW w:w="60" w:type="dxa"/>
            <w:vAlign w:val="bottom"/>
            <w:gridSpan w:val="2"/>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120,157</w:t>
            </w:r>
          </w:p>
        </w:tc>
        <w:tc>
          <w:tcPr>
            <w:tcW w:w="20" w:type="dxa"/>
            <w:vAlign w:val="bottom"/>
            <w:shd w:val="clear" w:color="auto" w:fill="CCEEFF"/>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September 30, 2022 (in thousands, except ratios):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14"/>
          </w:tcPr>
          <w:p>
            <w:pPr>
              <w:ind w:left="20"/>
              <w:spacing w:after="0"/>
              <w:rPr>
                <w:sz w:val="20"/>
                <w:szCs w:val="20"/>
                <w:color w:val="auto"/>
              </w:rPr>
            </w:pPr>
            <w:r>
              <w:rPr>
                <w:rFonts w:ascii="Arial" w:cs="Arial" w:eastAsia="Arial" w:hAnsi="Arial"/>
                <w:sz w:val="11"/>
                <w:szCs w:val="11"/>
                <w:b w:val="1"/>
                <w:bCs w:val="1"/>
                <w:color w:val="auto"/>
              </w:rPr>
              <w:t>After 1 year through After 5 years through</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6"/>
          </w:tcPr>
          <w:p>
            <w:pPr>
              <w:jc w:val="right"/>
              <w:ind w:right="294"/>
              <w:spacing w:after="0"/>
              <w:rPr>
                <w:sz w:val="20"/>
                <w:szCs w:val="20"/>
                <w:color w:val="auto"/>
              </w:rPr>
            </w:pPr>
            <w:r>
              <w:rPr>
                <w:rFonts w:ascii="Arial" w:cs="Arial" w:eastAsia="Arial" w:hAnsi="Arial"/>
                <w:sz w:val="11"/>
                <w:szCs w:val="11"/>
                <w:b w:val="1"/>
                <w:bCs w:val="1"/>
                <w:color w:val="auto"/>
              </w:rPr>
              <w:t>Within 1 year</w:t>
            </w:r>
          </w:p>
        </w:tc>
        <w:tc>
          <w:tcPr>
            <w:tcW w:w="680" w:type="dxa"/>
            <w:vAlign w:val="bottom"/>
            <w:gridSpan w:val="3"/>
          </w:tcPr>
          <w:p>
            <w:pPr>
              <w:ind w:left="280"/>
              <w:spacing w:after="0"/>
              <w:rPr>
                <w:sz w:val="20"/>
                <w:szCs w:val="20"/>
                <w:color w:val="auto"/>
              </w:rPr>
            </w:pPr>
            <w:r>
              <w:rPr>
                <w:rFonts w:ascii="Arial" w:cs="Arial" w:eastAsia="Arial" w:hAnsi="Arial"/>
                <w:sz w:val="11"/>
                <w:szCs w:val="11"/>
                <w:b w:val="1"/>
                <w:bCs w:val="1"/>
                <w:color w:val="auto"/>
              </w:rPr>
              <w:t>5 years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10 years</w:t>
            </w:r>
          </w:p>
        </w:tc>
        <w:tc>
          <w:tcPr>
            <w:tcW w:w="1160" w:type="dxa"/>
            <w:vAlign w:val="bottom"/>
            <w:gridSpan w:val="6"/>
          </w:tcPr>
          <w:p>
            <w:pPr>
              <w:ind w:left="80"/>
              <w:spacing w:after="0"/>
              <w:rPr>
                <w:sz w:val="20"/>
                <w:szCs w:val="20"/>
                <w:color w:val="auto"/>
              </w:rPr>
            </w:pPr>
            <w:r>
              <w:rPr>
                <w:rFonts w:ascii="Arial" w:cs="Arial" w:eastAsia="Arial" w:hAnsi="Arial"/>
                <w:sz w:val="11"/>
                <w:szCs w:val="11"/>
                <w:b w:val="1"/>
                <w:bCs w:val="1"/>
                <w:color w:val="auto"/>
              </w:rPr>
              <w:t>After 10 years</w:t>
            </w:r>
          </w:p>
        </w:tc>
        <w:tc>
          <w:tcPr>
            <w:tcW w:w="62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1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Amortized</w:t>
            </w: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00" w:type="dxa"/>
            <w:vAlign w:val="bottom"/>
            <w:gridSpan w:val="4"/>
          </w:tcPr>
          <w:p>
            <w:pPr>
              <w:jc w:val="right"/>
              <w:ind w:right="174"/>
              <w:spacing w:after="0"/>
              <w:rPr>
                <w:sz w:val="20"/>
                <w:szCs w:val="20"/>
                <w:color w:val="auto"/>
              </w:rPr>
            </w:pPr>
            <w:r>
              <w:rPr>
                <w:rFonts w:ascii="Arial" w:cs="Arial" w:eastAsia="Arial" w:hAnsi="Arial"/>
                <w:sz w:val="11"/>
                <w:szCs w:val="11"/>
                <w:b w:val="1"/>
                <w:bCs w:val="1"/>
                <w:color w:val="auto"/>
              </w:rPr>
              <w:t>Yield</w:t>
            </w:r>
          </w:p>
        </w:tc>
        <w:tc>
          <w:tcPr>
            <w:tcW w:w="680" w:type="dxa"/>
            <w:vAlign w:val="bottom"/>
            <w:gridSpan w:val="3"/>
          </w:tcPr>
          <w:p>
            <w:pPr>
              <w:ind w:left="10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4"/>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2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Yield</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2"/>
                <w:szCs w:val="12"/>
                <w:color w:val="auto"/>
              </w:rPr>
            </w:pPr>
          </w:p>
        </w:tc>
        <w:tc>
          <w:tcPr>
            <w:tcW w:w="62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Yield</w:t>
            </w:r>
          </w:p>
        </w:tc>
        <w:tc>
          <w:tcPr>
            <w:tcW w:w="620" w:type="dxa"/>
            <w:vAlign w:val="bottom"/>
            <w:gridSpan w:val="3"/>
          </w:tcPr>
          <w:p>
            <w:pPr>
              <w:ind w:left="80"/>
              <w:spacing w:after="0"/>
              <w:rPr>
                <w:sz w:val="20"/>
                <w:szCs w:val="20"/>
                <w:color w:val="auto"/>
              </w:rPr>
            </w:pPr>
            <w:r>
              <w:rPr>
                <w:rFonts w:ascii="Arial" w:cs="Arial" w:eastAsia="Arial" w:hAnsi="Arial"/>
                <w:sz w:val="11"/>
                <w:szCs w:val="11"/>
                <w:b w:val="1"/>
                <w:bCs w:val="1"/>
                <w:color w:val="auto"/>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spacing w:after="0"/>
              <w:rPr>
                <w:sz w:val="20"/>
                <w:szCs w:val="20"/>
                <w:color w:val="auto"/>
              </w:rPr>
            </w:pPr>
            <w:r>
              <w:rPr>
                <w:rFonts w:ascii="Arial" w:cs="Arial" w:eastAsia="Arial" w:hAnsi="Arial"/>
                <w:sz w:val="11"/>
                <w:szCs w:val="11"/>
                <w:color w:val="auto"/>
              </w:rPr>
              <w:t>0.00% $</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0.00% $</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0.00% $</w:t>
            </w:r>
          </w:p>
        </w:tc>
        <w:tc>
          <w:tcPr>
            <w:tcW w:w="520" w:type="dxa"/>
            <w:vAlign w:val="bottom"/>
          </w:tcPr>
          <w:p>
            <w:pPr>
              <w:jc w:val="right"/>
              <w:spacing w:after="0"/>
              <w:rPr>
                <w:sz w:val="20"/>
                <w:szCs w:val="20"/>
                <w:color w:val="auto"/>
              </w:rPr>
            </w:pPr>
            <w:r>
              <w:rPr>
                <w:rFonts w:ascii="Arial" w:cs="Arial" w:eastAsia="Arial" w:hAnsi="Arial"/>
                <w:sz w:val="11"/>
                <w:szCs w:val="11"/>
                <w:color w:val="auto"/>
              </w:rPr>
              <w:t>10,400</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2.03% $</w:t>
            </w:r>
          </w:p>
        </w:tc>
        <w:tc>
          <w:tcPr>
            <w:tcW w:w="520" w:type="dxa"/>
            <w:vAlign w:val="bottom"/>
          </w:tcPr>
          <w:p>
            <w:pPr>
              <w:ind w:left="140"/>
              <w:spacing w:after="0"/>
              <w:rPr>
                <w:sz w:val="20"/>
                <w:szCs w:val="20"/>
                <w:color w:val="auto"/>
              </w:rPr>
            </w:pPr>
            <w:r>
              <w:rPr>
                <w:rFonts w:ascii="Arial" w:cs="Arial" w:eastAsia="Arial" w:hAnsi="Arial"/>
                <w:sz w:val="11"/>
                <w:szCs w:val="11"/>
                <w:color w:val="auto"/>
              </w:rPr>
              <w:t>10,400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2.03%</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Treasury</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121,760</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1"/>
                <w:szCs w:val="11"/>
                <w:color w:val="auto"/>
              </w:rPr>
              <w:t>121,760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1.50%</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residential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92,649</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92,649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1.62%</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commercial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30,818</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1.90%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30,818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1.90%</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2.05%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24,104</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1.72%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25,104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1.73%</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14,503</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4.57%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14,503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4.57%</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2.50%</w:t>
            </w:r>
          </w:p>
        </w:tc>
      </w:tr>
      <w:tr>
        <w:trPr>
          <w:trHeight w:val="191"/>
        </w:trPr>
        <w:tc>
          <w:tcPr>
            <w:tcW w:w="18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4,039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15,503</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279,731</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Pr>
          <w:p>
            <w:pPr>
              <w:ind w:left="80"/>
              <w:spacing w:after="0"/>
              <w:rPr>
                <w:sz w:val="20"/>
                <w:szCs w:val="20"/>
                <w:color w:val="auto"/>
              </w:rPr>
            </w:pPr>
            <w:r>
              <w:rPr>
                <w:rFonts w:ascii="Arial" w:cs="Arial" w:eastAsia="Arial" w:hAnsi="Arial"/>
                <w:sz w:val="11"/>
                <w:szCs w:val="11"/>
                <w:color w:val="auto"/>
              </w:rPr>
              <w:t>299,273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1.78%</w:t>
            </w:r>
          </w:p>
        </w:tc>
      </w:tr>
      <w:tr>
        <w:trPr>
          <w:trHeight w:val="111"/>
        </w:trPr>
        <w:tc>
          <w:tcPr>
            <w:tcW w:w="18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Held-to-maturity: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spacing w:after="0"/>
              <w:rPr>
                <w:sz w:val="20"/>
                <w:szCs w:val="20"/>
                <w:color w:val="auto"/>
              </w:rPr>
            </w:pPr>
            <w:r>
              <w:rPr>
                <w:rFonts w:ascii="Arial" w:cs="Arial" w:eastAsia="Arial" w:hAnsi="Arial"/>
                <w:sz w:val="11"/>
                <w:szCs w:val="11"/>
                <w:color w:val="auto"/>
              </w:rPr>
              <w:t>0.00% $</w:t>
            </w:r>
          </w:p>
        </w:tc>
        <w:tc>
          <w:tcPr>
            <w:tcW w:w="540" w:type="dxa"/>
            <w:vAlign w:val="bottom"/>
          </w:tcPr>
          <w:p>
            <w:pPr>
              <w:jc w:val="right"/>
              <w:spacing w:after="0"/>
              <w:rPr>
                <w:sz w:val="20"/>
                <w:szCs w:val="20"/>
                <w:color w:val="auto"/>
              </w:rPr>
            </w:pPr>
            <w:r>
              <w:rPr>
                <w:rFonts w:ascii="Arial" w:cs="Arial" w:eastAsia="Arial" w:hAnsi="Arial"/>
                <w:sz w:val="11"/>
                <w:szCs w:val="11"/>
                <w:color w:val="auto"/>
              </w:rPr>
              <w:t>7,896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1.03% $</w:t>
            </w:r>
          </w:p>
        </w:tc>
        <w:tc>
          <w:tcPr>
            <w:tcW w:w="620" w:type="dxa"/>
            <w:vAlign w:val="bottom"/>
          </w:tcPr>
          <w:p>
            <w:pPr>
              <w:jc w:val="right"/>
              <w:spacing w:after="0"/>
              <w:rPr>
                <w:sz w:val="20"/>
                <w:szCs w:val="20"/>
                <w:color w:val="auto"/>
              </w:rPr>
            </w:pPr>
            <w:r>
              <w:rPr>
                <w:rFonts w:ascii="Arial" w:cs="Arial" w:eastAsia="Arial" w:hAnsi="Arial"/>
                <w:sz w:val="11"/>
                <w:szCs w:val="11"/>
                <w:color w:val="auto"/>
              </w:rPr>
              <w:t>20,342</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1.45% $</w:t>
            </w:r>
          </w:p>
        </w:tc>
        <w:tc>
          <w:tcPr>
            <w:tcW w:w="520" w:type="dxa"/>
            <w:vAlign w:val="bottom"/>
          </w:tcPr>
          <w:p>
            <w:pPr>
              <w:jc w:val="right"/>
              <w:spacing w:after="0"/>
              <w:rPr>
                <w:sz w:val="20"/>
                <w:szCs w:val="20"/>
                <w:color w:val="auto"/>
              </w:rPr>
            </w:pPr>
            <w:r>
              <w:rPr>
                <w:rFonts w:ascii="Arial" w:cs="Arial" w:eastAsia="Arial" w:hAnsi="Arial"/>
                <w:sz w:val="11"/>
                <w:szCs w:val="11"/>
                <w:color w:val="auto"/>
              </w:rPr>
              <w:t>17,005</w:t>
            </w:r>
          </w:p>
        </w:tc>
        <w:tc>
          <w:tcPr>
            <w:tcW w:w="640" w:type="dxa"/>
            <w:vAlign w:val="bottom"/>
            <w:gridSpan w:val="5"/>
          </w:tcPr>
          <w:p>
            <w:pPr>
              <w:jc w:val="right"/>
              <w:ind w:right="20"/>
              <w:spacing w:after="0"/>
              <w:rPr>
                <w:sz w:val="20"/>
                <w:szCs w:val="20"/>
                <w:color w:val="auto"/>
              </w:rPr>
            </w:pPr>
            <w:r>
              <w:rPr>
                <w:rFonts w:ascii="Arial" w:cs="Arial" w:eastAsia="Arial" w:hAnsi="Arial"/>
                <w:sz w:val="11"/>
                <w:szCs w:val="11"/>
                <w:color w:val="auto"/>
              </w:rPr>
              <w:t>2.03% $</w:t>
            </w:r>
          </w:p>
        </w:tc>
        <w:tc>
          <w:tcPr>
            <w:tcW w:w="520" w:type="dxa"/>
            <w:vAlign w:val="bottom"/>
          </w:tcPr>
          <w:p>
            <w:pPr>
              <w:ind w:left="140"/>
              <w:spacing w:after="0"/>
              <w:rPr>
                <w:sz w:val="20"/>
                <w:szCs w:val="20"/>
                <w:color w:val="auto"/>
              </w:rPr>
            </w:pPr>
            <w:r>
              <w:rPr>
                <w:rFonts w:ascii="Arial" w:cs="Arial" w:eastAsia="Arial" w:hAnsi="Arial"/>
                <w:sz w:val="11"/>
                <w:szCs w:val="11"/>
                <w:color w:val="auto"/>
              </w:rPr>
              <w:t>45,243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1.59%</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70,424</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70,424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1.66%</w:t>
            </w: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2.98%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9,204</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30,033</w:t>
            </w:r>
          </w:p>
        </w:tc>
        <w:tc>
          <w:tcPr>
            <w:tcW w:w="520" w:type="dxa"/>
            <w:vAlign w:val="bottom"/>
            <w:gridSpan w:val="3"/>
          </w:tcPr>
          <w:p>
            <w:pPr>
              <w:jc w:val="right"/>
              <w:ind w:right="20"/>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40,574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3,092</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8,391</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11,483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1.67%</w:t>
            </w: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1,522</w:t>
            </w:r>
          </w:p>
        </w:tc>
        <w:tc>
          <w:tcPr>
            <w:tcW w:w="5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1"/>
                <w:szCs w:val="11"/>
                <w:color w:val="auto"/>
              </w:rPr>
              <w:t>2.25%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9,619</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2.79%</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1"/>
                <w:szCs w:val="11"/>
                <w:color w:val="auto"/>
              </w:rPr>
              <w:t>0.00%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11,141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2.71%</w:t>
            </w:r>
          </w:p>
        </w:tc>
      </w:tr>
      <w:tr>
        <w:trPr>
          <w:trHeight w:val="151"/>
        </w:trPr>
        <w:tc>
          <w:tcPr>
            <w:tcW w:w="1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1,522</w:t>
            </w:r>
          </w:p>
        </w:tc>
        <w:tc>
          <w:tcPr>
            <w:tcW w:w="540" w:type="dxa"/>
            <w:vAlign w:val="bottom"/>
            <w:gridSpan w:val="4"/>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18,852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32,638</w:t>
            </w:r>
          </w:p>
        </w:tc>
        <w:tc>
          <w:tcPr>
            <w:tcW w:w="540" w:type="dxa"/>
            <w:vAlign w:val="bottom"/>
            <w:gridSpan w:val="4"/>
            <w:shd w:val="clear" w:color="auto" w:fill="CCEEFF"/>
          </w:tcPr>
          <w:p>
            <w:pPr>
              <w:spacing w:after="0"/>
              <w:rPr>
                <w:sz w:val="13"/>
                <w:szCs w:val="13"/>
                <w:color w:val="auto"/>
              </w:rPr>
            </w:pP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125,853</w:t>
            </w:r>
          </w:p>
        </w:tc>
        <w:tc>
          <w:tcPr>
            <w:tcW w:w="540" w:type="dxa"/>
            <w:vAlign w:val="bottom"/>
            <w:gridSpan w:val="4"/>
            <w:shd w:val="clear" w:color="auto" w:fill="CCEEFF"/>
          </w:tcPr>
          <w:p>
            <w:pPr>
              <w:spacing w:after="0"/>
              <w:rPr>
                <w:sz w:val="13"/>
                <w:szCs w:val="13"/>
                <w:color w:val="auto"/>
              </w:rPr>
            </w:pP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1"/>
                <w:szCs w:val="11"/>
                <w:color w:val="auto"/>
              </w:rPr>
              <w:t>178,865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1.73%</w:t>
            </w: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86"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rPr>
              <w:t>September 30, 2022</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7"/>
          </w:tcPr>
          <w:p>
            <w:pPr>
              <w:jc w:val="right"/>
              <w:ind w:right="396"/>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ind w:left="20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70" w:type="dxa"/>
            <w:vAlign w:val="bottom"/>
            <w:gridSpan w:val="6"/>
          </w:tcPr>
          <w:p>
            <w:pPr>
              <w:ind w:left="21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186,551</w:t>
            </w: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928,531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64.9</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59.2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121,145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94,450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6.6</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70" w:type="dxa"/>
            <w:vAlign w:val="bottom"/>
            <w:gridSpan w:val="2"/>
          </w:tcPr>
          <w:p>
            <w:pPr>
              <w:jc w:val="right"/>
              <w:ind w:right="60"/>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6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100,845</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auto"/>
            </w:tcBorders>
            <w:shd w:val="clear" w:color="auto" w:fill="CCEEFF"/>
          </w:tcPr>
          <w:p>
            <w:pPr>
              <w:spacing w:after="0"/>
              <w:rPr>
                <w:sz w:val="13"/>
                <w:szCs w:val="13"/>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1,431,522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8"/>
                <w:szCs w:val="18"/>
                <w:color w:val="auto"/>
              </w:rPr>
            </w:pPr>
          </w:p>
        </w:tc>
        <w:tc>
          <w:tcPr>
            <w:tcW w:w="150" w:type="dxa"/>
            <w:vAlign w:val="bottom"/>
            <w:tcBorders>
              <w:bottom w:val="single" w:sz="8" w:color="CCEEFF"/>
            </w:tcBorders>
          </w:tcPr>
          <w:p>
            <w:pPr>
              <w:spacing w:after="0"/>
              <w:rPr>
                <w:sz w:val="18"/>
                <w:szCs w:val="18"/>
                <w:color w:val="auto"/>
              </w:rPr>
            </w:pPr>
          </w:p>
        </w:tc>
        <w:tc>
          <w:tcPr>
            <w:tcW w:w="81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1,191,659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r>
      <w:tr>
        <w:trPr>
          <w:trHeight w:val="111"/>
        </w:trPr>
        <w:tc>
          <w:tcPr>
            <w:tcW w:w="3340" w:type="dxa"/>
            <w:vAlign w:val="bottom"/>
            <w:tcBorders>
              <w:top w:val="single" w:sz="8" w:color="CCEEFF"/>
              <w:bottom w:val="single" w:sz="8" w:color="CCEEFF"/>
            </w:tcBorders>
            <w:shd w:val="clear" w:color="auto" w:fill="CCEEFF"/>
          </w:tcPr>
          <w:p>
            <w:pPr>
              <w:ind w:left="40"/>
              <w:spacing w:after="0" w:line="111" w:lineRule="exact"/>
              <w:rPr>
                <w:sz w:val="20"/>
                <w:szCs w:val="20"/>
                <w:color w:val="auto"/>
              </w:rPr>
            </w:pPr>
            <w:r>
              <w:rPr>
                <w:rFonts w:ascii="Arial" w:cs="Arial" w:eastAsia="Arial" w:hAnsi="Arial"/>
                <w:sz w:val="12"/>
                <w:szCs w:val="12"/>
                <w:color w:val="auto"/>
              </w:rPr>
              <w:t>Less: Deferred fees (cost)</w:t>
            </w:r>
          </w:p>
        </w:tc>
        <w:tc>
          <w:tcPr>
            <w:tcW w:w="16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9</w:t>
            </w:r>
          </w:p>
        </w:tc>
        <w:tc>
          <w:tcPr>
            <w:tcW w:w="8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150" w:type="dxa"/>
            <w:vAlign w:val="bottom"/>
            <w:tcBorders>
              <w:top w:val="single" w:sz="8" w:color="CCEEFF"/>
              <w:bottom w:val="single" w:sz="8" w:color="auto"/>
            </w:tcBorders>
            <w:shd w:val="clear" w:color="auto" w:fill="CCEEFF"/>
          </w:tcPr>
          <w:p>
            <w:pPr>
              <w:spacing w:after="0"/>
              <w:rPr>
                <w:sz w:val="9"/>
                <w:szCs w:val="9"/>
                <w:color w:val="auto"/>
              </w:rPr>
            </w:pPr>
          </w:p>
        </w:tc>
        <w:tc>
          <w:tcPr>
            <w:tcW w:w="81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1,578</w:t>
            </w:r>
          </w:p>
        </w:tc>
        <w:tc>
          <w:tcPr>
            <w:tcW w:w="60" w:type="dxa"/>
            <w:vAlign w:val="bottom"/>
            <w:tcBorders>
              <w:top w:val="single" w:sz="8" w:color="CCEEFF"/>
              <w:bottom w:val="single" w:sz="8" w:color="auto"/>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fees (cost)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1,431,513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1,190,081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16,604</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auto"/>
            </w:tcBorders>
            <w:shd w:val="clear" w:color="auto" w:fill="CCEEFF"/>
          </w:tcPr>
          <w:p>
            <w:pPr>
              <w:spacing w:after="0"/>
              <w:rPr>
                <w:sz w:val="13"/>
                <w:szCs w:val="13"/>
                <w:color w:val="auto"/>
              </w:rPr>
            </w:pP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7"/>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1,414,909</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1,175,024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Total loans increased by $241.4 million or 20.3% at September 30, 2022 compared to December 31, 2021. The commercial real estate and to a lesser extent, foreign banks and consumer and other loan segments had the most significant growth partially offset by declines in the commercial and industrial and residential real estate loan segments. Commercial and industrial loans declined primarily because of continuing PPP loan forgiveness.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64.9% of the total gross loan portfolio as of September 30, 2022. We do not expect any significant changes over the foreseeable future in the composition of our loan portfolio or in our emphasis on commercial real estate lending. Our loan growth strategy since inception has been reflective of the market in which we operate and of our strategic plan as approved by the Board.</w:t>
      </w:r>
    </w:p>
    <w:p>
      <w:pPr>
        <w:spacing w:after="0" w:line="160"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6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September 30, 2022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years</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10,603</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82,484</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80,937</w:t>
            </w:r>
          </w:p>
        </w:tc>
        <w:tc>
          <w:tcPr>
            <w:tcW w:w="28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186,551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39,073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204,811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672,940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11,707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928,531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41,570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40,990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121,145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94,450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2,552</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6,480</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89,291</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100,845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260" w:type="dxa"/>
            <w:vAlign w:val="bottom"/>
            <w:gridSpan w:val="2"/>
          </w:tcPr>
          <w:p>
            <w:pPr>
              <w:jc w:val="right"/>
              <w:ind w:right="128"/>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158,867</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246,256</w:t>
            </w:r>
          </w:p>
        </w:tc>
        <w:tc>
          <w:tcPr>
            <w:tcW w:w="320" w:type="dxa"/>
            <w:vAlign w:val="bottom"/>
            <w:gridSpan w:val="5"/>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803,474</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222,925</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1,431,522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130,707</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162,789</w:t>
            </w:r>
          </w:p>
        </w:tc>
        <w:tc>
          <w:tcPr>
            <w:tcW w:w="60" w:type="dxa"/>
            <w:vAlign w:val="bottom"/>
            <w:gridSpan w:val="2"/>
            <w:shd w:val="clear" w:color="auto" w:fill="CCEEFF"/>
          </w:tcPr>
          <w:p>
            <w:pPr>
              <w:spacing w:after="0"/>
              <w:rPr>
                <w:sz w:val="14"/>
                <w:szCs w:val="14"/>
                <w:color w:val="auto"/>
              </w:rPr>
            </w:pPr>
          </w:p>
        </w:tc>
        <w:tc>
          <w:tcPr>
            <w:tcW w:w="260" w:type="dxa"/>
            <w:vAlign w:val="bottom"/>
            <w:gridSpan w:val="3"/>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151,089</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115,904</w:t>
            </w:r>
          </w:p>
        </w:tc>
        <w:tc>
          <w:tcPr>
            <w:tcW w:w="28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560,489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28,160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83,467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652,385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107,021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158,867</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246,256</w:t>
            </w:r>
          </w:p>
        </w:tc>
        <w:tc>
          <w:tcPr>
            <w:tcW w:w="6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803,474</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222,925</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1,431,522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49"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As of September 30, 2022, approximately 60.8% of the loans have adjustable/variable rates and 39.2% of the loans have fixed rates. The adjustable/variable rate loans re-price to different benchmarks and tenors in different periods of time.</w:t>
      </w:r>
    </w:p>
    <w:p>
      <w:pPr>
        <w:spacing w:after="0" w:line="18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59" w:lineRule="exact"/>
        <w:rPr>
          <w:sz w:val="20"/>
          <w:szCs w:val="20"/>
          <w:color w:val="auto"/>
        </w:rPr>
      </w:pPr>
    </w:p>
    <w:p>
      <w:pPr>
        <w:ind w:left="1180" w:right="819"/>
        <w:spacing w:after="0" w:line="266"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26" w:lineRule="exact"/>
        <w:rPr>
          <w:sz w:val="20"/>
          <w:szCs w:val="20"/>
          <w:color w:val="auto"/>
        </w:rPr>
      </w:pPr>
    </w:p>
    <w:p>
      <w:pPr>
        <w:jc w:val="both"/>
        <w:ind w:left="1180" w:right="819"/>
        <w:spacing w:after="0" w:line="252"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9"/>
          </w:tcPr>
          <w:p>
            <w:pPr>
              <w:jc w:val="right"/>
              <w:ind w:right="756"/>
              <w:spacing w:after="0"/>
              <w:rPr>
                <w:sz w:val="20"/>
                <w:szCs w:val="20"/>
                <w:color w:val="auto"/>
              </w:rPr>
            </w:pPr>
            <w:r>
              <w:rPr>
                <w:rFonts w:ascii="Arial" w:cs="Arial" w:eastAsia="Arial" w:hAnsi="Arial"/>
                <w:sz w:val="13"/>
                <w:szCs w:val="13"/>
                <w:b w:val="1"/>
                <w:bCs w:val="1"/>
                <w:color w:val="auto"/>
                <w:w w:val="97"/>
              </w:rPr>
              <w:t>September 30, 2022</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186,551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186,551</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928,131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928,531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120,806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121,145</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94,450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94,450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100,642</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100,845</w:t>
            </w:r>
          </w:p>
        </w:tc>
        <w:tc>
          <w:tcPr>
            <w:tcW w:w="20" w:type="dxa"/>
            <w:vAlign w:val="bottom"/>
            <w:shd w:val="clear" w:color="auto" w:fill="CCEEFF"/>
          </w:tcPr>
          <w:p>
            <w:pPr>
              <w:spacing w:after="0"/>
              <w:rPr>
                <w:sz w:val="14"/>
                <w:szCs w:val="14"/>
                <w:color w:val="auto"/>
              </w:rPr>
            </w:pPr>
          </w:p>
        </w:tc>
      </w:tr>
      <w:tr>
        <w:trPr>
          <w:trHeight w:val="173"/>
        </w:trPr>
        <w:tc>
          <w:tcPr>
            <w:tcW w:w="230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1,430,580</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1,431,522</w:t>
            </w:r>
          </w:p>
        </w:tc>
        <w:tc>
          <w:tcPr>
            <w:tcW w:w="20" w:type="dxa"/>
            <w:vAlign w:val="bottom"/>
            <w:tcBorders>
              <w:bottom w:val="single" w:sz="8" w:color="auto"/>
            </w:tcBorders>
          </w:tcPr>
          <w:p>
            <w:pPr>
              <w:spacing w:after="0"/>
              <w:rPr>
                <w:sz w:val="15"/>
                <w:szCs w:val="15"/>
                <w:color w:val="auto"/>
              </w:rPr>
            </w:pPr>
          </w:p>
        </w:tc>
      </w:tr>
    </w:tbl>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8"/>
          </w:tcPr>
          <w:p>
            <w:pPr>
              <w:jc w:val="right"/>
              <w:ind w:right="776"/>
              <w:spacing w:after="0"/>
              <w:rPr>
                <w:sz w:val="20"/>
                <w:szCs w:val="20"/>
                <w:color w:val="auto"/>
              </w:rPr>
            </w:pPr>
            <w:r>
              <w:rPr>
                <w:rFonts w:ascii="Arial" w:cs="Arial" w:eastAsia="Arial" w:hAnsi="Arial"/>
                <w:sz w:val="13"/>
                <w:szCs w:val="13"/>
                <w:b w:val="1"/>
                <w:bCs w:val="1"/>
                <w:color w:val="auto"/>
                <w:w w:val="97"/>
              </w:rPr>
              <w:t>December 31, 2021</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Pass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Substandard</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703,349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3"/>
        </w:trPr>
        <w:tc>
          <w:tcPr>
            <w:tcW w:w="2300" w:type="dxa"/>
            <w:vAlign w:val="bottom"/>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1,184,662</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5,775</w:t>
            </w:r>
          </w:p>
        </w:tc>
        <w:tc>
          <w:tcPr>
            <w:tcW w:w="40" w:type="dxa"/>
            <w:vAlign w:val="bottom"/>
            <w:tcBorders>
              <w:bottom w:val="single" w:sz="8" w:color="auto"/>
            </w:tcBorders>
            <w:gridSpan w:val="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1,191,659</w:t>
            </w:r>
          </w:p>
        </w:tc>
        <w:tc>
          <w:tcPr>
            <w:tcW w:w="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September 30, 2022</w:t>
            </w: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Non-accrual loans, less non-accrual TDR loans</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1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20" w:type="dxa"/>
            <w:vAlign w:val="bottom"/>
            <w:shd w:val="clear" w:color="auto" w:fill="CCEEFF"/>
          </w:tcPr>
          <w:p>
            <w:pPr>
              <w:spacing w:after="0"/>
              <w:rPr>
                <w:sz w:val="13"/>
                <w:szCs w:val="13"/>
                <w:color w:val="auto"/>
              </w:rPr>
            </w:pPr>
          </w:p>
        </w:tc>
      </w:tr>
      <w:tr>
        <w:trPr>
          <w:trHeight w:val="171"/>
        </w:trPr>
        <w:tc>
          <w:tcPr>
            <w:tcW w:w="4900" w:type="dxa"/>
            <w:vAlign w:val="bottom"/>
            <w:gridSpan w:val="2"/>
          </w:tcPr>
          <w:p>
            <w:pPr>
              <w:ind w:left="40"/>
              <w:spacing w:after="0"/>
              <w:rPr>
                <w:sz w:val="20"/>
                <w:szCs w:val="20"/>
                <w:color w:val="auto"/>
              </w:rPr>
            </w:pPr>
            <w:r>
              <w:rPr>
                <w:rFonts w:ascii="Arial" w:cs="Arial" w:eastAsia="Arial" w:hAnsi="Arial"/>
                <w:sz w:val="13"/>
                <w:szCs w:val="13"/>
                <w:color w:val="auto"/>
              </w:rPr>
              <w:t>Non-accrual TDRs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Loans past due over 90 days and still accruing</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120" w:type="dxa"/>
            <w:vAlign w:val="bottom"/>
          </w:tcPr>
          <w:p>
            <w:pPr>
              <w:spacing w:after="0"/>
              <w:rPr>
                <w:sz w:val="13"/>
                <w:szCs w:val="13"/>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loans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3"/>
                <w:szCs w:val="13"/>
                <w:color w:val="auto"/>
              </w:rPr>
            </w:pPr>
          </w:p>
        </w:tc>
      </w:tr>
      <w:tr>
        <w:trPr>
          <w:trHeight w:val="171"/>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real estate owned</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21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3"/>
                <w:szCs w:val="13"/>
                <w:color w:val="auto"/>
              </w:rPr>
              <w:t>Total non-performing assets</w:t>
            </w:r>
          </w:p>
        </w:tc>
        <w:tc>
          <w:tcPr>
            <w:tcW w:w="17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1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Pr>
          <w:p>
            <w:pPr>
              <w:spacing w:after="0"/>
              <w:rPr>
                <w:sz w:val="17"/>
                <w:szCs w:val="17"/>
                <w:color w:val="auto"/>
              </w:rPr>
            </w:pPr>
          </w:p>
        </w:tc>
      </w:tr>
      <w:tr>
        <w:trPr>
          <w:trHeight w:val="121"/>
        </w:trPr>
        <w:tc>
          <w:tcPr>
            <w:tcW w:w="4900" w:type="dxa"/>
            <w:vAlign w:val="bottom"/>
            <w:tcBorders>
              <w:top w:val="single" w:sz="8" w:color="CCEEFF"/>
            </w:tcBorders>
            <w:gridSpan w:val="2"/>
            <w:shd w:val="clear" w:color="auto" w:fill="CCEEFF"/>
          </w:tcPr>
          <w:p>
            <w:pPr>
              <w:ind w:left="40"/>
              <w:spacing w:after="0" w:line="121" w:lineRule="exact"/>
              <w:rPr>
                <w:sz w:val="20"/>
                <w:szCs w:val="20"/>
                <w:color w:val="auto"/>
              </w:rPr>
            </w:pPr>
            <w:r>
              <w:rPr>
                <w:rFonts w:ascii="Arial" w:cs="Arial" w:eastAsia="Arial" w:hAnsi="Arial"/>
                <w:sz w:val="13"/>
                <w:szCs w:val="13"/>
                <w:b w:val="1"/>
                <w:bCs w:val="1"/>
                <w:color w:val="auto"/>
              </w:rPr>
              <w:t>Asset quality ratios:</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121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120" w:type="dxa"/>
            <w:vAlign w:val="bottom"/>
          </w:tcPr>
          <w:p>
            <w:pPr>
              <w:spacing w:after="0"/>
              <w:rPr>
                <w:sz w:val="14"/>
                <w:szCs w:val="14"/>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Allowance for credit losses to total loans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1.16%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credit losses to non-performing loans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12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20" w:type="dxa"/>
            <w:vAlign w:val="bottom"/>
            <w:shd w:val="clear" w:color="auto" w:fill="CCEEFF"/>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4780" w:type="dxa"/>
            <w:vAlign w:val="bottom"/>
          </w:tcPr>
          <w:p>
            <w:pPr>
              <w:ind w:left="20"/>
              <w:spacing w:after="0"/>
              <w:rPr>
                <w:sz w:val="20"/>
                <w:szCs w:val="20"/>
                <w:color w:val="auto"/>
              </w:rPr>
            </w:pPr>
            <w:r>
              <w:rPr>
                <w:rFonts w:ascii="Arial" w:cs="Arial" w:eastAsia="Arial" w:hAnsi="Arial"/>
                <w:sz w:val="13"/>
                <w:szCs w:val="13"/>
                <w:color w:val="auto"/>
              </w:rPr>
              <w:t>Non-performing loans to total loans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1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5"/>
                <w:szCs w:val="15"/>
                <w:color w:val="auto"/>
              </w:rPr>
            </w:pPr>
          </w:p>
        </w:tc>
      </w:tr>
    </w:tbl>
    <w:p>
      <w:pPr>
        <w:spacing w:after="0" w:line="165"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non-accrual troubled debt restructuring (“TDRs”),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60"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47"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A TDR is a debtor that is experiencing financial difficulties and to whom the Company grants a loan concession. This determination is performed during the annual review process or whenever problems surface regarding the client’s ability to repay in accordance with the original terms of the loan or line of credit. In general, a borrower that can obtain funds from sources other than the Company at market interest rates at or near those for non-troubled debt is not involved in a troubled debt restructuring. The concessions are given to the debtor in various forms, including interest rate reductions, principal forgiveness, extension of maturity date, waiver, or deferral of payments and other concessions intended to minimize potential losses.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tables present performing and non-performing TDRs at the dates indicated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3"/>
                <w:szCs w:val="13"/>
                <w:b w:val="1"/>
                <w:bCs w:val="1"/>
                <w:color w:val="auto"/>
                <w:w w:val="98"/>
              </w:rPr>
              <w:t>September 30, 2022</w:t>
            </w:r>
          </w:p>
        </w:tc>
        <w:tc>
          <w:tcPr>
            <w:tcW w:w="8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436"/>
              <w:spacing w:after="0"/>
              <w:rPr>
                <w:sz w:val="20"/>
                <w:szCs w:val="20"/>
                <w:color w:val="auto"/>
              </w:rPr>
            </w:pPr>
            <w:r>
              <w:rPr>
                <w:rFonts w:ascii="Arial" w:cs="Arial" w:eastAsia="Arial" w:hAnsi="Arial"/>
                <w:sz w:val="13"/>
                <w:szCs w:val="13"/>
                <w:b w:val="1"/>
                <w:bCs w:val="1"/>
                <w:color w:val="auto"/>
                <w:w w:val="99"/>
              </w:rPr>
              <w:t>December 31, 2021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Non-Accrual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5"/>
              </w:rPr>
              <w:t>Status</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Total TDRs</w:t>
            </w: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Accrual Status</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Status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Total TDRs</w:t>
            </w:r>
          </w:p>
        </w:tc>
        <w:tc>
          <w:tcPr>
            <w:tcW w:w="20" w:type="dxa"/>
            <w:vAlign w:val="bottom"/>
          </w:tcPr>
          <w:p>
            <w:pPr>
              <w:spacing w:after="0"/>
              <w:rPr>
                <w:sz w:val="13"/>
                <w:szCs w:val="13"/>
                <w:color w:val="auto"/>
              </w:rPr>
            </w:pPr>
          </w:p>
        </w:tc>
      </w:tr>
      <w:tr>
        <w:trPr>
          <w:trHeight w:val="151"/>
        </w:trPr>
        <w:tc>
          <w:tcPr>
            <w:tcW w:w="1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184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586</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1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18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Consumer and other</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8,138</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allocated $309 thousand and $360 thousand of specific allowance for TDR loans at September 30, 2022 and December 31, 2021, respectively. There was no commitment to lend additional funds to these TDR customers at either date.</w:t>
      </w:r>
    </w:p>
    <w:p>
      <w:pPr>
        <w:spacing w:after="0" w:line="142"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During the quarter ended September 30, 2022 and 2021, there were no defaults on TDR loans within the prior 12 months. Additionally, the Company did not have any new TDR loans during the three months ended September 30, 2022 and 2021.</w:t>
      </w:r>
    </w:p>
    <w:p>
      <w:pPr>
        <w:spacing w:after="0" w:line="15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For further discussion on non-performing loans, see Note 3 “Loans” to the unaudited Consolidated Financial Statements on this Form 10-Q.</w:t>
      </w:r>
    </w:p>
    <w:p>
      <w:pPr>
        <w:spacing w:after="0" w:line="20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6"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In determining the balance of the allowance account, loans are pooled by product segments with similar risk characteristics and management evaluates the ACL on each segment and on a regular basis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Additionally, qualitative adjustments are made to the ACL when, based on management’s judgment, there are factors impacting the allowance estimate not considered by the quantitative calculations.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Banks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7"/>
                <w:shd w:val="clear" w:color="auto" w:fill="CCEEFF"/>
              </w:rPr>
              <w:t>Three Months Ended September 30, 2022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2,366</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9,290</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2,671</w:t>
            </w:r>
          </w:p>
        </w:tc>
        <w:tc>
          <w:tcPr>
            <w:tcW w:w="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651</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808</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9,985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3,709</w:t>
            </w:r>
          </w:p>
        </w:tc>
        <w:tc>
          <w:tcPr>
            <w:tcW w:w="4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725</w:t>
            </w:r>
          </w:p>
        </w:tc>
        <w:tc>
          <w:tcPr>
            <w:tcW w:w="2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827</w:t>
            </w:r>
          </w:p>
        </w:tc>
        <w:tc>
          <w:tcPr>
            <w:tcW w:w="2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190,757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887,000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119,993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94,628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106,382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1,398,761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bl>
    <w:p>
      <w:pPr>
        <w:spacing w:after="0" w:line="178" w:lineRule="exact"/>
        <w:rPr>
          <w:sz w:val="20"/>
          <w:szCs w:val="20"/>
          <w:color w:val="auto"/>
        </w:rPr>
      </w:pPr>
    </w:p>
    <w:p>
      <w:pPr>
        <w:sectPr>
          <w:pgSz w:w="11900" w:h="16838" w:orient="portrait"/>
          <w:cols w:equalWidth="0" w:num="1">
            <w:col w:w="9019"/>
          </w:cols>
          <w:pgMar w:left="1440" w:top="491" w:right="1440" w:bottom="1440" w:gutter="0" w:footer="0" w:header="0"/>
        </w:sectPr>
      </w:pPr>
    </w:p>
    <w:tbl>
      <w:tblPr>
        <w:tblLayout w:type="fixed"/>
        <w:tblInd w:w="66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Arial" w:cs="Arial" w:eastAsia="Arial" w:hAnsi="Arial"/>
                <w:sz w:val="13"/>
                <w:szCs w:val="13"/>
                <w:b w:val="1"/>
                <w:bCs w:val="1"/>
                <w:color w:val="auto"/>
                <w:w w:val="99"/>
              </w:rPr>
              <w:t>Nine Months Ended September 30, 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460" w:type="dxa"/>
            <w:vAlign w:val="bottom"/>
          </w:tcPr>
          <w:p>
            <w:pPr>
              <w:spacing w:after="0"/>
              <w:rPr>
                <w:sz w:val="20"/>
                <w:szCs w:val="20"/>
                <w:color w:val="auto"/>
              </w:rPr>
            </w:pPr>
            <w:r>
              <w:rPr>
                <w:rFonts w:ascii="Arial" w:cs="Arial" w:eastAsia="Arial" w:hAnsi="Arial"/>
                <w:sz w:val="13"/>
                <w:szCs w:val="13"/>
                <w:color w:val="auto"/>
              </w:rPr>
              <w:t>Beginning balance</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60"/>
        </w:trPr>
        <w:tc>
          <w:tcPr>
            <w:tcW w:w="246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460" w:type="dxa"/>
            <w:vAlign w:val="bottom"/>
          </w:tcPr>
          <w:p>
            <w:pPr>
              <w:spacing w:after="0"/>
              <w:rPr>
                <w:sz w:val="20"/>
                <w:szCs w:val="20"/>
                <w:color w:val="auto"/>
              </w:rPr>
            </w:pPr>
            <w:r>
              <w:rPr>
                <w:rFonts w:ascii="Arial" w:cs="Arial" w:eastAsia="Arial" w:hAnsi="Arial"/>
                <w:sz w:val="13"/>
                <w:szCs w:val="13"/>
                <w:color w:val="auto"/>
              </w:rPr>
              <w:t>Recoveries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460" w:type="dxa"/>
            <w:vAlign w:val="bottom"/>
          </w:tcPr>
          <w:p>
            <w:pPr>
              <w:spacing w:after="0"/>
              <w:rPr>
                <w:sz w:val="20"/>
                <w:szCs w:val="20"/>
                <w:color w:val="auto"/>
              </w:rPr>
            </w:pPr>
            <w:r>
              <w:rPr>
                <w:rFonts w:ascii="Arial" w:cs="Arial" w:eastAsia="Arial" w:hAnsi="Arial"/>
                <w:sz w:val="13"/>
                <w:szCs w:val="13"/>
                <w:color w:val="auto"/>
              </w:rPr>
              <w:t>Charge-offs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2460" w:type="dxa"/>
            <w:vAlign w:val="bottom"/>
          </w:tcPr>
          <w:p>
            <w:pPr>
              <w:spacing w:after="0"/>
              <w:rPr>
                <w:sz w:val="20"/>
                <w:szCs w:val="20"/>
                <w:color w:val="auto"/>
              </w:rPr>
            </w:pPr>
            <w:r>
              <w:rPr>
                <w:rFonts w:ascii="Arial" w:cs="Arial" w:eastAsia="Arial" w:hAnsi="Arial"/>
                <w:sz w:val="13"/>
                <w:szCs w:val="13"/>
                <w:color w:val="auto"/>
              </w:rPr>
              <w:t>Ending Balance</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9"/>
        </w:trPr>
        <w:tc>
          <w:tcPr>
            <w:tcW w:w="2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80" w:type="dxa"/>
            <w:vAlign w:val="bottom"/>
          </w:tcPr>
          <w:p>
            <w:pPr>
              <w:jc w:val="right"/>
              <w:ind w:right="56"/>
              <w:spacing w:after="0"/>
              <w:rPr>
                <w:sz w:val="20"/>
                <w:szCs w:val="20"/>
                <w:color w:val="auto"/>
              </w:rPr>
            </w:pPr>
            <w:r>
              <w:rPr>
                <w:rFonts w:ascii="Arial" w:cs="Arial" w:eastAsia="Arial" w:hAnsi="Arial"/>
                <w:sz w:val="13"/>
                <w:szCs w:val="13"/>
                <w:color w:val="auto"/>
              </w:rPr>
              <w:t>2,498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8,758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2,775</w:t>
            </w:r>
          </w:p>
        </w:tc>
        <w:tc>
          <w:tcPr>
            <w:tcW w:w="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569</w:t>
            </w:r>
          </w:p>
        </w:tc>
        <w:tc>
          <w:tcPr>
            <w:tcW w:w="4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15,057</w:t>
            </w:r>
          </w:p>
        </w:tc>
        <w:tc>
          <w:tcPr>
            <w:tcW w:w="60" w:type="dxa"/>
            <w:vAlign w:val="bottom"/>
          </w:tcPr>
          <w:p>
            <w:pPr>
              <w:spacing w:after="0"/>
              <w:rPr>
                <w:sz w:val="13"/>
                <w:szCs w:val="13"/>
                <w:color w:val="auto"/>
              </w:rPr>
            </w:pPr>
          </w:p>
        </w:tc>
      </w:tr>
      <w:tr>
        <w:trPr>
          <w:trHeight w:val="154"/>
        </w:trPr>
        <w:tc>
          <w:tcPr>
            <w:tcW w:w="480" w:type="dxa"/>
            <w:vAlign w:val="bottom"/>
          </w:tcPr>
          <w:p>
            <w:pPr>
              <w:jc w:val="right"/>
              <w:spacing w:after="0"/>
              <w:rPr>
                <w:sz w:val="20"/>
                <w:szCs w:val="20"/>
                <w:color w:val="auto"/>
              </w:rPr>
            </w:pPr>
            <w:r>
              <w:rPr>
                <w:rFonts w:ascii="Arial" w:cs="Arial" w:eastAsia="Arial" w:hAnsi="Arial"/>
                <w:sz w:val="13"/>
                <w:szCs w:val="13"/>
                <w:color w:val="auto"/>
                <w:w w:val="97"/>
              </w:rPr>
              <w:t>(1,157)</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1,227</w:t>
            </w: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40" w:type="dxa"/>
            <w:vAlign w:val="bottom"/>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40" w:type="dxa"/>
            <w:vAlign w:val="bottom"/>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60" w:type="dxa"/>
            <w:vAlign w:val="bottom"/>
          </w:tcPr>
          <w:p>
            <w:pPr>
              <w:spacing w:after="0"/>
              <w:rPr>
                <w:sz w:val="13"/>
                <w:szCs w:val="13"/>
                <w:color w:val="auto"/>
              </w:rPr>
            </w:pPr>
          </w:p>
        </w:tc>
      </w:tr>
      <w:tr>
        <w:trPr>
          <w:trHeight w:val="187"/>
        </w:trPr>
        <w:tc>
          <w:tcPr>
            <w:tcW w:w="480" w:type="dxa"/>
            <w:vAlign w:val="bottom"/>
          </w:tcPr>
          <w:p>
            <w:pPr>
              <w:jc w:val="right"/>
              <w:ind w:right="36"/>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16"/>
                <w:szCs w:val="16"/>
                <w:color w:val="auto"/>
              </w:rPr>
            </w:pPr>
          </w:p>
        </w:tc>
      </w:tr>
      <w:tr>
        <w:trPr>
          <w:trHeight w:val="154"/>
        </w:trPr>
        <w:tc>
          <w:tcPr>
            <w:tcW w:w="4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01"/>
        </w:trPr>
        <w:tc>
          <w:tcPr>
            <w:tcW w:w="480" w:type="dxa"/>
            <w:vAlign w:val="bottom"/>
          </w:tcPr>
          <w:p>
            <w:pPr>
              <w:jc w:val="right"/>
              <w:ind w:right="56"/>
              <w:spacing w:after="0"/>
              <w:rPr>
                <w:sz w:val="20"/>
                <w:szCs w:val="20"/>
                <w:color w:val="auto"/>
              </w:rPr>
            </w:pPr>
            <w:r>
              <w:rPr>
                <w:rFonts w:ascii="Arial" w:cs="Arial" w:eastAsia="Arial" w:hAnsi="Arial"/>
                <w:sz w:val="13"/>
                <w:szCs w:val="13"/>
                <w:color w:val="auto"/>
              </w:rPr>
              <w:t>1,358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9,985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3,709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827</w:t>
            </w:r>
          </w:p>
        </w:tc>
        <w:tc>
          <w:tcPr>
            <w:tcW w:w="4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16,604</w:t>
            </w:r>
          </w:p>
        </w:tc>
        <w:tc>
          <w:tcPr>
            <w:tcW w:w="60" w:type="dxa"/>
            <w:vAlign w:val="bottom"/>
          </w:tcPr>
          <w:p>
            <w:pPr>
              <w:spacing w:after="0"/>
              <w:rPr>
                <w:sz w:val="17"/>
                <w:szCs w:val="17"/>
                <w:color w:val="auto"/>
              </w:rPr>
            </w:pPr>
          </w:p>
        </w:tc>
      </w:tr>
      <w:tr>
        <w:trPr>
          <w:trHeight w:val="121"/>
        </w:trPr>
        <w:tc>
          <w:tcPr>
            <w:tcW w:w="480" w:type="dxa"/>
            <w:vAlign w:val="bottom"/>
            <w:tcBorders>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r>
    </w:tbl>
    <w:p>
      <w:pPr>
        <w:spacing w:after="0" w:line="21" w:lineRule="exact"/>
        <w:rPr>
          <w:sz w:val="20"/>
          <w:szCs w:val="20"/>
          <w:color w:val="auto"/>
        </w:rPr>
      </w:pPr>
    </w:p>
    <w:p>
      <w:pPr>
        <w:sectPr>
          <w:pgSz w:w="11900" w:h="16838" w:orient="portrait"/>
          <w:cols w:equalWidth="0" w:num="2">
            <w:col w:w="3280" w:space="300"/>
            <w:col w:w="543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195,863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809,411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128,625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77,237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91,773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1,302,909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412"/>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Banks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w w:val="97"/>
                <w:shd w:val="clear" w:color="auto" w:fill="CCEEFF"/>
              </w:rPr>
              <w:t>Three Months Ended September 30, 2021</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2,540</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8,752</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2,467</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554</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535</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9,471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2,747</w:t>
            </w:r>
          </w:p>
        </w:tc>
        <w:tc>
          <w:tcPr>
            <w:tcW w:w="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525</w:t>
            </w:r>
          </w:p>
        </w:tc>
        <w:tc>
          <w:tcPr>
            <w:tcW w:w="2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218,295</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690,923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170,874</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51,538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12,645</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1,144,275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bl>
    <w:p>
      <w:pPr>
        <w:spacing w:after="0" w:line="178" w:lineRule="exact"/>
        <w:rPr>
          <w:sz w:val="20"/>
          <w:szCs w:val="20"/>
          <w:color w:val="auto"/>
        </w:rPr>
      </w:pPr>
    </w:p>
    <w:p>
      <w:pPr>
        <w:sectPr>
          <w:pgSz w:w="11900" w:h="16838" w:orient="portrait"/>
          <w:cols w:equalWidth="0" w:num="1">
            <w:col w:w="901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Arial" w:cs="Arial" w:eastAsia="Arial" w:hAnsi="Arial"/>
                <w:sz w:val="13"/>
                <w:szCs w:val="13"/>
                <w:b w:val="1"/>
                <w:bCs w:val="1"/>
                <w:color w:val="auto"/>
                <w:w w:val="99"/>
              </w:rPr>
              <w:t>Nine Months Ended September 30, 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460" w:type="dxa"/>
            <w:vAlign w:val="bottom"/>
          </w:tcPr>
          <w:p>
            <w:pPr>
              <w:spacing w:after="0"/>
              <w:rPr>
                <w:sz w:val="20"/>
                <w:szCs w:val="20"/>
                <w:color w:val="auto"/>
              </w:rPr>
            </w:pPr>
            <w:r>
              <w:rPr>
                <w:rFonts w:ascii="Arial" w:cs="Arial" w:eastAsia="Arial" w:hAnsi="Arial"/>
                <w:sz w:val="13"/>
                <w:szCs w:val="13"/>
                <w:color w:val="auto"/>
              </w:rPr>
              <w:t>Beginning balance</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60"/>
        </w:trPr>
        <w:tc>
          <w:tcPr>
            <w:tcW w:w="246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460" w:type="dxa"/>
            <w:vAlign w:val="bottom"/>
          </w:tcPr>
          <w:p>
            <w:pPr>
              <w:spacing w:after="0"/>
              <w:rPr>
                <w:sz w:val="20"/>
                <w:szCs w:val="20"/>
                <w:color w:val="auto"/>
              </w:rPr>
            </w:pPr>
            <w:r>
              <w:rPr>
                <w:rFonts w:ascii="Arial" w:cs="Arial" w:eastAsia="Arial" w:hAnsi="Arial"/>
                <w:sz w:val="13"/>
                <w:szCs w:val="13"/>
                <w:color w:val="auto"/>
              </w:rPr>
              <w:t>Recoveries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460" w:type="dxa"/>
            <w:vAlign w:val="bottom"/>
          </w:tcPr>
          <w:p>
            <w:pPr>
              <w:spacing w:after="0"/>
              <w:rPr>
                <w:sz w:val="20"/>
                <w:szCs w:val="20"/>
                <w:color w:val="auto"/>
              </w:rPr>
            </w:pPr>
            <w:r>
              <w:rPr>
                <w:rFonts w:ascii="Arial" w:cs="Arial" w:eastAsia="Arial" w:hAnsi="Arial"/>
                <w:sz w:val="13"/>
                <w:szCs w:val="13"/>
                <w:color w:val="auto"/>
              </w:rPr>
              <w:t>Charge-offs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2460" w:type="dxa"/>
            <w:vAlign w:val="bottom"/>
          </w:tcPr>
          <w:p>
            <w:pPr>
              <w:spacing w:after="0"/>
              <w:rPr>
                <w:sz w:val="20"/>
                <w:szCs w:val="20"/>
                <w:color w:val="auto"/>
              </w:rPr>
            </w:pPr>
            <w:r>
              <w:rPr>
                <w:rFonts w:ascii="Arial" w:cs="Arial" w:eastAsia="Arial" w:hAnsi="Arial"/>
                <w:sz w:val="13"/>
                <w:szCs w:val="13"/>
                <w:color w:val="auto"/>
              </w:rPr>
              <w:t>Ending Balance</w:t>
            </w: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49"/>
        </w:trPr>
        <w:tc>
          <w:tcPr>
            <w:tcW w:w="2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80" w:type="dxa"/>
            <w:vAlign w:val="bottom"/>
          </w:tcPr>
          <w:p>
            <w:pPr>
              <w:jc w:val="right"/>
              <w:ind w:right="56"/>
              <w:spacing w:after="0"/>
              <w:rPr>
                <w:sz w:val="20"/>
                <w:szCs w:val="20"/>
                <w:color w:val="auto"/>
              </w:rPr>
            </w:pPr>
            <w:r>
              <w:rPr>
                <w:rFonts w:ascii="Arial" w:cs="Arial" w:eastAsia="Arial" w:hAnsi="Arial"/>
                <w:sz w:val="13"/>
                <w:szCs w:val="13"/>
                <w:color w:val="auto"/>
              </w:rPr>
              <w:t>3,408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9,453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1,689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188</w:t>
            </w:r>
          </w:p>
        </w:tc>
        <w:tc>
          <w:tcPr>
            <w:tcW w:w="4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15,086</w:t>
            </w:r>
          </w:p>
        </w:tc>
        <w:tc>
          <w:tcPr>
            <w:tcW w:w="20" w:type="dxa"/>
            <w:vAlign w:val="bottom"/>
          </w:tcPr>
          <w:p>
            <w:pPr>
              <w:spacing w:after="0"/>
              <w:rPr>
                <w:sz w:val="13"/>
                <w:szCs w:val="13"/>
                <w:color w:val="auto"/>
              </w:rPr>
            </w:pPr>
          </w:p>
        </w:tc>
      </w:tr>
      <w:tr>
        <w:trPr>
          <w:trHeight w:val="154"/>
        </w:trPr>
        <w:tc>
          <w:tcPr>
            <w:tcW w:w="480" w:type="dxa"/>
            <w:vAlign w:val="bottom"/>
          </w:tcPr>
          <w:p>
            <w:pPr>
              <w:jc w:val="right"/>
              <w:spacing w:after="0"/>
              <w:rPr>
                <w:sz w:val="20"/>
                <w:szCs w:val="20"/>
                <w:color w:val="auto"/>
              </w:rPr>
            </w:pPr>
            <w:r>
              <w:rPr>
                <w:rFonts w:ascii="Arial" w:cs="Arial" w:eastAsia="Arial" w:hAnsi="Arial"/>
                <w:sz w:val="13"/>
                <w:szCs w:val="13"/>
                <w:color w:val="auto"/>
                <w:w w:val="97"/>
              </w:rPr>
              <w:t>(1,434)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4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0" w:type="dxa"/>
            <w:vAlign w:val="bottom"/>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w:t>
            </w:r>
          </w:p>
        </w:tc>
      </w:tr>
      <w:tr>
        <w:trPr>
          <w:trHeight w:val="187"/>
        </w:trPr>
        <w:tc>
          <w:tcPr>
            <w:tcW w:w="480" w:type="dxa"/>
            <w:vAlign w:val="bottom"/>
          </w:tcPr>
          <w:p>
            <w:pPr>
              <w:jc w:val="right"/>
              <w:ind w:right="36"/>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215</w:t>
            </w:r>
          </w:p>
        </w:tc>
        <w:tc>
          <w:tcPr>
            <w:tcW w:w="20" w:type="dxa"/>
            <w:vAlign w:val="bottom"/>
          </w:tcPr>
          <w:p>
            <w:pPr>
              <w:spacing w:after="0"/>
              <w:rPr>
                <w:sz w:val="16"/>
                <w:szCs w:val="16"/>
                <w:color w:val="auto"/>
              </w:rPr>
            </w:pPr>
          </w:p>
        </w:tc>
      </w:tr>
      <w:tr>
        <w:trPr>
          <w:trHeight w:val="154"/>
        </w:trPr>
        <w:tc>
          <w:tcPr>
            <w:tcW w:w="48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(241)</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480" w:type="dxa"/>
            <w:vAlign w:val="bottom"/>
          </w:tcPr>
          <w:p>
            <w:pPr>
              <w:jc w:val="right"/>
              <w:ind w:right="56"/>
              <w:spacing w:after="0"/>
              <w:rPr>
                <w:sz w:val="20"/>
                <w:szCs w:val="20"/>
                <w:color w:val="auto"/>
              </w:rPr>
            </w:pPr>
            <w:r>
              <w:rPr>
                <w:rFonts w:ascii="Arial" w:cs="Arial" w:eastAsia="Arial" w:hAnsi="Arial"/>
                <w:sz w:val="13"/>
                <w:szCs w:val="13"/>
                <w:color w:val="auto"/>
              </w:rPr>
              <w:t>1,801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9,471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2,747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356</w:t>
            </w:r>
          </w:p>
        </w:tc>
        <w:tc>
          <w:tcPr>
            <w:tcW w:w="4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14,900</w:t>
            </w:r>
          </w:p>
        </w:tc>
        <w:tc>
          <w:tcPr>
            <w:tcW w:w="20" w:type="dxa"/>
            <w:vAlign w:val="bottom"/>
          </w:tcPr>
          <w:p>
            <w:pPr>
              <w:spacing w:after="0"/>
              <w:rPr>
                <w:sz w:val="17"/>
                <w:szCs w:val="17"/>
                <w:color w:val="auto"/>
              </w:rPr>
            </w:pPr>
          </w:p>
        </w:tc>
      </w:tr>
      <w:tr>
        <w:trPr>
          <w:trHeight w:val="121"/>
        </w:trPr>
        <w:tc>
          <w:tcPr>
            <w:tcW w:w="480" w:type="dxa"/>
            <w:vAlign w:val="bottom"/>
            <w:tcBorders>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right w:val="single" w:sz="8" w:color="CCEEFF"/>
            </w:tcBorders>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bl>
    <w:p>
      <w:pPr>
        <w:spacing w:after="0" w:line="23" w:lineRule="exact"/>
        <w:rPr>
          <w:sz w:val="20"/>
          <w:szCs w:val="20"/>
          <w:color w:val="auto"/>
        </w:rPr>
      </w:pPr>
    </w:p>
    <w:p>
      <w:pPr>
        <w:sectPr>
          <w:pgSz w:w="11900" w:h="16838" w:orient="portrait"/>
          <w:cols w:equalWidth="0" w:num="2">
            <w:col w:w="3280" w:space="300"/>
            <w:col w:w="5439"/>
          </w:cols>
          <w:pgMar w:left="1440" w:top="491" w:right="1440" w:bottom="1440" w:gutter="0" w:footer="0" w:header="0"/>
          <w:type w:val="continuous"/>
        </w:sectPr>
      </w:pPr>
    </w:p>
    <w:tbl>
      <w:tblPr>
        <w:tblLayout w:type="fixed"/>
        <w:tblInd w:w="660" w:type="dxa"/>
        <w:tblCellMar>
          <w:top w:w="0" w:type="dxa"/>
          <w:left w:w="0" w:type="dxa"/>
          <w:bottom w:w="0" w:type="dxa"/>
          <w:right w:w="0" w:type="dxa"/>
        </w:tblCellMar>
      </w:tblPr>
      <w:tr>
        <w:trPr>
          <w:trHeight w:val="159"/>
        </w:trPr>
        <w:tc>
          <w:tcPr>
            <w:tcW w:w="2180" w:type="dxa"/>
            <w:vAlign w:val="bottom"/>
          </w:tcPr>
          <w:p>
            <w:pPr>
              <w:spacing w:after="0"/>
              <w:rPr>
                <w:sz w:val="20"/>
                <w:szCs w:val="20"/>
                <w:color w:val="auto"/>
              </w:rPr>
            </w:pPr>
            <w:r>
              <w:rPr>
                <w:rFonts w:ascii="Arial" w:cs="Arial" w:eastAsia="Arial" w:hAnsi="Arial"/>
                <w:sz w:val="13"/>
                <w:szCs w:val="13"/>
                <w:color w:val="auto"/>
              </w:rPr>
              <w:t>Average loans</w:t>
            </w:r>
          </w:p>
        </w:tc>
        <w:tc>
          <w:tcPr>
            <w:tcW w:w="1180" w:type="dxa"/>
            <w:vAlign w:val="bottom"/>
          </w:tcPr>
          <w:p>
            <w:pPr>
              <w:jc w:val="right"/>
              <w:ind w:right="12"/>
              <w:spacing w:after="0"/>
              <w:rPr>
                <w:sz w:val="20"/>
                <w:szCs w:val="20"/>
                <w:color w:val="auto"/>
              </w:rPr>
            </w:pPr>
            <w:r>
              <w:rPr>
                <w:rFonts w:ascii="Arial" w:cs="Arial" w:eastAsia="Arial" w:hAnsi="Arial"/>
                <w:sz w:val="13"/>
                <w:szCs w:val="13"/>
                <w:color w:val="auto"/>
                <w:w w:val="97"/>
              </w:rPr>
              <w:t>$217,511</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648,692</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156,985</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49,974</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28,620</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1,101,782</w:t>
            </w:r>
          </w:p>
        </w:tc>
      </w:tr>
      <w:tr>
        <w:trPr>
          <w:trHeight w:val="171"/>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of September 30, 2022, the combined cash surrender value of all bank-owned life insurance (“BOLI”) policies was $42.5 million. Changes in cash surrender value are recorded to non-interest income in the unaudited Consolidated Statements of Operations. The Company had BOLI policies with five insurance carriers. The Company is the beneficiary of these policies.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156"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3"/>
                <w:szCs w:val="13"/>
                <w:b w:val="1"/>
                <w:bCs w:val="1"/>
                <w:color w:val="auto"/>
                <w:w w:val="97"/>
              </w:rPr>
              <w:t>Three Months Ended September 30,</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r>
      <w:tr>
        <w:trPr>
          <w:trHeight w:val="164"/>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4"/>
                <w:szCs w:val="14"/>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4"/>
                <w:szCs w:val="14"/>
                <w:color w:val="auto"/>
              </w:rPr>
            </w:pPr>
          </w:p>
        </w:tc>
      </w:tr>
      <w:tr>
        <w:trPr>
          <w:trHeight w:val="16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Non-interest-bearing checking</w:t>
            </w: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655,853</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564,928</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66,585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55,621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0.11%</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823,521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627,654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20" w:type="dxa"/>
            <w:vAlign w:val="bottom"/>
            <w:shd w:val="clear" w:color="auto" w:fill="CCEEFF"/>
          </w:tcPr>
          <w:p>
            <w:pPr>
              <w:spacing w:after="0"/>
              <w:rPr>
                <w:sz w:val="14"/>
                <w:szCs w:val="14"/>
                <w:color w:val="auto"/>
              </w:rPr>
            </w:pPr>
          </w:p>
        </w:tc>
      </w:tr>
      <w:tr>
        <w:trPr>
          <w:trHeight w:val="180"/>
        </w:trPr>
        <w:tc>
          <w:tcPr>
            <w:tcW w:w="3200" w:type="dxa"/>
            <w:vAlign w:val="bottom"/>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217,023</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0.66%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229,055</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0.53%</w:t>
            </w:r>
          </w:p>
        </w:tc>
        <w:tc>
          <w:tcPr>
            <w:tcW w:w="20" w:type="dxa"/>
            <w:vAlign w:val="bottom"/>
          </w:tcPr>
          <w:p>
            <w:pPr>
              <w:spacing w:after="0"/>
              <w:rPr>
                <w:sz w:val="15"/>
                <w:szCs w:val="15"/>
                <w:color w:val="auto"/>
              </w:rPr>
            </w:pPr>
          </w:p>
        </w:tc>
      </w:tr>
      <w:tr>
        <w:trPr>
          <w:trHeight w:val="152"/>
        </w:trPr>
        <w:tc>
          <w:tcPr>
            <w:tcW w:w="3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1,762,982</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1,477,258</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were $1.1 billion and $897.8 million at September 30, 2022 and December 31, 2021, respectively.</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September 30, 2022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2022</w:t>
            </w:r>
          </w:p>
        </w:tc>
      </w:tr>
      <w:tr>
        <w:trPr>
          <w:trHeight w:val="161"/>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23,451</w:t>
            </w:r>
          </w:p>
        </w:tc>
        <w:tc>
          <w:tcPr>
            <w:tcW w:w="20" w:type="dxa"/>
            <w:vAlign w:val="bottom"/>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27,044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0"/>
        </w:trPr>
        <w:tc>
          <w:tcPr>
            <w:tcW w:w="5900" w:type="dxa"/>
            <w:vAlign w:val="bottom"/>
          </w:tcPr>
          <w:p>
            <w:pPr>
              <w:spacing w:after="0"/>
              <w:rPr>
                <w:sz w:val="20"/>
                <w:szCs w:val="20"/>
                <w:color w:val="auto"/>
              </w:rPr>
            </w:pPr>
            <w:r>
              <w:rPr>
                <w:rFonts w:ascii="Arial" w:cs="Arial" w:eastAsia="Arial" w:hAnsi="Arial"/>
                <w:sz w:val="13"/>
                <w:szCs w:val="13"/>
                <w:color w:val="auto"/>
              </w:rPr>
              <w:t>Over twelve months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2"/>
        </w:trPr>
        <w:tc>
          <w:tcPr>
            <w:tcW w:w="59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102,184</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88" w:lineRule="exact"/>
        <w:rPr>
          <w:sz w:val="20"/>
          <w:szCs w:val="20"/>
          <w:color w:val="auto"/>
        </w:rPr>
      </w:pPr>
    </w:p>
    <w:p>
      <w:pPr>
        <w:ind w:left="660" w:right="799" w:firstLine="256"/>
        <w:spacing w:after="0" w:line="253" w:lineRule="auto"/>
        <w:rPr>
          <w:sz w:val="20"/>
          <w:szCs w:val="20"/>
          <w:color w:val="auto"/>
        </w:rPr>
      </w:pPr>
      <w:r>
        <w:rPr>
          <w:rFonts w:ascii="Arial" w:cs="Arial" w:eastAsia="Arial" w:hAnsi="Arial"/>
          <w:sz w:val="14"/>
          <w:szCs w:val="14"/>
          <w:color w:val="auto"/>
        </w:rPr>
        <w:t>The Company collects from commercial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September 30, 2022 escrow balances totaled $15.3 million compared to $4.0 million at December 31, 2021.</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8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As a member of the FHLB,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58"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As of September 30, 2022, we had $26.0 million of fixed-rate advances outstanding from the FHLB with a weighted average rate of 1.39%. Maturity dates for the advances are between third quarter 2023 and third quarter 2025 as detailed in the table 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September 30, 2022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0.81%</w:t>
            </w: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August 17, 2023</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61"/>
        </w:trPr>
        <w:tc>
          <w:tcPr>
            <w:tcW w:w="2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26,000</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September 30, 2022, there were no outstanding balances with the Fed Funds lines of credit.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47"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September 30, 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r>
      <w:tr>
        <w:trPr>
          <w:trHeight w:val="15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119,830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3"/>
                <w:szCs w:val="13"/>
                <w:color w:val="auto"/>
              </w:rPr>
            </w:pP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125,243</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141,297</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6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56" w:lineRule="exact"/>
        <w:rPr>
          <w:sz w:val="20"/>
          <w:szCs w:val="20"/>
          <w:color w:val="auto"/>
        </w:rPr>
      </w:pPr>
    </w:p>
    <w:p>
      <w:pPr>
        <w:jc w:val="both"/>
        <w:ind w:left="660" w:right="699" w:firstLine="256"/>
        <w:spacing w:after="0" w:line="24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policies, and procedures for managing and mitigating risks are appropriately executed within the designated lines of authority and responsibility in a timely manner.</w:t>
      </w:r>
    </w:p>
    <w:p>
      <w:pPr>
        <w:spacing w:after="0" w:line="152" w:lineRule="exact"/>
        <w:rPr>
          <w:sz w:val="20"/>
          <w:szCs w:val="20"/>
          <w:color w:val="auto"/>
        </w:rPr>
      </w:pPr>
    </w:p>
    <w:p>
      <w:pPr>
        <w:ind w:left="660" w:right="659" w:firstLine="256"/>
        <w:spacing w:after="0" w:line="252"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53"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While some degree of IRR (“Interest Rate Risk”) is inherent to the banking business, we believe our ALCO has put in place sound risk management practices to identify, quantify, monitor, and limit IRR exposures.</w:t>
      </w:r>
    </w:p>
    <w:p>
      <w:pPr>
        <w:spacing w:after="0" w:line="24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42"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5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According to our last ALCO model run as of September 30, 2022, we are net interest income neutral for year one and asset-sensitive for year two. This indicates that for year one, our net interest income fluctuations will be minimal due to changes in interest rates and for year two, that our assets generally reprice faster than our liabilities, which results in a favorable impact to net interest income when market interest rates increase. Many assumptions are used to calculate the impact of interest rate variations on our net interest income, such as asset prepayment speeds, non-maturity deposit price sensitivity, pricing correlations, deposit truncations and decay rates, and key rate drivers.</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58" w:lineRule="exact"/>
        <w:rPr>
          <w:sz w:val="20"/>
          <w:szCs w:val="20"/>
          <w:color w:val="auto"/>
        </w:rPr>
      </w:pPr>
    </w:p>
    <w:p>
      <w:pPr>
        <w:ind w:left="660" w:right="659" w:firstLine="256"/>
        <w:spacing w:after="0" w:line="245" w:lineRule="auto"/>
        <w:rPr>
          <w:sz w:val="20"/>
          <w:szCs w:val="20"/>
          <w:color w:val="auto"/>
        </w:rPr>
      </w:pPr>
      <w:r>
        <w:rPr>
          <w:rFonts w:ascii="Arial" w:cs="Arial" w:eastAsia="Arial" w:hAnsi="Arial"/>
          <w:sz w:val="14"/>
          <w:szCs w:val="14"/>
          <w:color w:val="auto"/>
        </w:rPr>
        <w:t>According to our model, as of September 30, 2022, NIM will remain mostly flat for year one and should increase for year two under static rate scenarios (-400 basis points or +400 basis points). For the static forecast in year one, the estimated NIM will remain stable from the base case scenario to a +400 basis points scenario.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rates will have a negative impact on the EVE. Results and analysis are presented quarterly to the Board, and strategies are defined.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7" w:lineRule="exact"/>
        <w:rPr>
          <w:sz w:val="20"/>
          <w:szCs w:val="20"/>
          <w:color w:val="auto"/>
        </w:rPr>
      </w:pPr>
    </w:p>
    <w:p>
      <w:pPr>
        <w:jc w:val="both"/>
        <w:ind w:left="660" w:right="679" w:firstLine="256"/>
        <w:spacing w:after="0" w:line="282"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3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56"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5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52" w:lineRule="exact"/>
        <w:rPr>
          <w:sz w:val="20"/>
          <w:szCs w:val="20"/>
          <w:color w:val="auto"/>
        </w:rPr>
      </w:pPr>
    </w:p>
    <w:p>
      <w:pPr>
        <w:jc w:val="both"/>
        <w:ind w:left="660" w:right="639" w:firstLine="256"/>
        <w:spacing w:after="0" w:line="243"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25"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and borrowings from the FHLB. Accordingly, our liquidity resources were adequate to fund loans and meet other cash needs as necessary. We do not expect liquidity resources to be compromised at this time.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of September 30, 2022, the Bank was well capitalized under the FDIC’s prompt corrective action framework. We also follow the capital conservation buffer framework, and as of September 30, 2022, we exceeded the capital conversation buffer in all capital ratios, according to our actual ratios. The following table presents the capital ratios for both the Company and the Bank at the dates indicated (in thousands, except ratios):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 w:type="dxa"/>
            <w:vAlign w:val="bottom"/>
          </w:tcPr>
          <w:p>
            <w:pPr>
              <w:spacing w:after="0"/>
              <w:rPr>
                <w:sz w:val="13"/>
                <w:szCs w:val="13"/>
                <w:color w:val="auto"/>
              </w:rPr>
            </w:pPr>
          </w:p>
        </w:tc>
        <w:tc>
          <w:tcPr>
            <w:tcW w:w="67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33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Minimum Capital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98"/>
              </w:rPr>
              <w:t>Under Prompt Corrective</w:t>
            </w:r>
          </w:p>
        </w:tc>
      </w:tr>
      <w:tr>
        <w:trPr>
          <w:trHeight w:val="153"/>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Actual</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133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Requirements</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Action Provisions</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7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Ratio</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46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2"/>
                <w:szCs w:val="12"/>
                <w:b w:val="1"/>
                <w:bCs w:val="1"/>
                <w:color w:val="auto"/>
              </w:rPr>
              <w:t>September 30, 2022:</w:t>
            </w:r>
            <w:r>
              <w:rPr>
                <w:rFonts w:ascii="Arial" w:cs="Arial" w:eastAsia="Arial" w:hAnsi="Arial"/>
                <w:sz w:val="16"/>
                <w:szCs w:val="16"/>
                <w:color w:val="auto"/>
                <w:vertAlign w:val="superscript"/>
              </w:rPr>
              <w:t>(1)</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50" w:type="dxa"/>
            <w:vAlign w:val="bottom"/>
            <w:tcBorders>
              <w:top w:val="single" w:sz="8" w:color="auto"/>
            </w:tcBorders>
            <w:shd w:val="clear" w:color="auto" w:fill="CCEEFF"/>
          </w:tcPr>
          <w:p>
            <w:pPr>
              <w:spacing w:after="0"/>
              <w:rPr>
                <w:sz w:val="13"/>
                <w:szCs w:val="13"/>
                <w:color w:val="auto"/>
              </w:rPr>
            </w:pPr>
          </w:p>
        </w:tc>
        <w:tc>
          <w:tcPr>
            <w:tcW w:w="67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2460" w:type="dxa"/>
            <w:vAlign w:val="bottom"/>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210,887</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5"/>
                <w:szCs w:val="15"/>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123,613</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154,517</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209,784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13.58</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123,613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154,517</w:t>
            </w:r>
          </w:p>
        </w:tc>
        <w:tc>
          <w:tcPr>
            <w:tcW w:w="760" w:type="dxa"/>
            <w:vAlign w:val="bottom"/>
            <w:gridSpan w:val="2"/>
          </w:tcPr>
          <w:p>
            <w:pPr>
              <w:jc w:val="right"/>
              <w:ind w:right="56"/>
              <w:spacing w:after="0"/>
              <w:rPr>
                <w:sz w:val="20"/>
                <w:szCs w:val="20"/>
                <w:color w:val="auto"/>
              </w:rPr>
            </w:pPr>
            <w:r>
              <w:rPr>
                <w:rFonts w:ascii="Arial" w:cs="Arial" w:eastAsia="Arial" w:hAnsi="Arial"/>
                <w:sz w:val="13"/>
                <w:szCs w:val="13"/>
                <w:color w:val="auto"/>
              </w:rPr>
              <w:t>10.00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67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194,036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12.56</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92,710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123,613</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192,933</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92,710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123,613</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68"/>
        </w:trPr>
        <w:tc>
          <w:tcPr>
            <w:tcW w:w="2460" w:type="dxa"/>
            <w:vAlign w:val="bottom"/>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194,036</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5"/>
                <w:szCs w:val="15"/>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69,532</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100,436</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5"/>
                <w:szCs w:val="15"/>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192,933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12.49</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69,532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100,436</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auto"/>
              </w:rPr>
              <w:t>6.50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spacing w:after="0"/>
              <w:rPr>
                <w:sz w:val="14"/>
                <w:szCs w:val="14"/>
                <w:color w:val="auto"/>
              </w:rPr>
            </w:pPr>
          </w:p>
        </w:tc>
        <w:tc>
          <w:tcPr>
            <w:tcW w:w="67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460" w:type="dxa"/>
            <w:vAlign w:val="bottom"/>
          </w:tcPr>
          <w:p>
            <w:pPr>
              <w:ind w:left="140"/>
              <w:spacing w:after="0"/>
              <w:rPr>
                <w:sz w:val="20"/>
                <w:szCs w:val="20"/>
                <w:color w:val="auto"/>
              </w:rPr>
            </w:pPr>
            <w:r>
              <w:rPr>
                <w:rFonts w:ascii="Arial" w:cs="Arial" w:eastAsia="Arial" w:hAnsi="Arial"/>
                <w:sz w:val="13"/>
                <w:szCs w:val="13"/>
                <w:color w:val="auto"/>
              </w:rPr>
              <w:t>USCB Financial Holdings, Inc.</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194,036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9.48</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81,829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102,286</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Century Bank</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192,933</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81,829</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102,286</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0"/>
        </w:trPr>
        <w:tc>
          <w:tcPr>
            <w:tcW w:w="2460" w:type="dxa"/>
            <w:vAlign w:val="bottom"/>
          </w:tcPr>
          <w:p>
            <w:pPr>
              <w:ind w:left="40"/>
              <w:spacing w:after="0"/>
              <w:rPr>
                <w:sz w:val="20"/>
                <w:szCs w:val="20"/>
                <w:color w:val="auto"/>
              </w:rPr>
            </w:pPr>
            <w:r>
              <w:rPr>
                <w:rFonts w:ascii="Arial" w:cs="Arial" w:eastAsia="Arial" w:hAnsi="Arial"/>
                <w:sz w:val="13"/>
                <w:szCs w:val="13"/>
                <w:b w:val="1"/>
                <w:bCs w:val="1"/>
                <w:color w:val="auto"/>
              </w:rPr>
              <w:t>December 31, 2021:</w:t>
            </w:r>
            <w:r>
              <w:rPr>
                <w:rFonts w:ascii="Arial" w:cs="Arial" w:eastAsia="Arial" w:hAnsi="Arial"/>
                <w:sz w:val="7"/>
                <w:szCs w:val="7"/>
                <w:color w:val="auto"/>
              </w:rPr>
              <w:t>(1)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risk-based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186,735</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125,157</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2460" w:type="dxa"/>
            <w:vAlign w:val="bottom"/>
          </w:tcPr>
          <w:p>
            <w:pPr>
              <w:ind w:left="40"/>
              <w:spacing w:after="0"/>
              <w:rPr>
                <w:sz w:val="20"/>
                <w:szCs w:val="20"/>
                <w:color w:val="auto"/>
              </w:rPr>
            </w:pPr>
            <w:r>
              <w:rPr>
                <w:rFonts w:ascii="Arial" w:cs="Arial" w:eastAsia="Arial" w:hAnsi="Arial"/>
                <w:sz w:val="13"/>
                <w:szCs w:val="13"/>
                <w:color w:val="auto"/>
              </w:rPr>
              <w:t>Tier 1 risk-based capital</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13.70</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75,094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auto"/>
              </w:rPr>
              <w:t>8.00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r>
        <w:trPr>
          <w:trHeight w:val="171"/>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equity tier 1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74"/>
                <w:shd w:val="clear" w:color="auto" w:fill="CCEEFF"/>
              </w:rPr>
              <w:t>%</w:t>
            </w:r>
          </w:p>
        </w:tc>
        <w:tc>
          <w:tcPr>
            <w:tcW w:w="60" w:type="dxa"/>
            <w:vAlign w:val="bottom"/>
            <w:shd w:val="clear" w:color="auto" w:fill="CCEEFF"/>
          </w:tcPr>
          <w:p>
            <w:pPr>
              <w:spacing w:after="0"/>
              <w:rPr>
                <w:sz w:val="14"/>
                <w:szCs w:val="14"/>
                <w:color w:val="auto"/>
              </w:rPr>
            </w:pPr>
          </w:p>
        </w:tc>
        <w:tc>
          <w:tcPr>
            <w:tcW w:w="15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56,321</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shd w:val="clear" w:color="auto" w:fill="CCEEFF"/>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81,352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177"/>
        </w:trPr>
        <w:tc>
          <w:tcPr>
            <w:tcW w:w="2460" w:type="dxa"/>
            <w:vAlign w:val="bottom"/>
          </w:tcPr>
          <w:p>
            <w:pPr>
              <w:ind w:left="40"/>
              <w:spacing w:after="0"/>
              <w:rPr>
                <w:sz w:val="20"/>
                <w:szCs w:val="20"/>
                <w:color w:val="auto"/>
              </w:rPr>
            </w:pPr>
            <w:r>
              <w:rPr>
                <w:rFonts w:ascii="Arial" w:cs="Arial" w:eastAsia="Arial" w:hAnsi="Arial"/>
                <w:sz w:val="13"/>
                <w:szCs w:val="13"/>
                <w:color w:val="auto"/>
              </w:rPr>
              <w:t>Leverage ratio</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9.55</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50" w:type="dxa"/>
            <w:vAlign w:val="bottom"/>
          </w:tcPr>
          <w:p>
            <w:pPr>
              <w:ind w:left="40"/>
              <w:spacing w:after="0"/>
              <w:rPr>
                <w:sz w:val="20"/>
                <w:szCs w:val="20"/>
                <w:color w:val="auto"/>
              </w:rPr>
            </w:pPr>
            <w:r>
              <w:rPr>
                <w:rFonts w:ascii="Arial" w:cs="Arial" w:eastAsia="Arial" w:hAnsi="Arial"/>
                <w:sz w:val="13"/>
                <w:szCs w:val="13"/>
                <w:color w:val="auto"/>
              </w:rPr>
              <w:t>$</w:t>
            </w:r>
          </w:p>
        </w:tc>
        <w:tc>
          <w:tcPr>
            <w:tcW w:w="670" w:type="dxa"/>
            <w:vAlign w:val="bottom"/>
          </w:tcPr>
          <w:p>
            <w:pPr>
              <w:jc w:val="right"/>
              <w:spacing w:after="0"/>
              <w:rPr>
                <w:sz w:val="20"/>
                <w:szCs w:val="20"/>
                <w:color w:val="auto"/>
              </w:rPr>
            </w:pPr>
            <w:r>
              <w:rPr>
                <w:rFonts w:ascii="Arial" w:cs="Arial" w:eastAsia="Arial" w:hAnsi="Arial"/>
                <w:sz w:val="13"/>
                <w:szCs w:val="13"/>
                <w:color w:val="auto"/>
              </w:rPr>
              <w:t>71,825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4.00</w:t>
            </w:r>
          </w:p>
        </w:tc>
        <w:tc>
          <w:tcPr>
            <w:tcW w:w="220" w:type="dxa"/>
            <w:vAlign w:val="bottom"/>
          </w:tcPr>
          <w:p>
            <w:pPr>
              <w:ind w:left="100"/>
              <w:spacing w:after="0"/>
              <w:rPr>
                <w:sz w:val="20"/>
                <w:szCs w:val="20"/>
                <w:color w:val="auto"/>
              </w:rPr>
            </w:pPr>
            <w:r>
              <w:rPr>
                <w:rFonts w:ascii="Arial" w:cs="Arial" w:eastAsia="Arial" w:hAnsi="Arial"/>
                <w:sz w:val="13"/>
                <w:szCs w:val="13"/>
                <w:color w:val="auto"/>
                <w:w w:val="86"/>
              </w:rPr>
              <w:t>%</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89,781</w:t>
            </w:r>
          </w:p>
        </w:tc>
        <w:tc>
          <w:tcPr>
            <w:tcW w:w="760" w:type="dxa"/>
            <w:vAlign w:val="bottom"/>
            <w:gridSpan w:val="2"/>
          </w:tcPr>
          <w:p>
            <w:pPr>
              <w:jc w:val="right"/>
              <w:ind w:right="36"/>
              <w:spacing w:after="0"/>
              <w:rPr>
                <w:sz w:val="20"/>
                <w:szCs w:val="20"/>
                <w:color w:val="auto"/>
              </w:rPr>
            </w:pPr>
            <w:r>
              <w:rPr>
                <w:rFonts w:ascii="Arial" w:cs="Arial" w:eastAsia="Arial" w:hAnsi="Arial"/>
                <w:sz w:val="13"/>
                <w:szCs w:val="13"/>
                <w:color w:val="auto"/>
              </w:rPr>
              <w:t>5.00</w:t>
            </w:r>
          </w:p>
        </w:tc>
        <w:tc>
          <w:tcPr>
            <w:tcW w:w="120" w:type="dxa"/>
            <w:vAlign w:val="bottom"/>
            <w:gridSpan w:val="2"/>
          </w:tcPr>
          <w:p>
            <w:pPr>
              <w:spacing w:after="0"/>
              <w:rPr>
                <w:sz w:val="20"/>
                <w:szCs w:val="20"/>
                <w:color w:val="auto"/>
              </w:rPr>
            </w:pPr>
            <w:r>
              <w:rPr>
                <w:rFonts w:ascii="Arial" w:cs="Arial" w:eastAsia="Arial" w:hAnsi="Arial"/>
                <w:sz w:val="13"/>
                <w:szCs w:val="13"/>
                <w:color w:val="auto"/>
                <w:w w:val="86"/>
              </w:rPr>
              <w:t>%</w:t>
            </w:r>
          </w:p>
        </w:tc>
      </w:tr>
    </w:tbl>
    <w:p>
      <w:pPr>
        <w:spacing w:after="0" w:line="179" w:lineRule="exact"/>
        <w:rPr>
          <w:sz w:val="20"/>
          <w:szCs w:val="20"/>
          <w:color w:val="auto"/>
        </w:rPr>
      </w:pPr>
    </w:p>
    <w:p>
      <w:pPr>
        <w:ind w:left="700" w:right="859" w:hanging="5"/>
        <w:spacing w:after="0" w:line="253" w:lineRule="auto"/>
        <w:tabs>
          <w:tab w:leader="none" w:pos="904" w:val="left"/>
        </w:tabs>
        <w:numPr>
          <w:ilvl w:val="0"/>
          <w:numId w:val="22"/>
        </w:numPr>
        <w:rPr>
          <w:rFonts w:ascii="Arial" w:cs="Arial" w:eastAsia="Arial" w:hAnsi="Arial"/>
          <w:sz w:val="11"/>
          <w:szCs w:val="11"/>
          <w:color w:val="auto"/>
        </w:rPr>
      </w:pPr>
      <w:r>
        <w:rPr>
          <w:rFonts w:ascii="Arial" w:cs="Arial" w:eastAsia="Arial" w:hAnsi="Arial"/>
          <w:sz w:val="11"/>
          <w:szCs w:val="11"/>
          <w:color w:val="auto"/>
        </w:rPr>
        <w:t>As of December 31, 2021, the regulatory capital ratios for both USCB Financial Holdings, Inc. andU.S. Century Bank were the same since there was no activity between both of these entities. The Company is not subject to regulatory capital requirements as a small bank holding company. Accordingly, the Company's capital ratios are provided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7" w:lineRule="exact"/>
        <w:rPr>
          <w:sz w:val="20"/>
          <w:szCs w:val="20"/>
          <w:color w:val="auto"/>
        </w:rPr>
      </w:pPr>
    </w:p>
    <w:p>
      <w:pPr>
        <w:jc w:val="both"/>
        <w:ind w:left="660" w:right="639" w:firstLine="512"/>
        <w:spacing w:after="0" w:line="246"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7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33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3"/>
                <w:szCs w:val="13"/>
                <w:color w:val="auto"/>
              </w:rPr>
            </w:pPr>
          </w:p>
        </w:tc>
      </w:tr>
      <w:tr>
        <w:trPr>
          <w:trHeight w:val="151"/>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2,088</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5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3"/>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8,431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7,708</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PTPP return on average assets</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1.65% $</w:t>
            </w:r>
          </w:p>
        </w:tc>
        <w:tc>
          <w:tcPr>
            <w:tcW w:w="880" w:type="dxa"/>
            <w:vAlign w:val="bottom"/>
            <w:gridSpan w:val="3"/>
          </w:tcPr>
          <w:p>
            <w:pPr>
              <w:jc w:val="right"/>
              <w:ind w:right="29"/>
              <w:spacing w:after="0"/>
              <w:rPr>
                <w:sz w:val="20"/>
                <w:szCs w:val="20"/>
                <w:color w:val="auto"/>
              </w:rPr>
            </w:pPr>
            <w:r>
              <w:rPr>
                <w:rFonts w:ascii="Arial" w:cs="Arial" w:eastAsia="Arial" w:hAnsi="Arial"/>
                <w:sz w:val="11"/>
                <w:szCs w:val="11"/>
                <w:color w:val="auto"/>
              </w:rPr>
              <w:t>1.57% $</w:t>
            </w:r>
          </w:p>
        </w:tc>
        <w:tc>
          <w:tcPr>
            <w:tcW w:w="860" w:type="dxa"/>
            <w:vAlign w:val="bottom"/>
            <w:gridSpan w:val="4"/>
          </w:tcPr>
          <w:p>
            <w:pPr>
              <w:jc w:val="right"/>
              <w:ind w:right="9"/>
              <w:spacing w:after="0"/>
              <w:rPr>
                <w:sz w:val="20"/>
                <w:szCs w:val="20"/>
                <w:color w:val="auto"/>
              </w:rPr>
            </w:pPr>
            <w:r>
              <w:rPr>
                <w:rFonts w:ascii="Arial" w:cs="Arial" w:eastAsia="Arial" w:hAnsi="Arial"/>
                <w:sz w:val="11"/>
                <w:szCs w:val="11"/>
                <w:color w:val="auto"/>
              </w:rPr>
              <w:t>1.42% $</w:t>
            </w: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1.61% $</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1.98%</w:t>
            </w:r>
          </w:p>
        </w:tc>
      </w:tr>
      <w:tr>
        <w:trPr>
          <w:trHeight w:val="171"/>
        </w:trPr>
        <w:tc>
          <w:tcPr>
            <w:tcW w:w="3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Net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(558)</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(70)</w:t>
            </w: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4"/>
                <w:szCs w:val="14"/>
                <w:color w:val="auto"/>
              </w:rPr>
            </w:pPr>
          </w:p>
        </w:tc>
      </w:tr>
      <w:tr>
        <w:trPr>
          <w:trHeight w:val="191"/>
        </w:trPr>
        <w:tc>
          <w:tcPr>
            <w:tcW w:w="332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5,975</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5,297</w:t>
            </w:r>
          </w:p>
        </w:tc>
        <w:tc>
          <w:tcPr>
            <w:tcW w:w="160" w:type="dxa"/>
            <w:vAlign w:val="bottom"/>
            <w:tcBorders>
              <w:top w:val="single" w:sz="8" w:color="auto"/>
            </w:tcBorders>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4,838</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5,624</w:t>
            </w:r>
          </w:p>
        </w:tc>
        <w:tc>
          <w:tcPr>
            <w:tcW w:w="20" w:type="dxa"/>
            <w:vAlign w:val="bottom"/>
          </w:tcPr>
          <w:p>
            <w:pPr>
              <w:spacing w:after="0"/>
              <w:rPr>
                <w:sz w:val="16"/>
                <w:szCs w:val="16"/>
                <w:color w:val="auto"/>
              </w:rPr>
            </w:pPr>
          </w:p>
        </w:tc>
        <w:tc>
          <w:tcPr>
            <w:tcW w:w="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6,646</w:t>
            </w:r>
          </w:p>
        </w:tc>
        <w:tc>
          <w:tcPr>
            <w:tcW w:w="20" w:type="dxa"/>
            <w:vAlign w:val="bottom"/>
          </w:tcPr>
          <w:p>
            <w:pPr>
              <w:spacing w:after="0"/>
              <w:rPr>
                <w:sz w:val="16"/>
                <w:szCs w:val="16"/>
                <w:color w:val="auto"/>
              </w:rPr>
            </w:pPr>
          </w:p>
        </w:tc>
      </w:tr>
      <w:tr>
        <w:trPr>
          <w:trHeight w:val="111"/>
        </w:trPr>
        <w:tc>
          <w:tcPr>
            <w:tcW w:w="3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PTPP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8,431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(558)</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(70)</w:t>
            </w:r>
          </w:p>
        </w:tc>
      </w:tr>
      <w:tr>
        <w:trPr>
          <w:trHeight w:val="151"/>
        </w:trPr>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Operating PTPP Income</w:t>
            </w: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8,989</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7,711</w:t>
            </w:r>
          </w:p>
        </w:tc>
        <w:tc>
          <w:tcPr>
            <w:tcW w:w="16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7,366</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8,751</w:t>
            </w:r>
          </w:p>
        </w:tc>
        <w:tc>
          <w:tcPr>
            <w:tcW w:w="20" w:type="dxa"/>
            <w:vAlign w:val="bottom"/>
            <w:shd w:val="clear" w:color="auto" w:fill="CCEEFF"/>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8,989</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7,711</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Operating PTPP return on average assets</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1.76% $</w:t>
            </w:r>
          </w:p>
        </w:tc>
        <w:tc>
          <w:tcPr>
            <w:tcW w:w="880" w:type="dxa"/>
            <w:vAlign w:val="bottom"/>
            <w:gridSpan w:val="3"/>
          </w:tcPr>
          <w:p>
            <w:pPr>
              <w:jc w:val="right"/>
              <w:ind w:right="29"/>
              <w:spacing w:after="0"/>
              <w:rPr>
                <w:sz w:val="20"/>
                <w:szCs w:val="20"/>
                <w:color w:val="auto"/>
              </w:rPr>
            </w:pPr>
            <w:r>
              <w:rPr>
                <w:rFonts w:ascii="Arial" w:cs="Arial" w:eastAsia="Arial" w:hAnsi="Arial"/>
                <w:sz w:val="11"/>
                <w:szCs w:val="11"/>
                <w:color w:val="auto"/>
              </w:rPr>
              <w:t>1.57% $</w:t>
            </w:r>
          </w:p>
        </w:tc>
        <w:tc>
          <w:tcPr>
            <w:tcW w:w="860" w:type="dxa"/>
            <w:vAlign w:val="bottom"/>
            <w:gridSpan w:val="4"/>
          </w:tcPr>
          <w:p>
            <w:pPr>
              <w:jc w:val="right"/>
              <w:ind w:right="9"/>
              <w:spacing w:after="0"/>
              <w:rPr>
                <w:sz w:val="20"/>
                <w:szCs w:val="20"/>
                <w:color w:val="auto"/>
              </w:rPr>
            </w:pPr>
            <w:r>
              <w:rPr>
                <w:rFonts w:ascii="Arial" w:cs="Arial" w:eastAsia="Arial" w:hAnsi="Arial"/>
                <w:sz w:val="11"/>
                <w:szCs w:val="11"/>
                <w:color w:val="auto"/>
              </w:rPr>
              <w:t>1.42% $</w:t>
            </w:r>
          </w:p>
        </w:tc>
        <w:tc>
          <w:tcPr>
            <w:tcW w:w="880" w:type="dxa"/>
            <w:vAlign w:val="bottom"/>
            <w:gridSpan w:val="4"/>
          </w:tcPr>
          <w:p>
            <w:pPr>
              <w:jc w:val="right"/>
              <w:ind w:right="9"/>
              <w:spacing w:after="0"/>
              <w:rPr>
                <w:sz w:val="20"/>
                <w:szCs w:val="20"/>
                <w:color w:val="auto"/>
              </w:rPr>
            </w:pPr>
            <w:r>
              <w:rPr>
                <w:rFonts w:ascii="Arial" w:cs="Arial" w:eastAsia="Arial" w:hAnsi="Arial"/>
                <w:sz w:val="11"/>
                <w:szCs w:val="11"/>
                <w:color w:val="auto"/>
              </w:rPr>
              <w:t>1.60% $</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1.99%</w:t>
            </w:r>
          </w:p>
        </w:tc>
      </w:tr>
      <w:tr>
        <w:trPr>
          <w:trHeight w:val="171"/>
        </w:trPr>
        <w:tc>
          <w:tcPr>
            <w:tcW w:w="3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6,646</w:t>
            </w:r>
          </w:p>
        </w:tc>
        <w:tc>
          <w:tcPr>
            <w:tcW w:w="20" w:type="dxa"/>
            <w:vAlign w:val="bottom"/>
            <w:shd w:val="clear" w:color="auto" w:fill="CCEEFF"/>
          </w:tcPr>
          <w:p>
            <w:pPr>
              <w:spacing w:after="0"/>
              <w:rPr>
                <w:sz w:val="14"/>
                <w:szCs w:val="14"/>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2,026,791</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1,968,381</w:t>
            </w:r>
          </w:p>
        </w:tc>
        <w:tc>
          <w:tcPr>
            <w:tcW w:w="160" w:type="dxa"/>
            <w:vAlign w:val="bottom"/>
            <w:gridSpan w:val="2"/>
          </w:tcPr>
          <w:p>
            <w:pPr>
              <w:jc w:val="right"/>
              <w:ind w:right="2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1.17% $</w:t>
            </w:r>
          </w:p>
        </w:tc>
        <w:tc>
          <w:tcPr>
            <w:tcW w:w="880" w:type="dxa"/>
            <w:vAlign w:val="bottom"/>
            <w:gridSpan w:val="3"/>
            <w:shd w:val="clear" w:color="auto" w:fill="CCEEFF"/>
          </w:tcPr>
          <w:p>
            <w:pPr>
              <w:jc w:val="right"/>
              <w:ind w:right="29"/>
              <w:spacing w:after="0"/>
              <w:rPr>
                <w:sz w:val="20"/>
                <w:szCs w:val="20"/>
                <w:color w:val="auto"/>
              </w:rPr>
            </w:pPr>
            <w:r>
              <w:rPr>
                <w:rFonts w:ascii="Arial" w:cs="Arial" w:eastAsia="Arial" w:hAnsi="Arial"/>
                <w:sz w:val="11"/>
                <w:szCs w:val="11"/>
                <w:color w:val="auto"/>
              </w:rPr>
              <w:t>1.08% $</w:t>
            </w:r>
          </w:p>
        </w:tc>
        <w:tc>
          <w:tcPr>
            <w:tcW w:w="86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1.03% $</w:t>
            </w: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1"/>
                <w:szCs w:val="11"/>
                <w:color w:val="auto"/>
              </w:rPr>
              <w:t>1.22%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1.51%</w:t>
            </w:r>
          </w:p>
        </w:tc>
      </w:tr>
    </w:tbl>
    <w:p>
      <w:pPr>
        <w:spacing w:after="0" w:line="21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8"/>
          </w:tcPr>
          <w:p>
            <w:pPr>
              <w:jc w:val="right"/>
              <w:ind w:right="22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33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6/30/2022</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12/31/2021</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3"/>
                <w:szCs w:val="13"/>
                <w:color w:val="auto"/>
              </w:rPr>
            </w:pPr>
          </w:p>
        </w:tc>
      </w:tr>
      <w:tr>
        <w:trPr>
          <w:trHeight w:val="160"/>
        </w:trPr>
        <w:tc>
          <w:tcPr>
            <w:tcW w:w="3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320" w:type="dxa"/>
            <w:vAlign w:val="bottom"/>
          </w:tcPr>
          <w:p>
            <w:pPr>
              <w:ind w:left="200"/>
              <w:spacing w:after="0"/>
              <w:rPr>
                <w:sz w:val="20"/>
                <w:szCs w:val="20"/>
                <w:color w:val="auto"/>
              </w:rPr>
            </w:pPr>
            <w:r>
              <w:rPr>
                <w:rFonts w:ascii="Arial" w:cs="Arial" w:eastAsia="Arial" w:hAnsi="Arial"/>
                <w:sz w:val="11"/>
                <w:szCs w:val="11"/>
                <w:color w:val="auto"/>
              </w:rPr>
              <w:t>Total stockholders' equity</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203,897</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Intangible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r>
      <w:tr>
        <w:trPr>
          <w:trHeight w:val="160"/>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Less: Preferred 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3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Tangible stockholders' equity</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177,417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180,068</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shd w:val="clear" w:color="auto" w:fill="CCEEFF"/>
          </w:tcPr>
          <w:p>
            <w:pPr>
              <w:spacing w:after="0"/>
              <w:rPr>
                <w:sz w:val="12"/>
                <w:szCs w:val="12"/>
                <w:color w:val="auto"/>
              </w:rPr>
            </w:pPr>
          </w:p>
        </w:tc>
      </w:tr>
      <w:tr>
        <w:trPr>
          <w:trHeight w:val="171"/>
        </w:trPr>
        <w:tc>
          <w:tcPr>
            <w:tcW w:w="3320" w:type="dxa"/>
            <w:vAlign w:val="bottom"/>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r>
              <w:rPr>
                <w:rFonts w:ascii="Arial" w:cs="Arial" w:eastAsia="Arial" w:hAnsi="Arial"/>
                <w:sz w:val="14"/>
                <w:szCs w:val="14"/>
                <w:color w:val="auto"/>
                <w:vertAlign w:val="superscript"/>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Class A common shares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18,767,541</w:t>
            </w:r>
          </w:p>
        </w:tc>
        <w:tc>
          <w:tcPr>
            <w:tcW w:w="20" w:type="dxa"/>
            <w:vAlign w:val="bottom"/>
            <w:shd w:val="clear" w:color="auto" w:fill="CCEEFF"/>
          </w:tcPr>
          <w:p>
            <w:pPr>
              <w:spacing w:after="0"/>
              <w:rPr>
                <w:sz w:val="14"/>
                <w:szCs w:val="14"/>
                <w:color w:val="auto"/>
              </w:rPr>
            </w:pPr>
          </w:p>
        </w:tc>
      </w:tr>
      <w:tr>
        <w:trPr>
          <w:trHeight w:val="160"/>
        </w:trPr>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Class B common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3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1"/>
                <w:szCs w:val="11"/>
                <w:color w:val="auto"/>
              </w:rPr>
            </w:pPr>
          </w:p>
        </w:tc>
      </w:tr>
      <w:tr>
        <w:trPr>
          <w:trHeight w:val="201"/>
        </w:trPr>
        <w:tc>
          <w:tcPr>
            <w:tcW w:w="3320" w:type="dxa"/>
            <w:vAlign w:val="bottom"/>
          </w:tcPr>
          <w:p>
            <w:pPr>
              <w:ind w:left="200"/>
              <w:spacing w:after="0"/>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(3)</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8.87</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9.00</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9.60</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10.20</w:t>
            </w:r>
          </w:p>
        </w:tc>
        <w:tc>
          <w:tcPr>
            <w:tcW w:w="1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10.10</w:t>
            </w:r>
          </w:p>
        </w:tc>
        <w:tc>
          <w:tcPr>
            <w:tcW w:w="20" w:type="dxa"/>
            <w:vAlign w:val="bottom"/>
          </w:tcPr>
          <w:p>
            <w:pPr>
              <w:spacing w:after="0"/>
              <w:rPr>
                <w:sz w:val="17"/>
                <w:szCs w:val="17"/>
                <w:color w:val="auto"/>
              </w:rPr>
            </w:pPr>
          </w:p>
        </w:tc>
      </w:tr>
      <w:tr>
        <w:trPr>
          <w:trHeight w:val="111"/>
        </w:trPr>
        <w:tc>
          <w:tcPr>
            <w:tcW w:w="33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bl>
    <w:p>
      <w:pPr>
        <w:spacing w:after="0" w:line="10" w:lineRule="exact"/>
        <w:rPr>
          <w:sz w:val="20"/>
          <w:szCs w:val="20"/>
          <w:color w:val="auto"/>
        </w:rPr>
      </w:pPr>
    </w:p>
    <w:p>
      <w:pPr>
        <w:ind w:left="660"/>
        <w:spacing w:after="0"/>
        <w:rPr>
          <w:sz w:val="20"/>
          <w:szCs w:val="20"/>
          <w:color w:val="auto"/>
        </w:rPr>
      </w:pPr>
      <w:r>
        <w:rPr>
          <w:rFonts w:ascii="Arial" w:cs="Arial" w:eastAsia="Arial" w:hAnsi="Arial"/>
          <w:sz w:val="11"/>
          <w:szCs w:val="11"/>
          <w:b w:val="1"/>
          <w:bCs w:val="1"/>
          <w:color w:val="auto"/>
        </w:rPr>
        <w:t>Operating net income available to common stockholders:</w:t>
      </w:r>
      <w:r>
        <w:rPr>
          <w:rFonts w:ascii="Arial" w:cs="Arial" w:eastAsia="Arial" w:hAnsi="Arial"/>
          <w:sz w:val="14"/>
          <w:szCs w:val="14"/>
          <w:color w:val="auto"/>
          <w:vertAlign w:val="superscript"/>
        </w:rPr>
        <w:t>(1)</w:t>
      </w:r>
    </w:p>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Less: Preferred dividends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r>
              <w:rPr>
                <w:rFonts w:ascii="Arial" w:cs="Arial" w:eastAsia="Arial" w:hAnsi="Arial"/>
                <w:sz w:val="14"/>
                <w:szCs w:val="14"/>
                <w:color w:val="auto"/>
                <w:vertAlign w:val="superscript"/>
              </w:rPr>
              <w:t>(2)</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360" w:type="dxa"/>
            <w:vAlign w:val="bottom"/>
            <w:gridSpan w:val="3"/>
          </w:tcPr>
          <w:p>
            <w:pPr>
              <w:ind w:left="600"/>
              <w:spacing w:after="0"/>
              <w:rPr>
                <w:sz w:val="20"/>
                <w:szCs w:val="20"/>
                <w:color w:val="auto"/>
              </w:rPr>
            </w:pPr>
            <w:r>
              <w:rPr>
                <w:rFonts w:ascii="Arial" w:cs="Arial" w:eastAsia="Arial" w:hAnsi="Arial"/>
                <w:sz w:val="11"/>
                <w:szCs w:val="11"/>
                <w:color w:val="auto"/>
              </w:rPr>
              <w:t>Net income (loss) available to common stockholders</w:t>
            </w:r>
          </w:p>
        </w:tc>
        <w:tc>
          <w:tcPr>
            <w:tcW w:w="72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(83,534)</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 avail. to common stock</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32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Allocation of operating net income per common stock class:</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5,558</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4"/>
                <w:szCs w:val="1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19,994,953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18,913,914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15,121,460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20,148,208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20,171,261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20,109,783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19,023,686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15,121,460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Diluted EPS: </w:t>
            </w:r>
            <w:r>
              <w:rPr>
                <w:rFonts w:ascii="Arial" w:cs="Arial" w:eastAsia="Arial" w:hAnsi="Arial"/>
                <w:sz w:val="14"/>
                <w:szCs w:val="14"/>
                <w:color w:val="auto"/>
                <w:vertAlign w:val="superscript"/>
              </w:rPr>
              <w:t>(4) (5)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0.28</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(5.11)</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0.28</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vMerge w:val="restart"/>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0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loss per diluted share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Add back: Exchange and redemption of preferredshares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60" w:hanging="197"/>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44" w:lineRule="exact"/>
        <w:rPr>
          <w:rFonts w:ascii="Arial" w:cs="Arial" w:eastAsia="Arial" w:hAnsi="Arial"/>
          <w:sz w:val="11"/>
          <w:szCs w:val="11"/>
          <w:color w:val="auto"/>
        </w:rPr>
      </w:pPr>
    </w:p>
    <w:p>
      <w:pPr>
        <w:jc w:val="both"/>
        <w:ind w:left="660" w:right="679" w:firstLine="3"/>
        <w:spacing w:after="0" w:line="247" w:lineRule="auto"/>
        <w:tabs>
          <w:tab w:leader="none" w:pos="864" w:val="left"/>
        </w:tabs>
        <w:numPr>
          <w:ilvl w:val="0"/>
          <w:numId w:val="23"/>
        </w:numPr>
        <w:rPr>
          <w:rFonts w:ascii="Arial" w:cs="Arial" w:eastAsia="Arial" w:hAnsi="Arial"/>
          <w:sz w:val="11"/>
          <w:szCs w:val="11"/>
          <w:color w:val="auto"/>
        </w:rPr>
      </w:pPr>
      <w:r>
        <w:rPr>
          <w:rFonts w:ascii="Arial" w:cs="Arial" w:eastAsia="Arial" w:hAnsi="Arial"/>
          <w:sz w:val="11"/>
          <w:szCs w:val="11"/>
          <w:color w:val="auto"/>
        </w:rPr>
        <w:t>During the quarter ended September 30, 2021, 47,473 shares of Class C preferred stock and 11,061,552 shares of Class D preferred stock were converted into 10,278,072 shares of Class A common stock. Additionally, the Bank completed its initial public offering of its Class A common stock on July 27, 2021, in which it issued 4,600,000 shares of Class A common stock. As such, the total shares issued and outstanding of Class A common stock was 18,767,541 shares at September 30, 2021.</w:t>
      </w:r>
    </w:p>
    <w:p>
      <w:pPr>
        <w:spacing w:after="0" w:line="2" w:lineRule="exact"/>
        <w:rPr>
          <w:rFonts w:ascii="Arial" w:cs="Arial" w:eastAsia="Arial" w:hAnsi="Arial"/>
          <w:sz w:val="11"/>
          <w:szCs w:val="11"/>
          <w:color w:val="auto"/>
        </w:rPr>
      </w:pPr>
    </w:p>
    <w:p>
      <w:pPr>
        <w:ind w:left="840" w:hanging="177"/>
        <w:spacing w:after="0"/>
        <w:tabs>
          <w:tab w:leader="none" w:pos="8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2" w:lineRule="exact"/>
        <w:rPr>
          <w:rFonts w:ascii="Arial" w:cs="Arial" w:eastAsia="Arial" w:hAnsi="Arial"/>
          <w:sz w:val="11"/>
          <w:szCs w:val="11"/>
          <w:color w:val="auto"/>
        </w:rPr>
      </w:pPr>
    </w:p>
    <w:p>
      <w:pPr>
        <w:ind w:left="660" w:right="939" w:firstLine="3"/>
        <w:spacing w:after="0" w:line="263" w:lineRule="auto"/>
        <w:tabs>
          <w:tab w:leader="none" w:pos="864" w:val="left"/>
        </w:tabs>
        <w:numPr>
          <w:ilvl w:val="0"/>
          <w:numId w:val="23"/>
        </w:numPr>
        <w:rPr>
          <w:rFonts w:ascii="Arial" w:cs="Arial" w:eastAsia="Arial" w:hAnsi="Arial"/>
          <w:sz w:val="11"/>
          <w:szCs w:val="11"/>
          <w:color w:val="auto"/>
        </w:rPr>
      </w:pPr>
      <w:r>
        <w:rPr>
          <w:rFonts w:ascii="Arial" w:cs="Arial" w:eastAsia="Arial" w:hAnsi="Arial"/>
          <w:sz w:val="11"/>
          <w:szCs w:val="11"/>
          <w:color w:val="auto"/>
        </w:rPr>
        <w:t>During the quarter ended September 30, 2021, basic net loss per share is the same as diluted net loss per share as the inclusion of all potential common shares outstanding would have been antidilutive.</w:t>
      </w:r>
    </w:p>
    <w:p>
      <w:pPr>
        <w:spacing w:after="0" w:line="21" w:lineRule="exact"/>
        <w:rPr>
          <w:rFonts w:ascii="Arial" w:cs="Arial" w:eastAsia="Arial" w:hAnsi="Arial"/>
          <w:sz w:val="11"/>
          <w:szCs w:val="11"/>
          <w:color w:val="auto"/>
        </w:rPr>
      </w:pPr>
    </w:p>
    <w:p>
      <w:pPr>
        <w:ind w:left="660" w:right="699" w:firstLine="3"/>
        <w:spacing w:after="0" w:line="251" w:lineRule="auto"/>
        <w:tabs>
          <w:tab w:leader="none" w:pos="864" w:val="left"/>
        </w:tabs>
        <w:numPr>
          <w:ilvl w:val="0"/>
          <w:numId w:val="23"/>
        </w:numPr>
        <w:rPr>
          <w:rFonts w:ascii="Arial" w:cs="Arial" w:eastAsia="Arial" w:hAnsi="Arial"/>
          <w:sz w:val="11"/>
          <w:szCs w:val="11"/>
          <w:color w:val="auto"/>
        </w:rPr>
      </w:pPr>
      <w:r>
        <w:rPr>
          <w:rFonts w:ascii="Arial" w:cs="Arial" w:eastAsia="Arial" w:hAnsi="Arial"/>
          <w:sz w:val="11"/>
          <w:szCs w:val="11"/>
          <w:color w:val="auto"/>
        </w:rPr>
        <w:t>During the quarter ended December 31, 2021, the Company entered into agreements with the Class B shareholders to exchange all outstanding Class B non-voting common stock for Class A voting common stock at a ratio of 1 share of Class A common stock for each 5 shares of Class B non-voting common stock. In calculating net income (loss) per diluted share for the prior quarters presented, the allocation of operating net income available to common stockholders was based on the weighted average shares outstanding per common share class to the total weighted average shares outstanding during each period. The operating net income allocation was calculated using the weightedaverage shares outstanding of Class B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8" w:lineRule="exact"/>
        <w:rPr>
          <w:sz w:val="20"/>
          <w:szCs w:val="20"/>
          <w:color w:val="auto"/>
        </w:rPr>
      </w:pPr>
    </w:p>
    <w:p>
      <w:pPr>
        <w:jc w:val="both"/>
        <w:ind w:left="660" w:right="679" w:firstLine="256"/>
        <w:spacing w:after="0" w:line="244"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September 30, 2022.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Form 10-Q.</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7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88"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2021 Form 10-K. There have been no material changes from the risk factors previously disclosed in the 2021 Form 10-K.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8" w:lineRule="exact"/>
        <w:rPr>
          <w:sz w:val="20"/>
          <w:szCs w:val="20"/>
          <w:color w:val="auto"/>
        </w:rPr>
      </w:pPr>
    </w:p>
    <w:p>
      <w:pPr>
        <w:ind w:left="1140" w:hanging="221"/>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59" w:lineRule="exact"/>
        <w:rPr>
          <w:rFonts w:ascii="Arial" w:cs="Arial" w:eastAsia="Arial" w:hAnsi="Arial"/>
          <w:sz w:val="14"/>
          <w:szCs w:val="14"/>
          <w:color w:val="auto"/>
        </w:rPr>
      </w:pPr>
    </w:p>
    <w:p>
      <w:pPr>
        <w:jc w:val="both"/>
        <w:ind w:left="660" w:right="679" w:firstLine="259"/>
        <w:spacing w:after="0" w:line="253" w:lineRule="auto"/>
        <w:tabs>
          <w:tab w:leader="none" w:pos="1145"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previously described The Board adopted a stock repurchase program covering 750,000 shares of Class A common stock. No shares were purchased pursuant to such program by the Company during the three and nine months ended September 30, 2022.</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107"/>
          </w:tcPr>
          <w:p>
            <w:pPr>
              <w:spacing w:after="0"/>
              <w:rPr>
                <w:sz w:val="20"/>
                <w:szCs w:val="20"/>
                <w:color w:val="auto"/>
              </w:rPr>
            </w:pPr>
            <w:r>
              <w:rPr>
                <w:rFonts w:ascii="Arial" w:cs="Arial" w:eastAsia="Arial" w:hAnsi="Arial"/>
                <w:sz w:val="13"/>
                <w:szCs w:val="13"/>
                <w:b w:val="1"/>
                <w:bCs w:val="1"/>
                <w:color w:val="auto"/>
              </w:rPr>
              <w:t>Description of Exhibit</w:t>
            </w:r>
          </w:p>
        </w:tc>
      </w:tr>
      <w:tr>
        <w:trPr>
          <w:trHeight w:val="119"/>
        </w:trPr>
        <w:tc>
          <w:tcPr>
            <w:tcW w:w="340" w:type="dxa"/>
            <w:vAlign w:val="bottom"/>
            <w:gridSpan w:val="2"/>
          </w:tcPr>
          <w:p>
            <w:pPr>
              <w:spacing w:after="0"/>
              <w:rPr>
                <w:sz w:val="10"/>
                <w:szCs w:val="10"/>
                <w:color w:val="auto"/>
              </w:rPr>
            </w:pPr>
          </w:p>
        </w:tc>
        <w:tc>
          <w:tcPr>
            <w:tcW w:w="220" w:type="dxa"/>
            <w:vAlign w:val="bottom"/>
            <w:gridSpan w:val="2"/>
          </w:tcPr>
          <w:p>
            <w:pPr>
              <w:jc w:val="center"/>
              <w:ind w:right="40"/>
              <w:spacing w:after="0" w:line="119" w:lineRule="exact"/>
              <w:rPr>
                <w:rFonts w:ascii="Arial" w:cs="Arial" w:eastAsia="Arial" w:hAnsi="Arial"/>
                <w:sz w:val="13"/>
                <w:szCs w:val="13"/>
                <w:color w:val="0000FF"/>
                <w:w w:val="99"/>
              </w:rPr>
            </w:pPr>
            <w:hyperlink r:id="rId63">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07"/>
          </w:tcPr>
          <w:p>
            <w:pPr>
              <w:spacing w:after="0" w:line="119" w:lineRule="exact"/>
              <w:rPr>
                <w:rFonts w:ascii="Arial" w:cs="Arial" w:eastAsia="Arial" w:hAnsi="Arial"/>
                <w:sz w:val="13"/>
                <w:szCs w:val="13"/>
                <w:color w:val="0000FF"/>
              </w:rPr>
            </w:pPr>
            <w:hyperlink r:id="rId63">
              <w:r>
                <w:rPr>
                  <w:rFonts w:ascii="Arial" w:cs="Arial" w:eastAsia="Arial" w:hAnsi="Arial"/>
                  <w:sz w:val="13"/>
                  <w:szCs w:val="13"/>
                  <w:color w:val="0000FF"/>
                </w:rPr>
                <w:t>Agreement and Plan of Share Exchange, dated December 27, 2021, by and between U.S. Century Bank and USCB</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3">
              <w:r>
                <w:rPr>
                  <w:rFonts w:ascii="Arial" w:cs="Arial" w:eastAsia="Arial" w:hAnsi="Arial"/>
                  <w:sz w:val="13"/>
                  <w:szCs w:val="13"/>
                  <w:color w:val="0000FF"/>
                </w:rPr>
                <w:t>Financial Holdings, Inc. (incorporated by reference to Exhibit 2.1 to the Registrant’s Current Report on Form 8-K (File No.</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2"/>
          </w:tcPr>
          <w:p>
            <w:pPr>
              <w:spacing w:after="0" w:line="119" w:lineRule="exact"/>
              <w:rPr>
                <w:rFonts w:ascii="Arial" w:cs="Arial" w:eastAsia="Arial" w:hAnsi="Arial"/>
                <w:sz w:val="13"/>
                <w:szCs w:val="13"/>
                <w:color w:val="0000FF"/>
                <w:w w:val="98"/>
              </w:rPr>
            </w:pPr>
            <w:hyperlink r:id="rId63">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5"/>
          </w:tcPr>
          <w:p>
            <w:pPr>
              <w:spacing w:after="0"/>
              <w:rPr>
                <w:sz w:val="10"/>
                <w:szCs w:val="10"/>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4">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Articles of Incorporation of USCB Financial Holdings, Inc. (incorporated by reference to Exhibit 3.1 to the Registrant’s</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Current Report on Form 8-K (File No. 001-41196) filed with the Securities and Exchange Commission on December 30,</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8100" w:type="dxa"/>
            <w:vAlign w:val="bottom"/>
            <w:gridSpan w:val="114"/>
          </w:tcPr>
          <w:p>
            <w:pPr>
              <w:spacing w:after="0"/>
              <w:rPr>
                <w:rFonts w:ascii="Arial" w:cs="Arial" w:eastAsia="Arial" w:hAnsi="Arial"/>
                <w:sz w:val="13"/>
                <w:szCs w:val="13"/>
                <w:color w:val="0000FF"/>
              </w:rPr>
            </w:pPr>
            <w:hyperlink r:id="rId64">
              <w:r>
                <w:rPr>
                  <w:rFonts w:ascii="Arial" w:cs="Arial" w:eastAsia="Arial" w:hAnsi="Arial"/>
                  <w:sz w:val="13"/>
                  <w:szCs w:val="13"/>
                  <w:color w:val="0000FF"/>
                </w:rPr>
                <w:t>2021).</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6620" w:type="dxa"/>
            <w:vAlign w:val="bottom"/>
            <w:gridSpan w:val="105"/>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5">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Amended and Restated Bylaws of USCB Financial Holdings, Inc. (incorporated by reference to Exhibit 3.2 to the Registrant’s</w:t>
              </w:r>
            </w:hyperlink>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00" w:type="dxa"/>
            <w:vAlign w:val="bottom"/>
            <w:tcBorders>
              <w:top w:val="single" w:sz="8" w:color="0000FF"/>
            </w:tcBorders>
            <w:gridSpan w:val="106"/>
          </w:tcPr>
          <w:p>
            <w:pPr>
              <w:spacing w:after="0" w:line="119" w:lineRule="exact"/>
              <w:rPr>
                <w:rFonts w:ascii="Arial" w:cs="Arial" w:eastAsia="Arial" w:hAnsi="Arial"/>
                <w:sz w:val="13"/>
                <w:szCs w:val="13"/>
                <w:color w:val="0000FF"/>
                <w:w w:val="99"/>
              </w:rPr>
            </w:pPr>
            <w:hyperlink r:id="rId65">
              <w:r>
                <w:rPr>
                  <w:rFonts w:ascii="Arial" w:cs="Arial" w:eastAsia="Arial" w:hAnsi="Arial"/>
                  <w:sz w:val="13"/>
                  <w:szCs w:val="13"/>
                  <w:color w:val="0000FF"/>
                  <w:w w:val="99"/>
                </w:rPr>
                <w:t>Current Report on Form 8-K (File No. 001-41196) filed with the Securities and Exchange Commission on December 30,</w:t>
              </w:r>
            </w:hyperlink>
          </w:p>
        </w:tc>
        <w:tc>
          <w:tcPr>
            <w:tcW w:w="80" w:type="dxa"/>
            <w:vAlign w:val="bottom"/>
          </w:tcPr>
          <w:p>
            <w:pPr>
              <w:spacing w:after="0"/>
              <w:rPr>
                <w:sz w:val="10"/>
                <w:szCs w:val="10"/>
                <w:color w:val="auto"/>
              </w:rPr>
            </w:pPr>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8100" w:type="dxa"/>
            <w:vAlign w:val="bottom"/>
            <w:gridSpan w:val="114"/>
          </w:tcPr>
          <w:p>
            <w:pPr>
              <w:spacing w:after="0"/>
              <w:rPr>
                <w:rFonts w:ascii="Arial" w:cs="Arial" w:eastAsia="Arial" w:hAnsi="Arial"/>
                <w:sz w:val="13"/>
                <w:szCs w:val="13"/>
                <w:color w:val="0000FF"/>
              </w:rPr>
            </w:pPr>
            <w:hyperlink r:id="rId65">
              <w:r>
                <w:rPr>
                  <w:rFonts w:ascii="Arial" w:cs="Arial" w:eastAsia="Arial" w:hAnsi="Arial"/>
                  <w:sz w:val="13"/>
                  <w:szCs w:val="13"/>
                  <w:color w:val="0000FF"/>
                </w:rPr>
                <w:t>2021).</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6620" w:type="dxa"/>
            <w:vAlign w:val="bottom"/>
            <w:gridSpan w:val="105"/>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Side Letter Agreement, dated December 30, 2021, between USCB Financial Holdings, Inc., U.S. Century Bank, Priam</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Capital Fund II, LP, Patriot Financial Partners II, L.P. and Patriot Financial Partners Parallel II, L.P. (incorporated by</w:t>
              </w:r>
            </w:hyperlink>
          </w:p>
        </w:tc>
      </w:tr>
      <w:tr>
        <w:trPr>
          <w:trHeight w:val="20"/>
        </w:trPr>
        <w:tc>
          <w:tcPr>
            <w:tcW w:w="1480" w:type="dxa"/>
            <w:vAlign w:val="bottom"/>
            <w:tcBorders>
              <w:right w:val="single" w:sz="8" w:color="0000FF"/>
            </w:tcBorders>
            <w:gridSpan w:val="9"/>
          </w:tcPr>
          <w:p>
            <w:pPr>
              <w:spacing w:after="0" w:line="20" w:lineRule="exact"/>
              <w:rPr>
                <w:sz w:val="1"/>
                <w:szCs w:val="1"/>
                <w:color w:val="auto"/>
              </w:rPr>
            </w:pPr>
          </w:p>
        </w:tc>
        <w:tc>
          <w:tcPr>
            <w:tcW w:w="360" w:type="dxa"/>
            <w:vAlign w:val="bottom"/>
            <w:tcBorders>
              <w:left w:val="single" w:sz="8" w:color="0000FF"/>
              <w:right w:val="single" w:sz="8" w:color="0000FF"/>
            </w:tcBorders>
            <w:gridSpan w:val="5"/>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380" w:type="dxa"/>
            <w:vAlign w:val="bottom"/>
            <w:tcBorders>
              <w:right w:val="single" w:sz="8" w:color="0000FF"/>
            </w:tcBorders>
            <w:gridSpan w:val="5"/>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tcBorders>
              <w:right w:val="single" w:sz="8" w:color="0000FF"/>
            </w:tcBorders>
            <w:gridSpan w:val="4"/>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reference to Exhibit 4.1 to the Registrant’s Current Report on Form 8-K (File No. 001-41196) filed with the Securities and</w:t>
              </w:r>
            </w:hyperlink>
          </w:p>
        </w:tc>
      </w:tr>
      <w:tr>
        <w:trPr>
          <w:trHeight w:val="20"/>
        </w:trPr>
        <w:tc>
          <w:tcPr>
            <w:tcW w:w="1840" w:type="dxa"/>
            <w:vAlign w:val="bottom"/>
            <w:tcBorders>
              <w:right w:val="single" w:sz="8" w:color="0000FF"/>
            </w:tcBorders>
            <w:gridSpan w:val="14"/>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10"/>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13"/>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tcBorders>
              <w:bottom w:val="single" w:sz="8" w:color="0000FF"/>
            </w:tcBorders>
            <w:gridSpan w:val="39"/>
          </w:tcPr>
          <w:p>
            <w:pPr>
              <w:spacing w:after="0" w:line="119" w:lineRule="exact"/>
              <w:rPr>
                <w:rFonts w:ascii="Arial" w:cs="Arial" w:eastAsia="Arial" w:hAnsi="Arial"/>
                <w:sz w:val="13"/>
                <w:szCs w:val="13"/>
                <w:color w:val="0000FF"/>
                <w:w w:val="97"/>
              </w:rPr>
            </w:pPr>
            <w:hyperlink r:id="rId66">
              <w:r>
                <w:rPr>
                  <w:rFonts w:ascii="Arial" w:cs="Arial" w:eastAsia="Arial" w:hAnsi="Arial"/>
                  <w:sz w:val="13"/>
                  <w:szCs w:val="13"/>
                  <w:color w:val="0000FF"/>
                  <w:w w:val="97"/>
                </w:rPr>
                <w:t>Exchange Commission on December 30, 2021).</w:t>
              </w:r>
            </w:hyperlink>
          </w:p>
        </w:tc>
        <w:tc>
          <w:tcPr>
            <w:tcW w:w="4240" w:type="dxa"/>
            <w:vAlign w:val="bottom"/>
            <w:gridSpan w:val="68"/>
          </w:tcPr>
          <w:p>
            <w:pPr>
              <w:spacing w:after="0"/>
              <w:rPr>
                <w:sz w:val="10"/>
                <w:szCs w:val="10"/>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Registration Rights Agreement, dated March 17, 2015, between U.S. Century Bank, Priam Capital Fund II, LP, Patriot</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9"/>
              </w:rPr>
            </w:pPr>
            <w:hyperlink r:id="rId67">
              <w:r>
                <w:rPr>
                  <w:rFonts w:ascii="Arial" w:cs="Arial" w:eastAsia="Arial" w:hAnsi="Arial"/>
                  <w:sz w:val="13"/>
                  <w:szCs w:val="13"/>
                  <w:color w:val="0000FF"/>
                  <w:w w:val="99"/>
                </w:rPr>
                <w:t>Financial Partners II, L.P., Patriot Financial Partners Parallel II, L.P., and certain other shareholders of U.S. Century Bank</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40" w:type="dxa"/>
            <w:vAlign w:val="bottom"/>
            <w:tcBorders>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16"/>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6"/>
          </w:tcPr>
          <w:p>
            <w:pPr>
              <w:spacing w:after="0" w:line="12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tcPr>
          <w:p>
            <w:pPr>
              <w:spacing w:after="0"/>
              <w:rPr>
                <w:sz w:val="11"/>
                <w:szCs w:val="1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Securities and Exchange Commission on December 30, 2021).</w:t>
              </w:r>
            </w:hyperlink>
          </w:p>
        </w:tc>
      </w:tr>
      <w:tr>
        <w:trPr>
          <w:trHeight w:val="20"/>
        </w:trPr>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1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1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8">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rPr>
            </w:pPr>
            <w:hyperlink r:id="rId68">
              <w:r>
                <w:rPr>
                  <w:rFonts w:ascii="Arial" w:cs="Arial" w:eastAsia="Arial" w:hAnsi="Arial"/>
                  <w:sz w:val="13"/>
                  <w:szCs w:val="13"/>
                  <w:color w:val="0000FF"/>
                </w:rPr>
                <w:t>Assignment and Assumption of Agreement, dated December 30, 2021, between U.S. Century Bank and USCB Financial</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right w:val="single" w:sz="8" w:color="0000FF"/>
            </w:tcBorders>
            <w:gridSpan w:val="11"/>
            <w:shd w:val="clear" w:color="auto" w:fill="0000FF"/>
          </w:tcPr>
          <w:p>
            <w:pPr>
              <w:spacing w:after="0" w:line="20" w:lineRule="exact"/>
              <w:rPr>
                <w:sz w:val="1"/>
                <w:szCs w:val="1"/>
                <w:color w:val="auto"/>
              </w:rPr>
            </w:pPr>
          </w:p>
        </w:tc>
        <w:tc>
          <w:tcPr>
            <w:tcW w:w="1540" w:type="dxa"/>
            <w:vAlign w:val="bottom"/>
            <w:tcBorders>
              <w:right w:val="single" w:sz="8" w:color="0000FF"/>
            </w:tcBorders>
            <w:gridSpan w:val="2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20" w:type="dxa"/>
            <w:vAlign w:val="bottom"/>
            <w:tcBorders>
              <w:right w:val="single" w:sz="8" w:color="0000FF"/>
            </w:tcBorders>
            <w:gridSpan w:val="19"/>
            <w:shd w:val="clear" w:color="auto" w:fill="0000FF"/>
          </w:tcPr>
          <w:p>
            <w:pPr>
              <w:spacing w:after="0" w:line="20" w:lineRule="exact"/>
              <w:rPr>
                <w:sz w:val="1"/>
                <w:szCs w:val="1"/>
                <w:color w:val="auto"/>
              </w:rPr>
            </w:pPr>
          </w:p>
        </w:tc>
        <w:tc>
          <w:tcPr>
            <w:tcW w:w="44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 w:type="dxa"/>
            <w:vAlign w:val="bottom"/>
            <w:tcBorders>
              <w:right w:val="single" w:sz="8" w:color="0000FF"/>
            </w:tcBorders>
            <w:gridSpan w:val="18"/>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00" w:type="dxa"/>
            <w:vAlign w:val="bottom"/>
            <w:tcBorders>
              <w:bottom w:val="single" w:sz="8" w:color="0000FF"/>
            </w:tcBorders>
            <w:gridSpan w:val="106"/>
          </w:tcPr>
          <w:p>
            <w:pPr>
              <w:spacing w:after="0" w:line="119" w:lineRule="exact"/>
              <w:rPr>
                <w:rFonts w:ascii="Arial" w:cs="Arial" w:eastAsia="Arial" w:hAnsi="Arial"/>
                <w:sz w:val="13"/>
                <w:szCs w:val="13"/>
                <w:color w:val="0000FF"/>
                <w:w w:val="96"/>
              </w:rPr>
            </w:pPr>
            <w:hyperlink r:id="rId68">
              <w:r>
                <w:rPr>
                  <w:rFonts w:ascii="Arial" w:cs="Arial" w:eastAsia="Arial" w:hAnsi="Arial"/>
                  <w:sz w:val="13"/>
                  <w:szCs w:val="13"/>
                  <w:color w:val="0000FF"/>
                  <w:w w:val="96"/>
                </w:rPr>
                <w:t>Holdings, Inc. (incorporated by reference to Exhibit 4.3 to the Registrant’s Current Report on Form 8-K (File No. 001-41196)</w:t>
              </w:r>
            </w:hyperlink>
          </w:p>
        </w:tc>
        <w:tc>
          <w:tcPr>
            <w:tcW w:w="80" w:type="dxa"/>
            <w:vAlign w:val="bottom"/>
          </w:tcPr>
          <w:p>
            <w:pPr>
              <w:spacing w:after="0"/>
              <w:rPr>
                <w:sz w:val="10"/>
                <w:szCs w:val="10"/>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80" w:type="dxa"/>
            <w:vAlign w:val="bottom"/>
            <w:tcBorders>
              <w:bottom w:val="single" w:sz="8" w:color="0000FF"/>
            </w:tcBorders>
            <w:gridSpan w:val="64"/>
          </w:tcPr>
          <w:p>
            <w:pPr>
              <w:spacing w:after="0" w:line="129" w:lineRule="exact"/>
              <w:rPr>
                <w:rFonts w:ascii="Arial" w:cs="Arial" w:eastAsia="Arial" w:hAnsi="Arial"/>
                <w:sz w:val="13"/>
                <w:szCs w:val="13"/>
                <w:color w:val="0000FF"/>
                <w:w w:val="98"/>
              </w:rPr>
            </w:pPr>
            <w:hyperlink r:id="rId68">
              <w:r>
                <w:rPr>
                  <w:rFonts w:ascii="Arial" w:cs="Arial" w:eastAsia="Arial" w:hAnsi="Arial"/>
                  <w:sz w:val="13"/>
                  <w:szCs w:val="13"/>
                  <w:color w:val="0000FF"/>
                  <w:w w:val="98"/>
                </w:rPr>
                <w:t>filed with the Securities and Exchange Commission on December 30, 2021).</w:t>
              </w:r>
            </w:hyperlink>
          </w:p>
        </w:tc>
        <w:tc>
          <w:tcPr>
            <w:tcW w:w="2600" w:type="dxa"/>
            <w:vAlign w:val="bottom"/>
            <w:gridSpan w:val="43"/>
          </w:tcPr>
          <w:p>
            <w:pPr>
              <w:spacing w:after="0"/>
              <w:rPr>
                <w:sz w:val="11"/>
                <w:szCs w:val="11"/>
                <w:color w:val="auto"/>
              </w:rPr>
            </w:pPr>
          </w:p>
        </w:tc>
      </w:tr>
      <w:tr>
        <w:trPr>
          <w:trHeight w:val="129"/>
        </w:trPr>
        <w:tc>
          <w:tcPr>
            <w:tcW w:w="340" w:type="dxa"/>
            <w:vAlign w:val="bottom"/>
            <w:gridSpan w:val="2"/>
          </w:tcPr>
          <w:p>
            <w:pPr>
              <w:spacing w:after="0"/>
              <w:rPr>
                <w:sz w:val="11"/>
                <w:szCs w:val="11"/>
                <w:color w:val="auto"/>
              </w:rPr>
            </w:pPr>
          </w:p>
        </w:tc>
        <w:tc>
          <w:tcPr>
            <w:tcW w:w="220" w:type="dxa"/>
            <w:vAlign w:val="bottom"/>
            <w:gridSpan w:val="2"/>
          </w:tcPr>
          <w:p>
            <w:pPr>
              <w:jc w:val="center"/>
              <w:ind w:right="40"/>
              <w:spacing w:after="0" w:line="129" w:lineRule="exact"/>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rFonts w:ascii="Arial" w:cs="Arial" w:eastAsia="Arial" w:hAnsi="Arial"/>
                <w:sz w:val="13"/>
                <w:szCs w:val="13"/>
                <w:color w:val="0000FF"/>
                <w:w w:val="98"/>
              </w:rPr>
            </w:pPr>
            <w:hyperlink r:id="rId69">
              <w:r>
                <w:rPr>
                  <w:rFonts w:ascii="Arial" w:cs="Arial" w:eastAsia="Arial" w:hAnsi="Arial"/>
                  <w:sz w:val="13"/>
                  <w:szCs w:val="13"/>
                  <w:color w:val="0000FF"/>
                  <w:w w:val="98"/>
                </w:rPr>
                <w:t>Description of USCB Financial Holdings, Inc.’s securities (incorporated by reference to Exhibit4.4 to the Registrant's Annual</w:t>
              </w:r>
            </w:hyperlink>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20" w:type="dxa"/>
            <w:vAlign w:val="bottom"/>
            <w:tcBorders>
              <w:top w:val="single" w:sz="8" w:color="0000FF"/>
              <w:bottom w:val="single" w:sz="8" w:color="0000FF"/>
            </w:tcBorders>
            <w:gridSpan w:val="100"/>
          </w:tcPr>
          <w:p>
            <w:pPr>
              <w:spacing w:after="0" w:line="129" w:lineRule="exact"/>
              <w:rPr>
                <w:rFonts w:ascii="Arial" w:cs="Arial" w:eastAsia="Arial" w:hAnsi="Arial"/>
                <w:sz w:val="13"/>
                <w:szCs w:val="13"/>
                <w:color w:val="0000FF"/>
                <w:w w:val="98"/>
              </w:rPr>
            </w:pPr>
            <w:hyperlink r:id="rId69">
              <w:r>
                <w:rPr>
                  <w:rFonts w:ascii="Arial" w:cs="Arial" w:eastAsia="Arial" w:hAnsi="Arial"/>
                  <w:sz w:val="13"/>
                  <w:szCs w:val="13"/>
                  <w:color w:val="0000FF"/>
                  <w:w w:val="98"/>
                </w:rPr>
                <w:t>Report on Form 10-K (File No. 001-41196) filed with the Securities and Exchange Commission on March 24, 2022)</w:t>
              </w:r>
            </w:hyperlink>
          </w:p>
        </w:tc>
        <w:tc>
          <w:tcPr>
            <w:tcW w:w="380" w:type="dxa"/>
            <w:vAlign w:val="bottom"/>
            <w:tcBorders>
              <w:top w:val="single" w:sz="8" w:color="0000FF"/>
            </w:tcBorders>
            <w:gridSpan w:val="6"/>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300" w:type="dxa"/>
            <w:vAlign w:val="bottom"/>
          </w:tcPr>
          <w:p>
            <w:pPr>
              <w:spacing w:after="0"/>
              <w:rPr>
                <w:sz w:val="11"/>
                <w:szCs w:val="11"/>
                <w:color w:val="auto"/>
              </w:rPr>
            </w:pPr>
          </w:p>
        </w:tc>
        <w:tc>
          <w:tcPr>
            <w:tcW w:w="260" w:type="dxa"/>
            <w:vAlign w:val="bottom"/>
            <w:gridSpan w:val="3"/>
          </w:tcPr>
          <w:p>
            <w:pPr>
              <w:jc w:val="center"/>
              <w:spacing w:after="0" w:line="129"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7"/>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88"/>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19"/>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3"/>
            <w:shd w:val="clear" w:color="auto" w:fill="0000FF"/>
          </w:tcPr>
          <w:p>
            <w:pPr>
              <w:spacing w:after="0" w:line="20" w:lineRule="exact"/>
              <w:rPr>
                <w:sz w:val="1"/>
                <w:szCs w:val="1"/>
                <w:color w:val="auto"/>
              </w:rPr>
            </w:pPr>
          </w:p>
        </w:tc>
        <w:tc>
          <w:tcPr>
            <w:tcW w:w="2780" w:type="dxa"/>
            <w:vAlign w:val="bottom"/>
            <w:gridSpan w:val="44"/>
          </w:tcPr>
          <w:p>
            <w:pPr>
              <w:spacing w:after="0" w:line="20" w:lineRule="exact"/>
              <w:rPr>
                <w:sz w:val="1"/>
                <w:szCs w:val="1"/>
                <w:color w:val="auto"/>
              </w:rPr>
            </w:pPr>
          </w:p>
        </w:tc>
      </w:tr>
      <w:tr>
        <w:trPr>
          <w:trHeight w:val="174"/>
        </w:trPr>
        <w:tc>
          <w:tcPr>
            <w:tcW w:w="300" w:type="dxa"/>
            <w:vAlign w:val="bottom"/>
          </w:tcPr>
          <w:p>
            <w:pPr>
              <w:spacing w:after="0"/>
              <w:rPr>
                <w:sz w:val="15"/>
                <w:szCs w:val="15"/>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w w:val="99"/>
              </w:rPr>
              <w:t>The following financialstatements from the Company’s Quarterly Report on Form 10-Q forthe quarter endedSeptember 30,</w:t>
            </w:r>
          </w:p>
        </w:tc>
      </w:tr>
      <w:tr>
        <w:trPr>
          <w:trHeight w:val="13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line="139" w:lineRule="exact"/>
              <w:rPr>
                <w:sz w:val="20"/>
                <w:szCs w:val="20"/>
                <w:color w:val="auto"/>
              </w:rPr>
            </w:pPr>
            <w:r>
              <w:rPr>
                <w:rFonts w:ascii="Arial" w:cs="Arial" w:eastAsia="Arial" w:hAnsi="Arial"/>
                <w:sz w:val="13"/>
                <w:szCs w:val="13"/>
                <w:color w:val="auto"/>
              </w:rPr>
              <w:t>2022 formatted in Inline XBRL: (i) Consolidated Balance Sheets (unaudited), (ii) Consolidated Statements of Operations</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w w:val="98"/>
              </w:rPr>
              <w:t>(unaudited), (iii) Consolidated Statements of Comprehensive Income (unaudited), (iv)Consolidated Statements of Changes</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rPr>
              <w:t>in Stockholders’ Equity (unaudited), (v) Consolidated  Statements of Cash Flows (unaudited), (vi) Notes to Consolidated</w:t>
            </w:r>
          </w:p>
        </w:tc>
      </w:tr>
      <w:tr>
        <w:trPr>
          <w:trHeight w:val="149"/>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7"/>
          </w:tcPr>
          <w:p>
            <w:pPr>
              <w:spacing w:after="0"/>
              <w:rPr>
                <w:sz w:val="20"/>
                <w:szCs w:val="20"/>
                <w:color w:val="auto"/>
              </w:rPr>
            </w:pPr>
            <w:r>
              <w:rPr>
                <w:rFonts w:ascii="Arial" w:cs="Arial" w:eastAsia="Arial" w:hAnsi="Arial"/>
                <w:sz w:val="13"/>
                <w:szCs w:val="13"/>
                <w:color w:val="auto"/>
              </w:rPr>
              <w:t>Financial Statements (unaudited).</w:t>
            </w:r>
          </w:p>
        </w:tc>
      </w:tr>
    </w:tbl>
    <w:p>
      <w:pPr>
        <w:ind w:left="1280" w:right="2499" w:hanging="596"/>
        <w:spacing w:after="0" w:line="538" w:lineRule="auto"/>
        <w:tabs>
          <w:tab w:leader="none" w:pos="1483"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7"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USCB FINANCIAL HOLDINGS, INC.</w:t>
      </w:r>
    </w:p>
    <w:p>
      <w:pPr>
        <w:spacing w:after="0" w:line="1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63"/>
        </w:trPr>
        <w:tc>
          <w:tcPr>
            <w:tcW w:w="20" w:type="dxa"/>
            <w:vAlign w:val="bottom"/>
          </w:tcPr>
          <w:p>
            <w:pPr>
              <w:spacing w:after="0"/>
              <w:rPr>
                <w:sz w:val="24"/>
                <w:szCs w:val="24"/>
                <w:color w:val="auto"/>
              </w:rPr>
            </w:pPr>
          </w:p>
        </w:tc>
        <w:tc>
          <w:tcPr>
            <w:tcW w:w="2000" w:type="dxa"/>
            <w:vAlign w:val="bottom"/>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3120" w:type="dxa"/>
            <w:vAlign w:val="bottom"/>
          </w:tcPr>
          <w:p>
            <w:pPr>
              <w:ind w:left="14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2"/>
        </w:trPr>
        <w:tc>
          <w:tcPr>
            <w:tcW w:w="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November 10, 2022</w:t>
            </w:r>
          </w:p>
        </w:tc>
      </w:tr>
      <w:tr>
        <w:trPr>
          <w:trHeight w:val="161"/>
        </w:trPr>
        <w:tc>
          <w:tcPr>
            <w:tcW w:w="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6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November 10, 2022</w:t>
            </w:r>
          </w:p>
        </w:tc>
      </w:tr>
      <w:tr>
        <w:trPr>
          <w:trHeight w:val="151"/>
        </w:trPr>
        <w:tc>
          <w:tcPr>
            <w:tcW w:w="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ind w:left="60"/>
              <w:spacing w:after="0" w:line="151"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tcPr>
          <w:p>
            <w:pPr>
              <w:ind w:left="60"/>
              <w:spacing w:after="0" w:line="151" w:lineRule="exact"/>
              <w:rPr>
                <w:sz w:val="20"/>
                <w:szCs w:val="20"/>
                <w:color w:val="auto"/>
              </w:rPr>
            </w:pPr>
            <w:r>
              <w:rPr>
                <w:rFonts w:ascii="Arial" w:cs="Arial" w:eastAsia="Arial" w:hAnsi="Arial"/>
                <w:sz w:val="14"/>
                <w:szCs w:val="14"/>
                <w:color w:val="auto"/>
              </w:rPr>
              <w:t>(Principal Financial Officer and Principal</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Q3 2022 Form 10-Q</w:t>
      </w:r>
    </w:p>
    <w:p>
      <w:pPr>
        <w:sectPr>
          <w:pgSz w:w="11900" w:h="16838" w:orient="portrait"/>
          <w:cols w:equalWidth="0" w:num="1">
            <w:col w:w="9019"/>
          </w:cols>
          <w:pgMar w:left="1440" w:top="491" w:right="1440" w:bottom="1440" w:gutter="0" w:footer="0" w:header="0"/>
        </w:sectPr>
      </w:pPr>
    </w:p>
    <w:bookmarkStart w:id="56" w:name="page57"/>
    <w:bookmarkEnd w:id="56"/>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2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10, 2022</w:t>
      </w:r>
    </w:p>
    <w:p>
      <w:pPr>
        <w:sectPr>
          <w:pgSz w:w="11900" w:h="16838" w:orient="portrait"/>
          <w:cols w:equalWidth="0" w:num="1">
            <w:col w:w="9019"/>
          </w:cols>
          <w:pgMar w:left="1440" w:top="719" w:right="1440" w:bottom="1440" w:gutter="0" w:footer="0" w:header="0"/>
        </w:sectPr>
      </w:pPr>
    </w:p>
    <w:bookmarkStart w:id="57" w:name="page58"/>
    <w:bookmarkEnd w:id="5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4"/>
          <w:szCs w:val="14"/>
          <w:color w:val="auto"/>
        </w:rPr>
      </w:pPr>
    </w:p>
    <w:p>
      <w:pPr>
        <w:ind w:left="660" w:right="679" w:hanging="253"/>
        <w:spacing w:after="0" w:line="252" w:lineRule="auto"/>
        <w:tabs>
          <w:tab w:leader="none" w:pos="6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52" w:lineRule="exact"/>
        <w:rPr>
          <w:rFonts w:ascii="Arial" w:cs="Arial" w:eastAsia="Arial" w:hAnsi="Arial"/>
          <w:sz w:val="14"/>
          <w:szCs w:val="14"/>
          <w:color w:val="auto"/>
        </w:rPr>
      </w:pPr>
    </w:p>
    <w:p>
      <w:pPr>
        <w:jc w:val="both"/>
        <w:ind w:left="1180" w:right="679" w:hanging="261"/>
        <w:spacing w:after="0" w:line="248"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left="1180" w:right="679" w:hanging="261"/>
        <w:spacing w:after="0" w:line="245" w:lineRule="auto"/>
        <w:tabs>
          <w:tab w:leader="none" w:pos="11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4"/>
          <w:szCs w:val="14"/>
          <w:color w:val="auto"/>
        </w:rPr>
      </w:pPr>
    </w:p>
    <w:p>
      <w:pPr>
        <w:jc w:val="both"/>
        <w:ind w:left="1180" w:right="679" w:hanging="261"/>
        <w:spacing w:after="0" w:line="248" w:lineRule="auto"/>
        <w:tabs>
          <w:tab w:leader="none" w:pos="1181" w:val="left"/>
        </w:tabs>
        <w:numPr>
          <w:ilvl w:val="1"/>
          <w:numId w:val="2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jc w:val="both"/>
        <w:ind w:left="660" w:right="679" w:hanging="253"/>
        <w:spacing w:after="0" w:line="245" w:lineRule="auto"/>
        <w:tabs>
          <w:tab w:leader="none" w:pos="6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180" w:right="679" w:hanging="261"/>
        <w:spacing w:after="0" w:line="268" w:lineRule="auto"/>
        <w:tabs>
          <w:tab w:leader="none" w:pos="1168" w:val="left"/>
        </w:tabs>
        <w:numPr>
          <w:ilvl w:val="1"/>
          <w:numId w:val="2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10, 2022</w:t>
      </w:r>
    </w:p>
    <w:p>
      <w:pPr>
        <w:sectPr>
          <w:pgSz w:w="11900" w:h="16838" w:orient="portrait"/>
          <w:cols w:equalWidth="0" w:num="1">
            <w:col w:w="9019"/>
          </w:cols>
          <w:pgMar w:left="1440" w:top="719" w:right="1440" w:bottom="1440" w:gutter="0" w:footer="0" w:header="0"/>
        </w:sectPr>
      </w:pPr>
    </w:p>
    <w:bookmarkStart w:id="58" w:name="page59"/>
    <w:bookmarkEnd w:id="5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2022,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70" w:lineRule="exact"/>
        <w:rPr>
          <w:sz w:val="20"/>
          <w:szCs w:val="20"/>
          <w:color w:val="auto"/>
        </w:rPr>
      </w:pPr>
    </w:p>
    <w:p>
      <w:pPr>
        <w:ind w:left="1440" w:right="679" w:hanging="265"/>
        <w:spacing w:after="0" w:line="252" w:lineRule="auto"/>
        <w:tabs>
          <w:tab w:leader="none" w:pos="142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10, 2022</w:t>
      </w:r>
    </w:p>
    <w:p>
      <w:pPr>
        <w:sectPr>
          <w:pgSz w:w="11900" w:h="16838" w:orient="portrait"/>
          <w:cols w:equalWidth="0" w:num="1">
            <w:col w:w="9019"/>
          </w:cols>
          <w:pgMar w:left="1440" w:top="719" w:right="1440" w:bottom="1440" w:gutter="0" w:footer="0" w:header="0"/>
        </w:sectPr>
      </w:pPr>
    </w:p>
    <w:bookmarkStart w:id="59" w:name="page60"/>
    <w:bookmarkEnd w:id="5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2022,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56" w:lineRule="exact"/>
        <w:rPr>
          <w:sz w:val="20"/>
          <w:szCs w:val="20"/>
          <w:color w:val="auto"/>
        </w:rPr>
      </w:pPr>
    </w:p>
    <w:p>
      <w:pPr>
        <w:ind w:left="1440" w:right="679" w:hanging="265"/>
        <w:spacing w:after="0" w:line="252" w:lineRule="auto"/>
        <w:tabs>
          <w:tab w:leader="none" w:pos="14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52" w:lineRule="auto"/>
        <w:tabs>
          <w:tab w:leader="none" w:pos="14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10, 2022</w:t>
      </w:r>
    </w:p>
    <w:p>
      <w:pPr>
        <w:sectPr>
          <w:pgSz w:w="11900" w:h="16838" w:orient="portrait"/>
          <w:cols w:equalWidth="0" w:num="1">
            <w:col w:w="9019"/>
          </w:cols>
          <w:pgMar w:left="1440" w:top="719" w:right="1440"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104"/>
    </w:lvl>
    <w:lvl w:ilvl="1">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63" Type="http://schemas.openxmlformats.org/officeDocument/2006/relationships/hyperlink" Target="http://www.sec.gov/Archives/edgar/data/0001901637/000119312521369812/d628417dex21.htm" TargetMode="External"/><Relationship Id="rId64" Type="http://schemas.openxmlformats.org/officeDocument/2006/relationships/hyperlink" Target="http://www.sec.gov/Archives/edgar/data/0001901637/000119312521369812/d628417dex31.htm" TargetMode="External"/><Relationship Id="rId65" Type="http://schemas.openxmlformats.org/officeDocument/2006/relationships/hyperlink" Target="http://www.sec.gov/Archives/edgar/data/0001901637/000119312521369812/d628417dex32.htm" TargetMode="External"/><Relationship Id="rId66" Type="http://schemas.openxmlformats.org/officeDocument/2006/relationships/hyperlink" Target="http://www.sec.gov/Archives/edgar/data/0001901637/000119312521369812/d628417dex41.htm" TargetMode="External"/><Relationship Id="rId67" Type="http://schemas.openxmlformats.org/officeDocument/2006/relationships/hyperlink" Target="http://www.sec.gov/Archives/edgar/data/0001901637/000119312521369812/d628417dex42.htm" TargetMode="External"/><Relationship Id="rId68" Type="http://schemas.openxmlformats.org/officeDocument/2006/relationships/hyperlink" Target="http://www.sec.gov/Archives/edgar/data/0001901637/000119312521369812/d628417dex43.htm" TargetMode="External"/><Relationship Id="rId69" Type="http://schemas.openxmlformats.org/officeDocument/2006/relationships/hyperlink" Target="http://www.sec.gov/Archives/edgar/data/1901637/000156276222000137/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2022-11-10T15:21:34Z</dcterms:created>
  <dcterms:modified xsi:type="dcterms:W3CDTF">2022-11-10T15:21:34Z</dcterms:modified>
</cp:coreProperties>
</file>