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WYCOFF W KIRK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FOUR RADNOR CORPORATE CENTER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MATSONFORD ROAD,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RADNOR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USCB FINANCIAL HOLDINGS, INC.</w:t>
              </w:r>
            </w:hyperlink>
            <w:r>
              <w:rPr/>
              <w:t xml:space="preserve"> [ </w:t>
            </w:r>
            <w:r>
              <w:rPr>
                <w:rFonts w:ascii="Times;serif" w:hAnsi="Times;serif"/>
                <w:color w:val="0000FF"/>
                <w:sz w:val="24"/>
                <w:shd w:fill="FFFFFF" w:val="clear"/>
              </w:rPr>
              <w:t>USCB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11/24/2025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20"/>
        <w:gridCol w:w="443"/>
        <w:gridCol w:w="792"/>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Voting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11/24/2025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21,327</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18.02</w:t>
            </w:r>
            <w:r>
              <w:rPr>
                <w:rFonts w:ascii="Times;serif" w:hAnsi="Times;serif"/>
                <w:color w:val="008000"/>
                <w:position w:val="7"/>
                <w:sz w:val="16"/>
                <w:sz w:val="20"/>
                <w:shd w:fill="FFFFFF" w:val="clear"/>
              </w:rPr>
              <w:t>(1)</w:t>
            </w:r>
            <w:r>
              <w:rPr/>
              <w:t xml:space="preserve"> </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2,014,582</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(2)(3)(4)(5)</w:t>
            </w:r>
            <w:r>
              <w:rPr/>
              <w:t xml:space="preserve"> </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13"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400"/>
        <w:gridCol w:w="401"/>
        <w:gridCol w:w="906"/>
        <w:gridCol w:w="801"/>
        <w:gridCol w:w="891"/>
        <w:gridCol w:w="681"/>
        <w:gridCol w:w="801"/>
        <w:gridCol w:w="936"/>
        <w:gridCol w:w="831"/>
        <w:gridCol w:w="846"/>
      </w:tblGrid>
      <w:tr>
        <w:trPr>
          <w:tblHeader w:val="true"/>
        </w:trPr>
        <w:tc>
          <w:tcPr>
            <w:tcW w:w="118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to Purchase Class A Voting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03/01/2016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(6)</w:t>
            </w:r>
            <w:r>
              <w:rPr/>
              <w:t xml:space="preserve"> </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to Purchase Class A Voting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11.35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09/23/2019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(6)</w:t>
            </w:r>
            <w:r>
              <w:rPr/>
              <w:t xml:space="preserve"> </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WYCOFF W KIRK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FOUR RADNOR CORPORATE CENTER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MATSONFORD ROAD,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RADNOR</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Patriot Financial Partners GP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FOUR RADNOR CORPORATE CENTER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MATSONFORD ROAD,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RADNOR</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Patriot Financial Partners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FOUR RADNOR CORPORATE CENTER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MATSONFORD ROAD,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RADNOR</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Patriot Financial Partners Parallel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FOUR RADNOR CORPORATE CENTER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MATSONFORD ROAD,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RADNOR</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Patriot Financial Partners GP 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FOUR RADNOR CORPORATE CENTER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MATSONFORD ROAD,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RADNOR</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Deutsch James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FOUR RADNOR CORPORATE CENTER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MATSONFORD ROAD,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RADNOR</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LUBERT IRA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FMC TOWER AT CIRA CENTRE SOUTH</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2929 WALNUT STREET, SUITE 1550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6">
                    <w:r>
                      <w:rPr>
                        <w:rStyle w:val="InternetLink"/>
                      </w:rPr>
                      <w:t>LYNCH JAMES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FOUR RADNOR CORPORATE CENTER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MATSONFORD ROAD,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RADNOR</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$17.99 to $18.18, inclusive. The reporting persons undertake to provide to USCB, any security holder of USCB, or the staff of the Securities and Exchange Commission, upon request, full information regarding the number of shares sold at each separate price within the ranges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Form 4 is filed jointly by Patriot Financial Partners GP II, LLC ("Patriot LLC"), Patriot Financial Partners GP II, LP. ("Patriot GP"), Patriot Financial Partners II, LP. ("Patriot Fund II"), Patriot Financial Partners Parallel II, LP. ("Patriot Parallel Fund II," together with Patriot Fund II, the "Funds"), W. Kirk Wycoff, James J. Lynch, Ira M. Lubert and James F. Deutsch. Patriot GP is a general partner of each of the Funds and Patriot LLC is a general partner of Patriot GP. In addition, each of W. Kirk Wycoff, Ira M. Lubert and James J. Lynch serve as general partners of the Funds and is a member of Patriot LLC. James F. Deutsch is a member of the Patriot Funds Investment Committee.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securities owned by the Funds may be regarded as being beneficially owned by Patriot GP, Patriot LLC, W. Kirk Wycoff, James J. Lynch, Ira M. Lubert and James F. Deutsch. On November 24, 2025, Patriot Fund II sold 19,088 shares of common stock and Patriot Parallel Fund II sold 2,239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After the sale, Patriot Fund II holds 1,804,094 shares of common stock and Patriot Parallel Fund II holds 210,488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filing shall not be deemed an admission that the Reporting Persons are subject to Section 16 of the Securities Exchange Act of 1934, as amended (the "Exchange Act"), or, for purposes of Section 16 of the Exchange Act or otherwise (other than to the extent a Reporting Person directly holds the securities reported herein), and Messrs. Wycoff, Lynch, Lubert and Deutsch each disclaim beneficial ownership of the securities owned by the Funds, except to the extent of their respective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options were previously granted to Mr. Wycoff as a director of the Company. Each option to purchase Class A Voting Common Stock remains exercisable until the earlier of (a) ten (10) years after its date of grant or (b) the (3) months after the date Mr. Wycoff ceases to serve as a non-employee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Patriot Financial Partners II, L.P. By: W. Kirk Wycoff, a member of Patriot Financial Partners GP II, LLC, the general partner of Patriot Financial Partners GP II, L.P., the general partner of Patriot Financial Partners II,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11/25/2025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Patriot Financial Partners GP II, L.P. By: W. Kirk Wycoff, a member of Patriot Financial Partners GP II, LLC, the general partner of Patriot Financial Partners GP II, L.P., the general partner of Patriot Financial Partners II,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11/25/2025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Patriot Financial Partners Parallel II, L.P. By: W. Kirk Wycoff, a member of Patriot Financial Partners GP II, LLC, the general partner of Patriot Financial Partners GP II, L.P., the general partner of Patriot Financial Partners Parallel II,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11/25/2025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Patriot Financial Partners GP II, LLC By: W. Kirk Wycoff, a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11/25/2025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 Kirk Wycoff</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11/25/2025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F. Deutsch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11/25/2025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J. Murphy by P.O.A. for Ira M. Lubert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11/25/2025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J. Lynch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11/25/2025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 w:hAnsi="Times New Roman"/>
          <w:b/>
          <w:caps w:val="false"/>
          <w:smallCaps w:val="false"/>
          <w:sz w:val="20"/>
        </w:rPr>
      </w:pPr>
      <w:bookmarkStart w:id="2" w:name="lubert_poa.htm"/>
      <w:bookmarkStart w:id="3" w:name="kslubert_poa"/>
      <w:bookmarkEnd w:id="2"/>
      <w:bookmarkEnd w:id="3"/>
      <w:r>
        <w:rPr>
          <w:rFonts w:ascii="Times New Roman" w:hAnsi="Times New Roman"/>
          <w:b/>
          <w:caps w:val="false"/>
          <w:smallCaps w:val="false"/>
          <w:sz w:val="20"/>
        </w:rPr>
        <w:t>Exhibit 24</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undersigned hereby makes, constitutes and appoints each of James J. Murphy, Steven Silverman and Matthew Foley, or any of them acting singly, and with full power of substitution, re-substitution and delegation, the undersigned’s true and lawful attorney</w:t>
        <w:noBreakHyphen/>
        <w:t>in</w:t>
        <w:noBreakHyphen/>
        <w:t>fact (each of such persons and their substitutes and delegees being referred to herein as the "Attorney-in-Fact"), with full power to act for the undersigned and in the undersigned's name, place and stead,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2"/>
        <w:gridCol w:w="10013"/>
      </w:tblGrid>
      <w:tr>
        <w:trPr/>
        <w:tc>
          <w:tcPr>
            <w:tcW w:w="60" w:type="dxa"/>
            <w:tcBorders/>
            <w:vAlign w:val="center"/>
          </w:tcPr>
          <w:p>
            <w:pPr>
              <w:pStyle w:val="TableContents"/>
              <w:bidi w:val="0"/>
              <w:spacing w:before="0" w:after="283"/>
              <w:jc w:val="both"/>
              <w:rPr/>
            </w:pPr>
            <w:r>
              <w:rPr/>
              <w:t> </w:t>
            </w:r>
          </w:p>
        </w:tc>
        <w:tc>
          <w:tcPr>
            <w:tcW w:w="13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1001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2"/>
        <w:gridCol w:w="10013"/>
      </w:tblGrid>
      <w:tr>
        <w:trPr/>
        <w:tc>
          <w:tcPr>
            <w:tcW w:w="60" w:type="dxa"/>
            <w:tcBorders/>
            <w:vAlign w:val="center"/>
          </w:tcPr>
          <w:p>
            <w:pPr>
              <w:pStyle w:val="TableContents"/>
              <w:bidi w:val="0"/>
              <w:spacing w:before="0" w:after="283"/>
              <w:jc w:val="both"/>
              <w:rPr/>
            </w:pPr>
            <w:r>
              <w:rPr/>
              <w:t> </w:t>
            </w:r>
          </w:p>
        </w:tc>
        <w:tc>
          <w:tcPr>
            <w:tcW w:w="13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1001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as amended (“Exchange Act”), or any rule or regulation thereunder, or under Rule 144 (“Rule 144”) under the Securities Act of 1933, as amended (“Securities Act”), including Forms 3, 4 and 5, Schedules 13D and 13G, and Forms 144 (all such forms, schedules and other documents being referred to herein as “SEC Filings”);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9"/>
        <w:gridCol w:w="9986"/>
      </w:tblGrid>
      <w:tr>
        <w:trPr/>
        <w:tc>
          <w:tcPr>
            <w:tcW w:w="60" w:type="dxa"/>
            <w:tcBorders/>
            <w:vAlign w:val="center"/>
          </w:tcPr>
          <w:p>
            <w:pPr>
              <w:pStyle w:val="TableContents"/>
              <w:bidi w:val="0"/>
              <w:spacing w:before="0" w:after="283"/>
              <w:jc w:val="both"/>
              <w:rPr/>
            </w:pPr>
            <w:r>
              <w:rPr/>
              <w:t> </w:t>
            </w:r>
          </w:p>
        </w:tc>
        <w:tc>
          <w:tcPr>
            <w:tcW w:w="1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998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Submit and file SEC Filings with the SEC utilizing the EDGAR system or cause them to be submitted and filed by a person appointed under </w:t>
            </w:r>
            <w:r>
              <w:rPr>
                <w:rFonts w:ascii="Times New Roman" w:hAnsi="Times New Roman"/>
                <w:caps w:val="false"/>
                <w:smallCaps w:val="false"/>
                <w:sz w:val="20"/>
                <w:u w:val="single"/>
              </w:rPr>
              <w:t>Section 5</w:t>
            </w:r>
            <w:r>
              <w:rPr>
                <w:rFonts w:ascii="Times New Roman" w:hAnsi="Times New Roman"/>
                <w:caps w:val="false"/>
                <w:smallCaps w:val="false"/>
                <w:sz w:val="20"/>
              </w:rPr>
              <w:t> below;</w:t>
            </w:r>
          </w:p>
        </w:tc>
      </w:tr>
    </w:tbl>
    <w:p>
      <w:pPr>
        <w:pStyle w:val="TextBody"/>
        <w:bidi w:val="0"/>
        <w:spacing w:before="0" w:after="0"/>
        <w:ind w:left="0" w:right="0" w:hanging="0"/>
        <w:jc w:val="both"/>
        <w:rPr>
          <w:caps w:val="false"/>
          <w:smallCaps w:val="false"/>
        </w:rPr>
      </w:pPr>
      <w:r>
        <w:rPr>
          <w:caps w:val="false"/>
          <w:smallCaps w:val="false"/>
        </w:rPr>
        <w:t> </w:t>
      </w:r>
    </w:p>
    <w:tbl>
      <w:tblPr>
        <w:tblW w:w="7735" w:type="dxa"/>
        <w:jc w:val="left"/>
        <w:tblInd w:w="0" w:type="dxa"/>
        <w:tblLayout w:type="fixed"/>
        <w:tblCellMar>
          <w:top w:w="0" w:type="dxa"/>
          <w:left w:w="0" w:type="dxa"/>
          <w:bottom w:w="0" w:type="dxa"/>
          <w:right w:w="0" w:type="dxa"/>
        </w:tblCellMar>
      </w:tblPr>
      <w:tblGrid>
        <w:gridCol w:w="60"/>
        <w:gridCol w:w="170"/>
        <w:gridCol w:w="750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75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 submit or otherwise deliver SEC Filings to any securities exchange or similar authority;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3"/>
        <w:gridCol w:w="10012"/>
      </w:tblGrid>
      <w:tr>
        <w:trPr/>
        <w:tc>
          <w:tcPr>
            <w:tcW w:w="60" w:type="dxa"/>
            <w:tcBorders/>
            <w:vAlign w:val="center"/>
          </w:tcPr>
          <w:p>
            <w:pPr>
              <w:pStyle w:val="TableContents"/>
              <w:bidi w:val="0"/>
              <w:spacing w:before="0" w:after="283"/>
              <w:jc w:val="both"/>
              <w:rPr/>
            </w:pPr>
            <w:r>
              <w:rPr/>
              <w:t> </w:t>
            </w:r>
          </w:p>
        </w:tc>
        <w:tc>
          <w:tcPr>
            <w:tcW w:w="13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w:t>
            </w:r>
          </w:p>
        </w:tc>
        <w:tc>
          <w:tcPr>
            <w:tcW w:w="1001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6"/>
        <w:gridCol w:w="10009"/>
      </w:tblGrid>
      <w:tr>
        <w:trPr/>
        <w:tc>
          <w:tcPr>
            <w:tcW w:w="60" w:type="dxa"/>
            <w:tcBorders/>
            <w:vAlign w:val="center"/>
          </w:tcPr>
          <w:p>
            <w:pPr>
              <w:pStyle w:val="TableContents"/>
              <w:bidi w:val="0"/>
              <w:spacing w:before="0" w:after="283"/>
              <w:jc w:val="both"/>
              <w:rPr/>
            </w:pPr>
            <w:r>
              <w:rPr/>
              <w:t> </w:t>
            </w:r>
          </w:p>
        </w:tc>
        <w:tc>
          <w:tcPr>
            <w:tcW w:w="13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w:t>
            </w:r>
          </w:p>
        </w:tc>
        <w:tc>
          <w:tcPr>
            <w:tcW w:w="1000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Obtain, as the undersigned's representative and on the undersigned's behalf, information regarding transactions in the equity securities of portfolio companies beneficially owned thereby from any third party, including any portfolio company, brokers, dealers, employee benefit plan administrators and trustees, and the undersigned hereby authorizes any such third party to release any such information to the Attorney-in-Fact.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The undersigned acknowledges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both"/>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This Power of Attorney authorizes, but does not require, the Attorney-in-Fact to act in his discretion on information provided to such Attorney-in-Fact without independent verification of such information;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2"/>
        <w:gridCol w:w="9993"/>
      </w:tblGrid>
      <w:tr>
        <w:trPr/>
        <w:tc>
          <w:tcPr>
            <w:tcW w:w="60" w:type="dxa"/>
            <w:tcBorders/>
            <w:vAlign w:val="center"/>
          </w:tcPr>
          <w:p>
            <w:pPr>
              <w:pStyle w:val="TableContents"/>
              <w:bidi w:val="0"/>
              <w:spacing w:before="0" w:after="283"/>
              <w:jc w:val="both"/>
              <w:rPr/>
            </w:pPr>
            <w:r>
              <w:rPr/>
              <w:t> </w:t>
            </w:r>
          </w:p>
        </w:tc>
        <w:tc>
          <w:tcPr>
            <w:tcW w:w="15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9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documents prepared or executed by the Attorney-in-Fact on behalf of the undersigned pursuant to this Power of Attorney will be in such form and will contain such information as the Attorney-in-Fact, in his discretion, deems necessary or desirable;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28"/>
        <w:gridCol w:w="10017"/>
      </w:tblGrid>
      <w:tr>
        <w:trPr/>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1001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Attorney-in-Fact does not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8"/>
        <w:gridCol w:w="9997"/>
      </w:tblGrid>
      <w:tr>
        <w:trPr/>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999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This Power of Attorney shall remain in full force and effect until the undersigned is no longer required to file Forms 4 or 5 or Schedules 13D or 13G or Forms 144 with respect to the undersigned's holdings of and transactions in securities registered under the Exchange Act, unless earlier revoked by the undersigned in a signed writing delivered to the Attorney-in-Fact. This Power of Attorney revokes all previous powers of attorney, if any, with respect to the subject matter of this Power of Attorney.</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IN WITNESS WHEREOF, the undersigned has executed this Power of Attorney as of August 20,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270" w:type="dxa"/>
        <w:jc w:val="left"/>
        <w:tblInd w:w="0" w:type="dxa"/>
        <w:tblLayout w:type="fixed"/>
        <w:tblCellMar>
          <w:top w:w="0" w:type="dxa"/>
          <w:left w:w="0" w:type="dxa"/>
          <w:bottom w:w="0" w:type="dxa"/>
          <w:right w:w="0" w:type="dxa"/>
        </w:tblCellMar>
      </w:tblPr>
      <w:tblGrid>
        <w:gridCol w:w="60"/>
        <w:gridCol w:w="2210"/>
      </w:tblGrid>
      <w:tr>
        <w:trPr/>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/s/Ira M. Lubert                    </w:t>
            </w:r>
          </w:p>
          <w:p>
            <w:pPr>
              <w:pStyle w:val="TableContents"/>
              <w:bidi w:val="0"/>
              <w:spacing w:before="0" w:after="0"/>
              <w:ind w:left="0" w:right="0" w:hanging="0"/>
              <w:jc w:val="both"/>
              <w:rPr>
                <w:caps w:val="false"/>
                <w:smallCaps w:val="false"/>
              </w:rPr>
            </w:pPr>
            <w:r>
              <w:rPr>
                <w:caps w:val="false"/>
                <w:smallCaps w:val="false"/>
              </w:rPr>
              <w:t>         </w:t>
            </w:r>
            <w:r>
              <w:rPr>
                <w:rFonts w:ascii="Times New Roman" w:hAnsi="Times New Roman"/>
                <w:caps w:val="false"/>
                <w:smallCaps w:val="false"/>
                <w:sz w:val="20"/>
              </w:rPr>
              <w:t>Signature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Ira M. Lubert                         </w:t>
            </w:r>
          </w:p>
          <w:p>
            <w:pPr>
              <w:pStyle w:val="TableContents"/>
              <w:bidi w:val="0"/>
              <w:spacing w:before="0" w:after="0"/>
              <w:ind w:left="0" w:right="0" w:hanging="0"/>
              <w:jc w:val="both"/>
              <w:rPr>
                <w:caps w:val="false"/>
                <w:smallCaps w:val="false"/>
              </w:rPr>
            </w:pPr>
            <w:r>
              <w:rPr>
                <w:caps w:val="false"/>
                <w:smallCaps w:val="false"/>
              </w:rPr>
              <w:t>         </w:t>
            </w:r>
            <w:r>
              <w:rPr>
                <w:rFonts w:ascii="Times New Roman" w:hAnsi="Times New Roman"/>
                <w:caps w:val="false"/>
                <w:smallCaps w:val="false"/>
                <w:sz w:val="20"/>
              </w:rPr>
              <w:t>Print Name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49197" TargetMode="External"/><Relationship Id="rId5" Type="http://schemas.openxmlformats.org/officeDocument/2006/relationships/hyperlink" Target="http://www.sec.gov/cgi-bin/browse-edgar?action=getcompany&amp;CIK=00019016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0949197" TargetMode="External"/><Relationship Id="rId10" Type="http://schemas.openxmlformats.org/officeDocument/2006/relationships/hyperlink" Target="http://www.sec.gov/cgi-bin/browse-edgar?action=getcompany&amp;CIK=0002061817" TargetMode="External"/><Relationship Id="rId11" Type="http://schemas.openxmlformats.org/officeDocument/2006/relationships/hyperlink" Target="http://www.sec.gov/cgi-bin/browse-edgar?action=getcompany&amp;CIK=0001583223" TargetMode="External"/><Relationship Id="rId12" Type="http://schemas.openxmlformats.org/officeDocument/2006/relationships/hyperlink" Target="http://www.sec.gov/cgi-bin/browse-edgar?action=getcompany&amp;CIK=0001586224" TargetMode="External"/><Relationship Id="rId13" Type="http://schemas.openxmlformats.org/officeDocument/2006/relationships/hyperlink" Target="http://www.sec.gov/cgi-bin/browse-edgar?action=getcompany&amp;CIK=0002061814" TargetMode="External"/><Relationship Id="rId14" Type="http://schemas.openxmlformats.org/officeDocument/2006/relationships/hyperlink" Target="http://www.sec.gov/cgi-bin/browse-edgar?action=getcompany&amp;CIK=0001561111" TargetMode="External"/><Relationship Id="rId15" Type="http://schemas.openxmlformats.org/officeDocument/2006/relationships/hyperlink" Target="http://www.sec.gov/cgi-bin/browse-edgar?action=getcompany&amp;CIK=0001203115" TargetMode="External"/><Relationship Id="rId16" Type="http://schemas.openxmlformats.org/officeDocument/2006/relationships/hyperlink" Target="http://www.sec.gov/cgi-bin/browse-edgar?action=getcompany&amp;CIK=0001222379"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2249</Words>
  <Characters>11931</Characters>
  <CharactersWithSpaces>14073</CharactersWithSpaces>
  <Paragraphs>310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