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2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3981450</wp:posOffset>
            </wp:positionH>
            <wp:positionV relativeFrom="paragraph">
              <wp:posOffset>-627380</wp:posOffset>
            </wp:positionV>
            <wp:extent cx="58420" cy="640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745490</wp:posOffset>
            </wp:positionV>
            <wp:extent cx="6993255" cy="56718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671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40"/>
            <w:col w:w="8500"/>
          </w:cols>
          <w:pgMar w:left="460" w:top="218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Anderson Robert B.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USCB FINANCIAL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2301 N.W. 87TH AVENUE</w:t>
      </w:r>
    </w:p>
    <w:p>
      <w:pPr>
        <w:spacing w:after="0" w:line="28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DORAL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33172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USCB FINANCIAL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USCB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6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Executive VP and CFO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Voting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10/28/2024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25,000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112,204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8.75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09/10/2030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Voting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30,000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Voting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09/10/2021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134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12.05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09/27/2031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Voting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60,000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60,000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09/27/2022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Voting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-2810510</wp:posOffset>
            </wp:positionV>
            <wp:extent cx="29210" cy="28155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815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grant of 25,000 shares of restricted stock which vest at a rate of one-third per year commencing on December 31, 2024.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4,127 shares of restricted stock which vest at a rate of one-third per year commencing on January 22, 2025, and 5,367 shares of restricted stock which vest at a rate of one-third per year commencing on March 8, 2024.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vested at a rate of one-third per year commencing on September 10, 2021.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 at a rate of one-third per year commencing on September 27, 2022.</w:t>
      </w:r>
    </w:p>
    <w:p>
      <w:pPr>
        <w:spacing w:after="0" w:line="5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Robert Anderson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10/30/2024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85230" TargetMode="External"/><Relationship Id="rId14" Type="http://schemas.openxmlformats.org/officeDocument/2006/relationships/hyperlink" Target="http://www.sec.gov/cgi-bin/browse-edgar?action=getcompany&amp;CIK=00019016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2024-10-30T16:42:02Z</dcterms:created>
  <dcterms:modified xsi:type="dcterms:W3CDTF">2024-10-30T16:42:02Z</dcterms:modified>
</cp:coreProperties>
</file>