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-240665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9"/>
        </w:trPr>
        <w:tc>
          <w:tcPr>
            <w:tcW w:w="6380" w:type="dxa"/>
            <w:vAlign w:val="bottom"/>
          </w:tcPr>
          <w:p>
            <w:pPr>
              <w:jc w:val="center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94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5314315</wp:posOffset>
            </wp:positionH>
            <wp:positionV relativeFrom="paragraph">
              <wp:posOffset>-640080</wp:posOffset>
            </wp:positionV>
            <wp:extent cx="59055" cy="6534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3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4033520</wp:posOffset>
            </wp:positionH>
            <wp:positionV relativeFrom="paragraph">
              <wp:posOffset>-640080</wp:posOffset>
            </wp:positionV>
            <wp:extent cx="59055" cy="6534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3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-1583690</wp:posOffset>
            </wp:positionH>
            <wp:positionV relativeFrom="paragraph">
              <wp:posOffset>26035</wp:posOffset>
            </wp:positionV>
            <wp:extent cx="6990715" cy="58686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0715" cy="5868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180" w:space="300"/>
            <w:col w:w="8600"/>
          </w:cols>
          <w:pgMar w:left="460" w:top="218" w:right="359" w:bottom="1440" w:gutter="0" w:footer="0" w:header="0"/>
        </w:sectPr>
      </w:pP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ABADIN RAMON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540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USCB FINANCIAL HOLDINGS, INC. 2301 N.W. 87TH AVENUE</w:t>
      </w:r>
    </w:p>
    <w:p>
      <w:pPr>
        <w:spacing w:after="0" w:line="17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MIAMI</w:t>
            </w:r>
          </w:p>
        </w:tc>
        <w:tc>
          <w:tcPr>
            <w:tcW w:w="11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33172</w:t>
            </w:r>
          </w:p>
        </w:tc>
      </w:tr>
      <w:tr>
        <w:trPr>
          <w:trHeight w:val="15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5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USCB FINANCIAL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60"/>
              <w:spacing w:after="0" w:line="5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5"/>
                <w:szCs w:val="5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"/>
        </w:trPr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gridSpan w:val="2"/>
            <w:shd w:val="clear" w:color="auto" w:fill="0000EE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1"/>
                <w:szCs w:val="1"/>
                <w:color w:val="0000FF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"/>
                  <w:szCs w:val="1"/>
                  <w:color w:val="0000FF"/>
                </w:rPr>
                <w:t xml:space="preserve">USCB </w:t>
              </w:r>
              <w:r>
                <w:rPr>
                  <w:rFonts w:ascii="Times New Roman" w:cs="Times New Roman" w:eastAsia="Times New Roman" w:hAnsi="Times New Roman"/>
                  <w:sz w:val="1"/>
                  <w:szCs w:val="1"/>
                  <w:color w:val="000000"/>
                </w:rPr>
                <w:t>]</w:t>
              </w:r>
            </w:hyperlink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34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05/04/2023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4100"/>
        <w:spacing w:after="0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0" w:lineRule="exact"/>
        <w:rPr>
          <w:sz w:val="20"/>
          <w:szCs w:val="20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8" w:lineRule="exact"/>
        <w:rPr>
          <w:sz w:val="20"/>
          <w:szCs w:val="20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ind w:left="340" w:right="500"/>
        <w:spacing w:after="0" w:line="25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8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1980" w:type="dxa"/>
            <w:vAlign w:val="bottom"/>
            <w:gridSpan w:val="8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46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Voting Common Stock</w:t>
            </w: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05/04/2023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5,500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8.95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18,252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320" w:type="dxa"/>
            <w:vAlign w:val="bottom"/>
            <w:gridSpan w:val="1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Class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7.5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01/23/2018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01/23/2027</w:t>
            </w:r>
          </w:p>
        </w:tc>
        <w:tc>
          <w:tcPr>
            <w:tcW w:w="500" w:type="dxa"/>
            <w:vAlign w:val="bottom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Voting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Class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11.35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09/23/2020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09/23/2029</w:t>
            </w:r>
          </w:p>
        </w:tc>
        <w:tc>
          <w:tcPr>
            <w:tcW w:w="500" w:type="dxa"/>
            <w:vAlign w:val="bottom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4,000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Voting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32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Includes the grant of 3,552 shares of restricted stock which vest on December 31, 2023.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Jalal Shehadeh by P.O.A.</w:t>
            </w:r>
          </w:p>
        </w:tc>
        <w:tc>
          <w:tcPr>
            <w:tcW w:w="94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05/08/2023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auto"/>
            </w:tcBorders>
            <w:gridSpan w:val="6"/>
            <w:vMerge w:val="restart"/>
          </w:tcPr>
          <w:p>
            <w:pPr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for Ramon Abadin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auto"/>
            </w:tcBorders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-3378835</wp:posOffset>
            </wp:positionV>
            <wp:extent cx="29210" cy="26873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687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jc w:val="both"/>
        <w:ind w:left="40" w:right="3420" w:firstLine="5"/>
        <w:spacing w:after="0" w:line="317" w:lineRule="auto"/>
        <w:tabs>
          <w:tab w:leader="none" w:pos="17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8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916995" TargetMode="External"/><Relationship Id="rId13" Type="http://schemas.openxmlformats.org/officeDocument/2006/relationships/hyperlink" Target="http://www.sec.gov/cgi-bin/browse-edgar?action=getcompany&amp;CIK=00019016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2023-05-08T09:37:51Z</dcterms:created>
  <dcterms:modified xsi:type="dcterms:W3CDTF">2023-05-08T09:37:51Z</dcterms:modified>
</cp:coreProperties>
</file>