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Feinglass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1702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USCB FINANCIAL HOLDINGS, INC.</w:t>
              </w:r>
            </w:hyperlink>
            <w:r>
              <w:rPr/>
              <w:t xml:space="preserve"> [ </w:t>
            </w:r>
            <w:r>
              <w:rPr>
                <w:rFonts w:ascii="Times;serif" w:hAnsi="Times;serif"/>
                <w:color w:val="0000FF"/>
                <w:sz w:val="24"/>
                <w:shd w:fill="FFFFFF" w:val="clear"/>
              </w:rPr>
              <w:t>USCB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05/11/2023</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36"/>
        <w:gridCol w:w="1308"/>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8.9869</w:t>
            </w:r>
            <w:r>
              <w:rPr/>
              <w:t xml:space="preserve"> </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4,491,009</w:t>
            </w:r>
            <w:r>
              <w:rPr>
                <w:rFonts w:ascii="Times;serif" w:hAnsi="Times;serif"/>
                <w:color w:val="008000"/>
                <w:position w:val="7"/>
                <w:sz w:val="16"/>
                <w:sz w:val="20"/>
                <w:shd w:fill="FFFFFF" w:val="clear"/>
              </w:rPr>
              <w:t>(1)</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Priam Capital Fund II, LP</w:t>
            </w:r>
            <w:r>
              <w:rPr>
                <w:rFonts w:ascii="Times;serif" w:hAnsi="Times;serif"/>
                <w:color w:val="008000"/>
                <w:position w:val="7"/>
                <w:sz w:val="16"/>
                <w:sz w:val="20"/>
                <w:shd w:fill="FFFFFF" w:val="clear"/>
              </w:rPr>
              <w:t>(2)</w:t>
            </w:r>
            <w:r>
              <w:rPr/>
              <w:t xml:space="preserve"> </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8.985</w:t>
            </w:r>
            <w:r>
              <w:rPr/>
              <w:t xml:space="preserve"> </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4,498,309</w:t>
            </w:r>
            <w:r>
              <w:rPr>
                <w:rFonts w:ascii="Times;serif" w:hAnsi="Times;serif"/>
                <w:color w:val="008000"/>
                <w:position w:val="7"/>
                <w:sz w:val="16"/>
                <w:sz w:val="20"/>
                <w:shd w:fill="FFFFFF" w:val="clear"/>
              </w:rPr>
              <w:t>(1)</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Priam Capital Fund II,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Feinglass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1702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Priam Capital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USCB FINANCIAL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N.W. 87TH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Priam Capital Associates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1702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of Securities Beneficially Owned Following Reported Transaction(s) by Priam Capital Fund II, LLP on the original Form 4 filed May 11, 2023 was incorrect and is corrected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Priam Capital Fund II, L.P. ("Priam Capital II") directly holds the indicated number of shares of the Issuer's Class A Voting Common Stock. Priam Capital Associates II LLC ("Priam Capital Associates") is the general partner of Priam Capital II. Howard P. Feinglass is the managing member of Priam Capital Associates. By virtue of such relationships, Priam Capital Associates and Mr. Feinglass may be deemed to have voting and dispositive power over securities held by Priam Capital II and, as a result, may be deemed to have beneficial ownership of such securities. Priam Capital Associates and Mr. Feinglass disclaim beneficial ownership of the reported securities, except to the extent of their respective pecuniary interest therein, and this report shall not be deemed an admission that they are beneficial owners of such securities for the purposes of Section 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Jalal Shehadeh by P.O. A. for Howard P. Feinglass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Priam Capital Associates II LLC Jalal Shehadeh by P.O.A. for Howard P. Feinglass, the managing member of Priam Capital Associates 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Priam Capital Fund II, L.P. Jalal Shehadeh by P.O. A. for Howard P. Feinglass, the managing member of Priam Capital Associates II LLC, the general partner of Priam Capital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2866" TargetMode="External"/><Relationship Id="rId4" Type="http://schemas.openxmlformats.org/officeDocument/2006/relationships/hyperlink" Target="http://www.sec.gov/cgi-bin/browse-edgar?action=getcompany&amp;CIK=0001901637" TargetMode="External"/><Relationship Id="rId5" Type="http://schemas.openxmlformats.org/officeDocument/2006/relationships/hyperlink" Target="http://www.sec.gov/cgi-bin/browse-edgar?action=getcompany&amp;CIK=0001732866" TargetMode="External"/><Relationship Id="rId6" Type="http://schemas.openxmlformats.org/officeDocument/2006/relationships/hyperlink" Target="http://www.sec.gov/cgi-bin/browse-edgar?action=getcompany&amp;CIK=0001874961" TargetMode="External"/><Relationship Id="rId7" Type="http://schemas.openxmlformats.org/officeDocument/2006/relationships/hyperlink" Target="http://www.sec.gov/cgi-bin/browse-edgar?action=getcompany&amp;CIK=0001875134"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900</Words>
  <Characters>4816</Characters>
  <CharactersWithSpaces>5609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