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10455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045527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w:t>
      </w:r>
    </w:p>
    <w:p>
      <w:pPr>
        <w:jc w:val="center"/>
        <w:spacing w:after="0"/>
        <w:rPr>
          <w:sz w:val="20"/>
          <w:szCs w:val="20"/>
          <w:color w:val="auto"/>
        </w:rPr>
      </w:pPr>
      <w:r>
        <w:rPr>
          <w:rFonts w:ascii="Arial" w:cs="Arial" w:eastAsia="Arial" w:hAnsi="Arial"/>
          <w:sz w:val="28"/>
          <w:szCs w:val="28"/>
          <w:b w:val="1"/>
          <w:bCs w:val="1"/>
          <w:color w:val="auto"/>
        </w:rPr>
        <w:t>FORM 8-K</w:t>
      </w:r>
    </w:p>
    <w:p>
      <w:pPr>
        <w:spacing w:after="0" w:line="4"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January 27, 2022</w:t>
      </w:r>
    </w:p>
    <w:p>
      <w:pPr>
        <w:spacing w:after="0" w:line="2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USCB FINANCIAL HOLDINGS,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33"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__________________________</w:t>
      </w:r>
    </w:p>
    <w:p>
      <w:pPr>
        <w:spacing w:after="0" w:line="349" w:lineRule="exact"/>
        <w:rPr>
          <w:sz w:val="24"/>
          <w:szCs w:val="24"/>
          <w:color w:val="auto"/>
        </w:rPr>
      </w:pPr>
    </w:p>
    <w:tbl>
      <w:tblPr>
        <w:tblLayout w:type="fixed"/>
        <w:tblInd w:w="320" w:type="dxa"/>
        <w:tblCellMar>
          <w:top w:w="0" w:type="dxa"/>
          <w:left w:w="0" w:type="dxa"/>
          <w:bottom w:w="0" w:type="dxa"/>
          <w:right w:w="0" w:type="dxa"/>
        </w:tblCellMar>
      </w:tblPr>
      <w:tr>
        <w:trPr>
          <w:trHeight w:val="184"/>
        </w:trPr>
        <w:tc>
          <w:tcPr>
            <w:tcW w:w="2980" w:type="dxa"/>
            <w:vAlign w:val="bottom"/>
          </w:tcPr>
          <w:p>
            <w:pPr>
              <w:jc w:val="center"/>
              <w:ind w:right="201"/>
              <w:spacing w:after="0"/>
              <w:rPr>
                <w:sz w:val="20"/>
                <w:szCs w:val="20"/>
                <w:color w:val="auto"/>
              </w:rPr>
            </w:pPr>
            <w:r>
              <w:rPr>
                <w:rFonts w:ascii="Arial" w:cs="Arial" w:eastAsia="Arial" w:hAnsi="Arial"/>
                <w:sz w:val="16"/>
                <w:szCs w:val="16"/>
                <w:b w:val="1"/>
                <w:bCs w:val="1"/>
                <w:color w:val="auto"/>
                <w:w w:val="93"/>
              </w:rPr>
              <w:t>Florida</w:t>
            </w:r>
          </w:p>
        </w:tc>
        <w:tc>
          <w:tcPr>
            <w:tcW w:w="2760" w:type="dxa"/>
            <w:vAlign w:val="bottom"/>
          </w:tcPr>
          <w:p>
            <w:pPr>
              <w:jc w:val="right"/>
              <w:ind w:right="1141"/>
              <w:spacing w:after="0"/>
              <w:rPr>
                <w:sz w:val="20"/>
                <w:szCs w:val="20"/>
                <w:color w:val="auto"/>
              </w:rPr>
            </w:pPr>
            <w:r>
              <w:rPr>
                <w:rFonts w:ascii="Arial" w:cs="Arial" w:eastAsia="Arial" w:hAnsi="Arial"/>
                <w:sz w:val="16"/>
                <w:szCs w:val="16"/>
                <w:b w:val="1"/>
                <w:bCs w:val="1"/>
                <w:color w:val="auto"/>
              </w:rPr>
              <w:t>001-41196</w:t>
            </w:r>
          </w:p>
        </w:tc>
        <w:tc>
          <w:tcPr>
            <w:tcW w:w="1900" w:type="dxa"/>
            <w:vAlign w:val="bottom"/>
          </w:tcPr>
          <w:p>
            <w:pPr>
              <w:jc w:val="center"/>
              <w:ind w:left="581"/>
              <w:spacing w:after="0"/>
              <w:rPr>
                <w:sz w:val="20"/>
                <w:szCs w:val="20"/>
                <w:color w:val="auto"/>
              </w:rPr>
            </w:pPr>
            <w:r>
              <w:rPr>
                <w:rFonts w:ascii="Arial" w:cs="Arial" w:eastAsia="Arial" w:hAnsi="Arial"/>
                <w:sz w:val="16"/>
                <w:szCs w:val="16"/>
                <w:b w:val="1"/>
                <w:bCs w:val="1"/>
                <w:color w:val="auto"/>
                <w:w w:val="88"/>
              </w:rPr>
              <w:t>87-4070846</w:t>
            </w:r>
          </w:p>
        </w:tc>
      </w:tr>
      <w:tr>
        <w:trPr>
          <w:trHeight w:val="177"/>
        </w:trPr>
        <w:tc>
          <w:tcPr>
            <w:tcW w:w="2980" w:type="dxa"/>
            <w:vAlign w:val="bottom"/>
          </w:tcPr>
          <w:p>
            <w:pPr>
              <w:jc w:val="center"/>
              <w:ind w:right="201"/>
              <w:spacing w:after="0" w:line="178" w:lineRule="exact"/>
              <w:rPr>
                <w:sz w:val="20"/>
                <w:szCs w:val="20"/>
                <w:color w:val="auto"/>
              </w:rPr>
            </w:pPr>
            <w:r>
              <w:rPr>
                <w:rFonts w:ascii="Arial" w:cs="Arial" w:eastAsia="Arial" w:hAnsi="Arial"/>
                <w:sz w:val="16"/>
                <w:szCs w:val="16"/>
                <w:b w:val="1"/>
                <w:bCs w:val="1"/>
                <w:color w:val="auto"/>
                <w:w w:val="89"/>
              </w:rPr>
              <w:t>(State or Other Jurisdiction</w:t>
            </w:r>
          </w:p>
        </w:tc>
        <w:tc>
          <w:tcPr>
            <w:tcW w:w="2760" w:type="dxa"/>
            <w:vAlign w:val="bottom"/>
          </w:tcPr>
          <w:p>
            <w:pPr>
              <w:jc w:val="center"/>
              <w:ind w:right="301"/>
              <w:spacing w:after="0" w:line="178" w:lineRule="exact"/>
              <w:rPr>
                <w:sz w:val="20"/>
                <w:szCs w:val="20"/>
                <w:color w:val="auto"/>
              </w:rPr>
            </w:pPr>
            <w:r>
              <w:rPr>
                <w:rFonts w:ascii="Arial" w:cs="Arial" w:eastAsia="Arial" w:hAnsi="Arial"/>
                <w:sz w:val="16"/>
                <w:szCs w:val="16"/>
                <w:b w:val="1"/>
                <w:bCs w:val="1"/>
                <w:color w:val="auto"/>
                <w:w w:val="89"/>
              </w:rPr>
              <w:t>(Commission File Number)</w:t>
            </w:r>
          </w:p>
        </w:tc>
        <w:tc>
          <w:tcPr>
            <w:tcW w:w="1900" w:type="dxa"/>
            <w:vAlign w:val="bottom"/>
          </w:tcPr>
          <w:p>
            <w:pPr>
              <w:jc w:val="center"/>
              <w:ind w:left="581"/>
              <w:spacing w:after="0" w:line="178" w:lineRule="exact"/>
              <w:rPr>
                <w:sz w:val="20"/>
                <w:szCs w:val="20"/>
                <w:color w:val="auto"/>
              </w:rPr>
            </w:pPr>
            <w:r>
              <w:rPr>
                <w:rFonts w:ascii="Arial" w:cs="Arial" w:eastAsia="Arial" w:hAnsi="Arial"/>
                <w:sz w:val="16"/>
                <w:szCs w:val="16"/>
                <w:b w:val="1"/>
                <w:bCs w:val="1"/>
                <w:color w:val="auto"/>
                <w:w w:val="91"/>
              </w:rPr>
              <w:t>(IRS Employer</w:t>
            </w:r>
          </w:p>
        </w:tc>
      </w:tr>
      <w:tr>
        <w:trPr>
          <w:trHeight w:val="204"/>
        </w:trPr>
        <w:tc>
          <w:tcPr>
            <w:tcW w:w="2980" w:type="dxa"/>
            <w:vAlign w:val="bottom"/>
          </w:tcPr>
          <w:p>
            <w:pPr>
              <w:jc w:val="center"/>
              <w:ind w:right="221"/>
              <w:spacing w:after="0"/>
              <w:rPr>
                <w:sz w:val="20"/>
                <w:szCs w:val="20"/>
                <w:color w:val="auto"/>
              </w:rPr>
            </w:pPr>
            <w:r>
              <w:rPr>
                <w:rFonts w:ascii="Arial" w:cs="Arial" w:eastAsia="Arial" w:hAnsi="Arial"/>
                <w:sz w:val="16"/>
                <w:szCs w:val="16"/>
                <w:b w:val="1"/>
                <w:bCs w:val="1"/>
                <w:color w:val="auto"/>
                <w:w w:val="90"/>
              </w:rPr>
              <w:t>of Incorporation)</w:t>
            </w:r>
          </w:p>
        </w:tc>
        <w:tc>
          <w:tcPr>
            <w:tcW w:w="2760" w:type="dxa"/>
            <w:vAlign w:val="bottom"/>
          </w:tcPr>
          <w:p>
            <w:pPr>
              <w:spacing w:after="0"/>
              <w:rPr>
                <w:sz w:val="17"/>
                <w:szCs w:val="17"/>
                <w:color w:val="auto"/>
              </w:rPr>
            </w:pPr>
          </w:p>
        </w:tc>
        <w:tc>
          <w:tcPr>
            <w:tcW w:w="1900" w:type="dxa"/>
            <w:vAlign w:val="bottom"/>
          </w:tcPr>
          <w:p>
            <w:pPr>
              <w:jc w:val="center"/>
              <w:ind w:left="581"/>
              <w:spacing w:after="0"/>
              <w:rPr>
                <w:sz w:val="20"/>
                <w:szCs w:val="20"/>
                <w:color w:val="auto"/>
              </w:rPr>
            </w:pPr>
            <w:r>
              <w:rPr>
                <w:rFonts w:ascii="Arial" w:cs="Arial" w:eastAsia="Arial" w:hAnsi="Arial"/>
                <w:sz w:val="16"/>
                <w:szCs w:val="16"/>
                <w:b w:val="1"/>
                <w:bCs w:val="1"/>
                <w:color w:val="auto"/>
                <w:w w:val="91"/>
              </w:rPr>
              <w:t>Identification No.)</w:t>
            </w:r>
          </w:p>
        </w:tc>
      </w:tr>
      <w:tr>
        <w:trPr>
          <w:trHeight w:val="340"/>
        </w:trPr>
        <w:tc>
          <w:tcPr>
            <w:tcW w:w="2980" w:type="dxa"/>
            <w:vAlign w:val="bottom"/>
          </w:tcPr>
          <w:p>
            <w:pPr>
              <w:jc w:val="center"/>
              <w:ind w:right="221"/>
              <w:spacing w:after="0"/>
              <w:rPr>
                <w:sz w:val="20"/>
                <w:szCs w:val="20"/>
                <w:color w:val="auto"/>
              </w:rPr>
            </w:pPr>
            <w:r>
              <w:rPr>
                <w:rFonts w:ascii="Arial" w:cs="Arial" w:eastAsia="Arial" w:hAnsi="Arial"/>
                <w:sz w:val="16"/>
                <w:szCs w:val="16"/>
                <w:b w:val="1"/>
                <w:bCs w:val="1"/>
                <w:color w:val="auto"/>
                <w:w w:val="89"/>
              </w:rPr>
              <w:t>2301 N.W. 87th Avenue ,</w:t>
            </w:r>
          </w:p>
        </w:tc>
        <w:tc>
          <w:tcPr>
            <w:tcW w:w="2760" w:type="dxa"/>
            <w:vAlign w:val="bottom"/>
          </w:tcPr>
          <w:p>
            <w:pPr>
              <w:spacing w:after="0"/>
              <w:rPr>
                <w:sz w:val="24"/>
                <w:szCs w:val="24"/>
                <w:color w:val="auto"/>
              </w:rPr>
            </w:pPr>
          </w:p>
        </w:tc>
        <w:tc>
          <w:tcPr>
            <w:tcW w:w="1900" w:type="dxa"/>
            <w:vAlign w:val="bottom"/>
          </w:tcPr>
          <w:p>
            <w:pPr>
              <w:jc w:val="center"/>
              <w:ind w:left="581"/>
              <w:spacing w:after="0"/>
              <w:rPr>
                <w:sz w:val="20"/>
                <w:szCs w:val="20"/>
                <w:color w:val="auto"/>
              </w:rPr>
            </w:pPr>
            <w:r>
              <w:rPr>
                <w:rFonts w:ascii="Arial" w:cs="Arial" w:eastAsia="Arial" w:hAnsi="Arial"/>
                <w:sz w:val="16"/>
                <w:szCs w:val="16"/>
                <w:b w:val="1"/>
                <w:bCs w:val="1"/>
                <w:color w:val="auto"/>
                <w:w w:val="89"/>
              </w:rPr>
              <w:t>33172</w:t>
            </w:r>
          </w:p>
        </w:tc>
      </w:tr>
      <w:tr>
        <w:trPr>
          <w:trHeight w:val="189"/>
        </w:trPr>
        <w:tc>
          <w:tcPr>
            <w:tcW w:w="2980" w:type="dxa"/>
            <w:vAlign w:val="bottom"/>
          </w:tcPr>
          <w:p>
            <w:pPr>
              <w:jc w:val="center"/>
              <w:ind w:right="201"/>
              <w:spacing w:after="0"/>
              <w:rPr>
                <w:sz w:val="20"/>
                <w:szCs w:val="20"/>
                <w:color w:val="auto"/>
              </w:rPr>
            </w:pPr>
            <w:r>
              <w:rPr>
                <w:rFonts w:ascii="Arial" w:cs="Arial" w:eastAsia="Arial" w:hAnsi="Arial"/>
                <w:sz w:val="16"/>
                <w:szCs w:val="16"/>
                <w:b w:val="1"/>
                <w:bCs w:val="1"/>
                <w:color w:val="auto"/>
                <w:w w:val="94"/>
              </w:rPr>
              <w:t>Miami, Florida</w:t>
            </w:r>
          </w:p>
        </w:tc>
        <w:tc>
          <w:tcPr>
            <w:tcW w:w="27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04"/>
        </w:trPr>
        <w:tc>
          <w:tcPr>
            <w:tcW w:w="2980" w:type="dxa"/>
            <w:vAlign w:val="bottom"/>
          </w:tcPr>
          <w:p>
            <w:pPr>
              <w:jc w:val="center"/>
              <w:ind w:right="221"/>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760" w:type="dxa"/>
            <w:vAlign w:val="bottom"/>
          </w:tcPr>
          <w:p>
            <w:pPr>
              <w:spacing w:after="0"/>
              <w:rPr>
                <w:sz w:val="17"/>
                <w:szCs w:val="17"/>
                <w:color w:val="auto"/>
              </w:rPr>
            </w:pPr>
          </w:p>
        </w:tc>
        <w:tc>
          <w:tcPr>
            <w:tcW w:w="1900" w:type="dxa"/>
            <w:vAlign w:val="bottom"/>
          </w:tcPr>
          <w:p>
            <w:pPr>
              <w:jc w:val="center"/>
              <w:ind w:left="581"/>
              <w:spacing w:after="0"/>
              <w:rPr>
                <w:sz w:val="20"/>
                <w:szCs w:val="20"/>
                <w:color w:val="auto"/>
              </w:rPr>
            </w:pPr>
            <w:r>
              <w:rPr>
                <w:rFonts w:ascii="Arial" w:cs="Arial" w:eastAsia="Arial" w:hAnsi="Arial"/>
                <w:sz w:val="16"/>
                <w:szCs w:val="16"/>
                <w:b w:val="1"/>
                <w:bCs w:val="1"/>
                <w:color w:val="auto"/>
                <w:w w:val="90"/>
              </w:rPr>
              <w:t>(Zip Code)</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(305) 715-5200</w:t>
      </w:r>
    </w:p>
    <w:p>
      <w:pPr>
        <w:spacing w:after="0" w:line="157"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__________________________</w:t>
      </w:r>
    </w:p>
    <w:p>
      <w:pPr>
        <w:spacing w:after="0" w:line="147" w:lineRule="exact"/>
        <w:rPr>
          <w:sz w:val="24"/>
          <w:szCs w:val="24"/>
          <w:color w:val="auto"/>
        </w:rPr>
      </w:pPr>
    </w:p>
    <w:p>
      <w:pPr>
        <w:ind w:left="240" w:right="259"/>
        <w:spacing w:after="0" w:line="25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740" w:hanging="494"/>
        <w:spacing w:after="0"/>
        <w:tabs>
          <w:tab w:leader="none" w:pos="7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 w:lineRule="exact"/>
        <w:rPr>
          <w:rFonts w:ascii="MS PGothic" w:cs="MS PGothic" w:eastAsia="MS PGothic" w:hAnsi="MS PGothic"/>
          <w:sz w:val="16"/>
          <w:szCs w:val="16"/>
          <w:color w:val="auto"/>
        </w:rPr>
      </w:pPr>
    </w:p>
    <w:p>
      <w:pPr>
        <w:ind w:left="740" w:hanging="494"/>
        <w:spacing w:after="0"/>
        <w:tabs>
          <w:tab w:leader="none" w:pos="7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 -12)</w:t>
      </w:r>
    </w:p>
    <w:p>
      <w:pPr>
        <w:spacing w:after="0" w:line="28" w:lineRule="exact"/>
        <w:rPr>
          <w:rFonts w:ascii="MS PGothic" w:cs="MS PGothic" w:eastAsia="MS PGothic" w:hAnsi="MS PGothic"/>
          <w:sz w:val="16"/>
          <w:szCs w:val="16"/>
          <w:color w:val="auto"/>
        </w:rPr>
      </w:pPr>
    </w:p>
    <w:p>
      <w:pPr>
        <w:ind w:left="740" w:hanging="494"/>
        <w:spacing w:after="0"/>
        <w:tabs>
          <w:tab w:leader="none" w:pos="7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8" w:lineRule="exact"/>
        <w:rPr>
          <w:rFonts w:ascii="MS PGothic" w:cs="MS PGothic" w:eastAsia="MS PGothic" w:hAnsi="MS PGothic"/>
          <w:sz w:val="16"/>
          <w:szCs w:val="16"/>
          <w:color w:val="auto"/>
        </w:rPr>
      </w:pPr>
    </w:p>
    <w:p>
      <w:pPr>
        <w:ind w:left="740" w:hanging="494"/>
        <w:spacing w:after="0"/>
        <w:tabs>
          <w:tab w:leader="none" w:pos="7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1" w:lineRule="exact"/>
        <w:rPr>
          <w:sz w:val="24"/>
          <w:szCs w:val="24"/>
          <w:color w:val="auto"/>
        </w:rPr>
      </w:pPr>
    </w:p>
    <w:p>
      <w:pPr>
        <w:ind w:left="240"/>
        <w:spacing w:after="0"/>
        <w:rPr>
          <w:sz w:val="20"/>
          <w:szCs w:val="20"/>
          <w:color w:val="auto"/>
        </w:rPr>
      </w:pPr>
      <w:r>
        <w:rPr>
          <w:rFonts w:ascii="Arial" w:cs="Arial" w:eastAsia="Arial" w:hAnsi="Arial"/>
          <w:sz w:val="16"/>
          <w:szCs w:val="16"/>
          <w:color w:val="auto"/>
        </w:rPr>
        <w:t>Securities registered pursuant to Section 12(b) of the Act:</w:t>
      </w:r>
    </w:p>
    <w:tbl>
      <w:tblPr>
        <w:tblLayout w:type="fixed"/>
        <w:tblInd w:w="240" w:type="dxa"/>
        <w:tblCellMar>
          <w:top w:w="0" w:type="dxa"/>
          <w:left w:w="0" w:type="dxa"/>
          <w:bottom w:w="0" w:type="dxa"/>
          <w:right w:w="0" w:type="dxa"/>
        </w:tblCellMar>
      </w:tblPr>
      <w:tr>
        <w:trPr>
          <w:trHeight w:val="139"/>
        </w:trPr>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Trading</w:t>
            </w:r>
          </w:p>
        </w:tc>
        <w:tc>
          <w:tcPr>
            <w:tcW w:w="20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51"/>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2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200" w:type="dxa"/>
            <w:vAlign w:val="bottom"/>
          </w:tcPr>
          <w:p>
            <w:pPr>
              <w:spacing w:after="0"/>
              <w:rPr>
                <w:sz w:val="13"/>
                <w:szCs w:val="13"/>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92"/>
        </w:trPr>
        <w:tc>
          <w:tcPr>
            <w:tcW w:w="3200" w:type="dxa"/>
            <w:vAlign w:val="bottom"/>
          </w:tcPr>
          <w:p>
            <w:pPr>
              <w:jc w:val="center"/>
              <w:spacing w:after="0"/>
              <w:rPr>
                <w:sz w:val="20"/>
                <w:szCs w:val="20"/>
                <w:color w:val="auto"/>
              </w:rPr>
            </w:pPr>
            <w:r>
              <w:rPr>
                <w:rFonts w:ascii="Arial" w:cs="Arial" w:eastAsia="Arial" w:hAnsi="Arial"/>
                <w:sz w:val="16"/>
                <w:szCs w:val="16"/>
                <w:color w:val="auto"/>
                <w:w w:val="88"/>
              </w:rPr>
              <w:t>Class A common stock, $1.00 par value per share</w:t>
            </w:r>
          </w:p>
        </w:tc>
        <w:tc>
          <w:tcPr>
            <w:tcW w:w="2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4"/>
              </w:rPr>
              <w:t>USCB</w:t>
            </w:r>
          </w:p>
        </w:tc>
        <w:tc>
          <w:tcPr>
            <w:tcW w:w="20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w w:val="89"/>
              </w:rPr>
              <w:t>The Nasdaq Stock Market LLC</w:t>
            </w:r>
          </w:p>
        </w:tc>
      </w:tr>
    </w:tbl>
    <w:p>
      <w:pPr>
        <w:spacing w:after="0" w:line="155" w:lineRule="exact"/>
        <w:rPr>
          <w:sz w:val="24"/>
          <w:szCs w:val="24"/>
          <w:color w:val="auto"/>
        </w:rPr>
      </w:pPr>
    </w:p>
    <w:p>
      <w:pPr>
        <w:jc w:val="both"/>
        <w:ind w:left="240" w:right="279"/>
        <w:spacing w:after="0" w:line="285"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7"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left="240" w:right="299"/>
        <w:spacing w:after="0" w:line="20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9019"/>
          </w:cols>
          <w:pgMar w:left="1440" w:top="872" w:right="1440" w:bottom="1440" w:gutter="0" w:footer="0" w:header="0"/>
        </w:sectPr>
      </w:pPr>
    </w:p>
    <w:bookmarkStart w:id="1" w:name="page2"/>
    <w:bookmarkEnd w:id="1"/>
    <w:p>
      <w:pPr>
        <w:ind w:left="2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0515600"/>
                    </a:xfrm>
                    <a:prstGeom prst="rect">
                      <a:avLst/>
                    </a:prstGeom>
                    <a:noFill/>
                  </pic:spPr>
                </pic:pic>
              </a:graphicData>
            </a:graphic>
          </wp:anchor>
        </w:drawing>
        <w:t>Item 2.02. Results of Operations and Financial Condition.</w:t>
      </w:r>
    </w:p>
    <w:p>
      <w:pPr>
        <w:spacing w:after="0" w:line="187" w:lineRule="exact"/>
        <w:rPr>
          <w:sz w:val="20"/>
          <w:szCs w:val="20"/>
          <w:color w:val="auto"/>
        </w:rPr>
      </w:pPr>
    </w:p>
    <w:p>
      <w:pPr>
        <w:jc w:val="both"/>
        <w:ind w:left="240" w:right="259" w:firstLine="568"/>
        <w:spacing w:after="0" w:line="249" w:lineRule="auto"/>
        <w:rPr>
          <w:sz w:val="20"/>
          <w:szCs w:val="20"/>
          <w:color w:val="auto"/>
        </w:rPr>
      </w:pPr>
      <w:r>
        <w:rPr>
          <w:rFonts w:ascii="Arial" w:cs="Arial" w:eastAsia="Arial" w:hAnsi="Arial"/>
          <w:sz w:val="16"/>
          <w:szCs w:val="16"/>
          <w:color w:val="auto"/>
        </w:rPr>
        <w:t>On January 27, 2022, USCB Financial Holdings, Inc. (the “Company”), issued a press release announcing its financial results for the fourth quarter ended December 31, 2021. A copy of the press release is furnished as Exhibit 99.1 to this Current Report on Form 8-K and is incorporated herein by reference.</w:t>
      </w:r>
    </w:p>
    <w:p>
      <w:pPr>
        <w:spacing w:after="0" w:line="149" w:lineRule="exact"/>
        <w:rPr>
          <w:sz w:val="20"/>
          <w:szCs w:val="20"/>
          <w:color w:val="auto"/>
        </w:rPr>
      </w:pPr>
    </w:p>
    <w:p>
      <w:pPr>
        <w:jc w:val="both"/>
        <w:ind w:left="240" w:right="279" w:firstLine="568"/>
        <w:spacing w:after="0" w:line="243" w:lineRule="auto"/>
        <w:rPr>
          <w:sz w:val="20"/>
          <w:szCs w:val="20"/>
          <w:color w:val="auto"/>
        </w:rPr>
      </w:pPr>
      <w:r>
        <w:rPr>
          <w:rFonts w:ascii="Arial" w:cs="Arial" w:eastAsia="Arial" w:hAnsi="Arial"/>
          <w:sz w:val="16"/>
          <w:szCs w:val="16"/>
          <w:color w:val="auto"/>
        </w:rPr>
        <w:t>The information in this Item 2.02, including Exhibit 99.1, shall not be deemed “filed” for purposes of Section 18 of the Securities Exchange Act of 1934, or otherwise subject to the liability of that section, and shall not be deemed to be incorporated by reference into any filing under the Securities Act of 1933 (the “Securities Act”) or the Securities Exchange Act of 1934 (the “Exchange Act”).</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7.01 Regulation FD Disclosure.</w:t>
      </w:r>
    </w:p>
    <w:p>
      <w:pPr>
        <w:spacing w:after="0" w:line="187" w:lineRule="exact"/>
        <w:rPr>
          <w:sz w:val="20"/>
          <w:szCs w:val="20"/>
          <w:color w:val="auto"/>
        </w:rPr>
      </w:pPr>
    </w:p>
    <w:p>
      <w:pPr>
        <w:jc w:val="both"/>
        <w:ind w:left="240" w:right="259" w:firstLine="568"/>
        <w:spacing w:after="0" w:line="243" w:lineRule="auto"/>
        <w:rPr>
          <w:sz w:val="20"/>
          <w:szCs w:val="20"/>
          <w:color w:val="auto"/>
        </w:rPr>
      </w:pPr>
      <w:r>
        <w:rPr>
          <w:rFonts w:ascii="Arial" w:cs="Arial" w:eastAsia="Arial" w:hAnsi="Arial"/>
          <w:sz w:val="16"/>
          <w:szCs w:val="16"/>
          <w:color w:val="auto"/>
        </w:rPr>
        <w:t xml:space="preserve">As previously announced, at 9:00 a.m. ET on January 28, 2022, the Company will hold an earnings conference call to discuss its financial performance for the quarter. A copy of the slides forming the basis of the presentation is being furnished as Exhibit 99.2 to this Current Report on Form 8-K and is incorporated herein by reference. A copy of the slides has also been posted to the Company’s investor relations website, located at </w:t>
      </w:r>
      <w:r>
        <w:rPr>
          <w:rFonts w:ascii="Arial" w:cs="Arial" w:eastAsia="Arial" w:hAnsi="Arial"/>
          <w:sz w:val="16"/>
          <w:szCs w:val="16"/>
          <w:color w:val="0563C1"/>
        </w:rPr>
        <w:t>investors.uscenturybank.com</w:t>
      </w:r>
    </w:p>
    <w:p>
      <w:pPr>
        <w:spacing w:after="0" w:line="154" w:lineRule="exact"/>
        <w:rPr>
          <w:sz w:val="20"/>
          <w:szCs w:val="20"/>
          <w:color w:val="auto"/>
        </w:rPr>
      </w:pPr>
    </w:p>
    <w:p>
      <w:pPr>
        <w:jc w:val="both"/>
        <w:ind w:left="240" w:right="239" w:firstLine="568"/>
        <w:spacing w:after="0" w:line="256" w:lineRule="auto"/>
        <w:rPr>
          <w:sz w:val="20"/>
          <w:szCs w:val="20"/>
          <w:color w:val="auto"/>
        </w:rPr>
      </w:pPr>
      <w:r>
        <w:rPr>
          <w:rFonts w:ascii="Arial" w:cs="Arial" w:eastAsia="Arial" w:hAnsi="Arial"/>
          <w:sz w:val="15"/>
          <w:szCs w:val="15"/>
          <w:color w:val="auto"/>
        </w:rPr>
        <w:t>On January 24, 2022, the Board of Directors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otherwise in compliance with Rule 10b-18 under the Exchange Act. The extent to which the Company repurchases its shares of Class A Common Stock and the timing of such purchases will depend upon market conditions, regulatory requirements, other liquidity requirements and priorities and other factors as may be considered in the Company’s sole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repurchase program has no expiration date and may be modified, suspended, or terminated at any time. Repurchases under this program will be funded from the Company’s existing cash and cash equivalents or future cash flow.</w:t>
      </w:r>
    </w:p>
    <w:p>
      <w:pPr>
        <w:spacing w:after="0" w:line="159" w:lineRule="exact"/>
        <w:rPr>
          <w:sz w:val="20"/>
          <w:szCs w:val="20"/>
          <w:color w:val="auto"/>
        </w:rPr>
      </w:pPr>
    </w:p>
    <w:p>
      <w:pPr>
        <w:jc w:val="both"/>
        <w:ind w:left="240" w:right="259" w:firstLine="568"/>
        <w:spacing w:after="0" w:line="249" w:lineRule="auto"/>
        <w:rPr>
          <w:sz w:val="20"/>
          <w:szCs w:val="20"/>
          <w:color w:val="auto"/>
        </w:rPr>
      </w:pPr>
      <w:r>
        <w:rPr>
          <w:rFonts w:ascii="Arial" w:cs="Arial" w:eastAsia="Arial" w:hAnsi="Arial"/>
          <w:sz w:val="16"/>
          <w:szCs w:val="16"/>
          <w:color w:val="auto"/>
        </w:rPr>
        <w:t>The information in this Item 7.01, including Exhibits 99.1 and 99.2, shall not be deemed “filed” for purposes of Section 18 of the Securities Exchange Act of 1934, or otherwise subject to the liability of that section, and shall not be deemed to be incorporated by reference into any filing under the Securities Act or the Exchange Act.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 Exhibits.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Exhibit No.</w:t>
            </w:r>
          </w:p>
        </w:tc>
        <w:tc>
          <w:tcPr>
            <w:tcW w:w="71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57"/>
        </w:trPr>
        <w:tc>
          <w:tcPr>
            <w:tcW w:w="280" w:type="dxa"/>
            <w:vAlign w:val="bottom"/>
            <w:gridSpan w:val="2"/>
          </w:tcPr>
          <w:p>
            <w:pPr>
              <w:ind w:left="20"/>
              <w:spacing w:after="0" w:line="158" w:lineRule="exact"/>
              <w:rPr>
                <w:rFonts w:ascii="Arial" w:cs="Arial" w:eastAsia="Arial" w:hAnsi="Arial"/>
                <w:sz w:val="16"/>
                <w:szCs w:val="16"/>
                <w:color w:val="0563C1"/>
                <w:w w:val="76"/>
              </w:rPr>
            </w:pPr>
            <w:hyperlink w:anchor="page4">
              <w:r>
                <w:rPr>
                  <w:rFonts w:ascii="Arial" w:cs="Arial" w:eastAsia="Arial" w:hAnsi="Arial"/>
                  <w:sz w:val="16"/>
                  <w:szCs w:val="16"/>
                  <w:color w:val="0563C1"/>
                  <w:w w:val="76"/>
                </w:rPr>
                <w:t>99.</w:t>
              </w:r>
              <w:r>
                <w:rPr>
                  <w:rFonts w:ascii="Arial" w:cs="Arial" w:eastAsia="Arial" w:hAnsi="Arial"/>
                  <w:sz w:val="16"/>
                  <w:szCs w:val="16"/>
                  <w:u w:val="single" w:color="auto"/>
                  <w:color w:val="0563C1"/>
                  <w:w w:val="76"/>
                </w:rPr>
                <w:t>1</w:t>
              </w:r>
            </w:hyperlink>
          </w:p>
        </w:tc>
        <w:tc>
          <w:tcPr>
            <w:tcW w:w="540" w:type="dxa"/>
            <w:vAlign w:val="bottom"/>
          </w:tcPr>
          <w:p>
            <w:pPr>
              <w:spacing w:after="0"/>
              <w:rPr>
                <w:sz w:val="13"/>
                <w:szCs w:val="13"/>
                <w:color w:val="auto"/>
              </w:rPr>
            </w:pPr>
          </w:p>
        </w:tc>
        <w:tc>
          <w:tcPr>
            <w:tcW w:w="7140" w:type="dxa"/>
            <w:vAlign w:val="bottom"/>
            <w:gridSpan w:val="4"/>
          </w:tcPr>
          <w:p>
            <w:pPr>
              <w:ind w:left="40"/>
              <w:spacing w:after="0" w:line="158" w:lineRule="exact"/>
              <w:rPr>
                <w:rFonts w:ascii="Arial" w:cs="Arial" w:eastAsia="Arial" w:hAnsi="Arial"/>
                <w:sz w:val="16"/>
                <w:szCs w:val="16"/>
                <w:color w:val="0563C1"/>
              </w:rPr>
            </w:pPr>
            <w:hyperlink w:anchor="page4">
              <w:r>
                <w:rPr>
                  <w:rFonts w:ascii="Arial" w:cs="Arial" w:eastAsia="Arial" w:hAnsi="Arial"/>
                  <w:sz w:val="16"/>
                  <w:szCs w:val="16"/>
                  <w:color w:val="0563C1"/>
                </w:rPr>
                <w:t>USCB Financial Holdings, Inc. Press Release, dated January 27, 2022</w:t>
              </w:r>
            </w:hyperlink>
          </w:p>
        </w:tc>
      </w:tr>
      <w:tr>
        <w:trPr>
          <w:trHeight w:val="157"/>
        </w:trPr>
        <w:tc>
          <w:tcPr>
            <w:tcW w:w="20" w:type="dxa"/>
            <w:vAlign w:val="bottom"/>
          </w:tcPr>
          <w:p>
            <w:pPr>
              <w:spacing w:after="0"/>
              <w:rPr>
                <w:sz w:val="13"/>
                <w:szCs w:val="13"/>
                <w:color w:val="auto"/>
              </w:rPr>
            </w:pPr>
          </w:p>
        </w:tc>
        <w:tc>
          <w:tcPr>
            <w:tcW w:w="260" w:type="dxa"/>
            <w:vAlign w:val="bottom"/>
            <w:tcBorders>
              <w:top w:val="single" w:sz="8" w:color="0563C1"/>
              <w:bottom w:val="single" w:sz="8" w:color="0563C1"/>
            </w:tcBorders>
          </w:tcPr>
          <w:p>
            <w:pPr>
              <w:spacing w:after="0" w:line="158" w:lineRule="exact"/>
              <w:rPr>
                <w:rFonts w:ascii="Arial" w:cs="Arial" w:eastAsia="Arial" w:hAnsi="Arial"/>
                <w:sz w:val="16"/>
                <w:szCs w:val="16"/>
                <w:color w:val="0563C1"/>
                <w:w w:val="76"/>
              </w:rPr>
            </w:pPr>
            <w:hyperlink w:anchor="page15">
              <w:r>
                <w:rPr>
                  <w:rFonts w:ascii="Arial" w:cs="Arial" w:eastAsia="Arial" w:hAnsi="Arial"/>
                  <w:sz w:val="16"/>
                  <w:szCs w:val="16"/>
                  <w:color w:val="0563C1"/>
                  <w:w w:val="76"/>
                </w:rPr>
                <w:t>99.</w:t>
              </w:r>
              <w:r>
                <w:rPr>
                  <w:rFonts w:ascii="Arial" w:cs="Arial" w:eastAsia="Arial" w:hAnsi="Arial"/>
                  <w:sz w:val="16"/>
                  <w:szCs w:val="16"/>
                  <w:u w:val="single" w:color="auto"/>
                  <w:color w:val="0563C1"/>
                  <w:w w:val="76"/>
                </w:rPr>
                <w:t>2</w:t>
              </w:r>
            </w:hyperlink>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tcBorders>
              <w:top w:val="single" w:sz="8" w:color="0563C1"/>
              <w:bottom w:val="single" w:sz="8" w:color="0563C1"/>
            </w:tcBorders>
          </w:tcPr>
          <w:p>
            <w:pPr>
              <w:spacing w:after="0" w:line="158" w:lineRule="exact"/>
              <w:rPr>
                <w:rFonts w:ascii="Arial" w:cs="Arial" w:eastAsia="Arial" w:hAnsi="Arial"/>
                <w:sz w:val="16"/>
                <w:szCs w:val="16"/>
                <w:color w:val="0563C1"/>
                <w:w w:val="86"/>
              </w:rPr>
            </w:pPr>
            <w:hyperlink w:anchor="page15">
              <w:r>
                <w:rPr>
                  <w:rFonts w:ascii="Arial" w:cs="Arial" w:eastAsia="Arial" w:hAnsi="Arial"/>
                  <w:sz w:val="16"/>
                  <w:szCs w:val="16"/>
                  <w:color w:val="0563C1"/>
                  <w:w w:val="86"/>
                </w:rPr>
                <w:t>Earnings Presentation, dated January 28, 2022</w:t>
              </w:r>
            </w:hyperlink>
          </w:p>
        </w:tc>
        <w:tc>
          <w:tcPr>
            <w:tcW w:w="1480" w:type="dxa"/>
            <w:vAlign w:val="bottom"/>
            <w:tcBorders>
              <w:top w:val="single" w:sz="8" w:color="0563C1"/>
            </w:tcBorders>
          </w:tcPr>
          <w:p>
            <w:pPr>
              <w:spacing w:after="0"/>
              <w:rPr>
                <w:sz w:val="13"/>
                <w:szCs w:val="13"/>
                <w:color w:val="auto"/>
              </w:rPr>
            </w:pPr>
          </w:p>
        </w:tc>
        <w:tc>
          <w:tcPr>
            <w:tcW w:w="27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019"/>
          </w:cols>
          <w:pgMar w:left="1440" w:top="786"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8050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050530"/>
                    </a:xfrm>
                    <a:prstGeom prst="rect">
                      <a:avLst/>
                    </a:prstGeom>
                    <a:noFill/>
                  </pic:spPr>
                </pic:pic>
              </a:graphicData>
            </a:graphic>
          </wp:anchor>
        </w:drawing>
        <w:t>SIGNATURE</w:t>
      </w:r>
    </w:p>
    <w:p>
      <w:pPr>
        <w:spacing w:after="0" w:line="187" w:lineRule="exact"/>
        <w:rPr>
          <w:sz w:val="20"/>
          <w:szCs w:val="20"/>
          <w:color w:val="auto"/>
        </w:rPr>
      </w:pPr>
    </w:p>
    <w:p>
      <w:pPr>
        <w:ind w:left="240" w:right="279" w:firstLine="568"/>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USCB Financial Holdings, Inc</w:t>
      </w:r>
    </w:p>
    <w:p>
      <w:pPr>
        <w:spacing w:after="0" w:line="364" w:lineRule="exact"/>
        <w:rPr>
          <w:sz w:val="20"/>
          <w:szCs w:val="20"/>
          <w:color w:val="auto"/>
        </w:rPr>
      </w:pPr>
    </w:p>
    <w:tbl>
      <w:tblPr>
        <w:tblLayout w:type="fixed"/>
        <w:tblInd w:w="5280" w:type="dxa"/>
        <w:tblCellMar>
          <w:top w:w="0" w:type="dxa"/>
          <w:left w:w="0" w:type="dxa"/>
          <w:bottom w:w="0" w:type="dxa"/>
          <w:right w:w="0" w:type="dxa"/>
        </w:tblCellMar>
      </w:tblPr>
      <w:tr>
        <w:trPr>
          <w:trHeight w:val="189"/>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Anderson</w:t>
            </w:r>
          </w:p>
        </w:tc>
      </w:tr>
      <w:tr>
        <w:trPr>
          <w:trHeight w:val="157"/>
        </w:trPr>
        <w:tc>
          <w:tcPr>
            <w:tcW w:w="640" w:type="dxa"/>
            <w:vAlign w:val="bottom"/>
          </w:tcPr>
          <w:p>
            <w:pPr>
              <w:spacing w:after="0" w:line="158" w:lineRule="exact"/>
              <w:rPr>
                <w:sz w:val="20"/>
                <w:szCs w:val="20"/>
                <w:color w:val="auto"/>
              </w:rPr>
            </w:pPr>
            <w:r>
              <w:rPr>
                <w:rFonts w:ascii="Arial" w:cs="Arial" w:eastAsia="Arial" w:hAnsi="Arial"/>
                <w:sz w:val="16"/>
                <w:szCs w:val="16"/>
                <w:color w:val="auto"/>
              </w:rPr>
              <w:t>Name:</w:t>
            </w:r>
          </w:p>
        </w:tc>
        <w:tc>
          <w:tcPr>
            <w:tcW w:w="2840" w:type="dxa"/>
            <w:vAlign w:val="bottom"/>
          </w:tcPr>
          <w:p>
            <w:pPr>
              <w:spacing w:after="0" w:line="158" w:lineRule="exact"/>
              <w:rPr>
                <w:sz w:val="20"/>
                <w:szCs w:val="20"/>
                <w:color w:val="auto"/>
              </w:rPr>
            </w:pPr>
            <w:r>
              <w:rPr>
                <w:rFonts w:ascii="Arial" w:cs="Arial" w:eastAsia="Arial" w:hAnsi="Arial"/>
                <w:sz w:val="16"/>
                <w:szCs w:val="16"/>
                <w:color w:val="auto"/>
              </w:rPr>
              <w:t>Robert Anderson</w:t>
            </w:r>
          </w:p>
        </w:tc>
      </w:tr>
      <w:tr>
        <w:trPr>
          <w:trHeight w:val="200"/>
        </w:trPr>
        <w:tc>
          <w:tcPr>
            <w:tcW w:w="640" w:type="dxa"/>
            <w:vAlign w:val="bottom"/>
          </w:tcPr>
          <w:p>
            <w:pPr>
              <w:spacing w:after="0"/>
              <w:rPr>
                <w:sz w:val="20"/>
                <w:szCs w:val="20"/>
                <w:color w:val="auto"/>
              </w:rPr>
            </w:pPr>
            <w:r>
              <w:rPr>
                <w:rFonts w:ascii="Arial" w:cs="Arial" w:eastAsia="Arial" w:hAnsi="Arial"/>
                <w:sz w:val="16"/>
                <w:szCs w:val="16"/>
                <w:color w:val="auto"/>
              </w:rPr>
              <w:t>Title:</w:t>
            </w:r>
          </w:p>
        </w:tc>
        <w:tc>
          <w:tcPr>
            <w:tcW w:w="28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Date: January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78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269240</wp:posOffset>
            </wp:positionV>
            <wp:extent cx="2771140" cy="345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114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
        <w:spacing w:after="0"/>
        <w:rPr>
          <w:sz w:val="20"/>
          <w:szCs w:val="20"/>
          <w:color w:val="auto"/>
        </w:rPr>
      </w:pPr>
      <w:r>
        <w:rPr>
          <w:rFonts w:ascii="Arial" w:cs="Arial" w:eastAsia="Arial" w:hAnsi="Arial"/>
          <w:sz w:val="21"/>
          <w:szCs w:val="21"/>
          <w:b w:val="1"/>
          <w:bCs w:val="1"/>
          <w:color w:val="auto"/>
        </w:rPr>
        <w:t>USCB Financial Holdings, Inc. Reports Fourth Quarter 2021 Results and Announces Share Repurchase Program</w:t>
      </w:r>
    </w:p>
    <w:p>
      <w:pPr>
        <w:spacing w:after="0" w:line="211" w:lineRule="exact"/>
        <w:rPr>
          <w:sz w:val="20"/>
          <w:szCs w:val="20"/>
          <w:color w:val="auto"/>
        </w:rPr>
      </w:pPr>
    </w:p>
    <w:p>
      <w:pPr>
        <w:jc w:val="both"/>
        <w:ind w:left="5"/>
        <w:spacing w:after="0" w:line="278" w:lineRule="auto"/>
        <w:rPr>
          <w:sz w:val="20"/>
          <w:szCs w:val="20"/>
          <w:color w:val="auto"/>
        </w:rPr>
      </w:pPr>
      <w:r>
        <w:rPr>
          <w:rFonts w:ascii="Arial" w:cs="Arial" w:eastAsia="Arial" w:hAnsi="Arial"/>
          <w:sz w:val="15"/>
          <w:szCs w:val="15"/>
          <w:b w:val="1"/>
          <w:bCs w:val="1"/>
          <w:color w:val="auto"/>
        </w:rPr>
        <w:t>MIAMI – January 27, 2022 – USCB Financial Holdings, Inc. (the “Company”) (NASDAQ: USCB)</w:t>
      </w:r>
      <w:r>
        <w:rPr>
          <w:rFonts w:ascii="Arial" w:cs="Arial" w:eastAsia="Arial" w:hAnsi="Arial"/>
          <w:sz w:val="15"/>
          <w:szCs w:val="15"/>
          <w:color w:val="auto"/>
        </w:rPr>
        <w:t>, reported net income of $5.7 million or $0.30 per diluted share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December 31, 2021, compared with net income of $4.2 million or $0.67 and $0.14 per diluted share for Class A and Class B common stock, respectively, for the same period in 2020. Net income for the year ended December 31, 2021, was $21.1 million or $(6.72) per diluted common share compared with net income of $10.8 million or $1.50 and $0.30 per diluted share for Class A and Class B common stock, respectively, for the same period in 2020.</w:t>
      </w:r>
    </w:p>
    <w:p>
      <w:pPr>
        <w:spacing w:after="0" w:line="151"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Operating net income per diluted share (non-GAAP) for the year ended December 31, 2021 was $1.81 compared to operating net income per diluted share (non-GAAP) for the same period in 2020 of $1.50 and $0.30 for Class A and Class B common stock, respectively. Operating net income per diluted share (non-GAAP) for the year ended December 31, 2021 excludes the $89.6 million one-time accounting impact of the exchange and redemption of the preferred shares. A reconciliation of non-GAAP measures to GAAP measures appears at the end of this press release.</w:t>
      </w:r>
    </w:p>
    <w:p>
      <w:pPr>
        <w:spacing w:after="0" w:line="170"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On December 21, 2021, the Company entered into agreements with the Class B shareholders to exchange all outstanding Class B non-voting common stock for Class A voting common stock at a ratio of 5 to 1. On the same day, a total of 6,121,052 shares of Class B common stock was exchanged for 1,224,212 shares of Class A common stock. As of December 31, 2021, the Company’s only class of shares issued and outstanding were Class A common stock.</w:t>
      </w:r>
    </w:p>
    <w:p>
      <w:pPr>
        <w:spacing w:after="0" w:line="166"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Effective December 30, 2021, the Company became the parent bank holding company of U.S. Century Bank (the “Bank”). Each share of the Bank was exchanged for one share of the Company, making the Bank a wholly owned subsidiary of the Company. Shares of the Company continue to trade under ticker symbol “USCB” on the Nasdaq Global Market. Due to the reorganization, the Company is subject to periodic filings with the Securities Exchange Commission (“SEC”) instead of the Federal Deposit Insurance Corporation (“FDIC”). As of December 31, 2021, all the business of the Company is conducted by the Bank.</w:t>
      </w:r>
    </w:p>
    <w:p>
      <w:pPr>
        <w:spacing w:after="0" w:line="170" w:lineRule="exact"/>
        <w:rPr>
          <w:sz w:val="20"/>
          <w:szCs w:val="20"/>
          <w:color w:val="auto"/>
        </w:rPr>
      </w:pPr>
    </w:p>
    <w:p>
      <w:pPr>
        <w:jc w:val="both"/>
        <w:ind w:left="5" w:right="20"/>
        <w:spacing w:after="0" w:line="253" w:lineRule="auto"/>
        <w:rPr>
          <w:sz w:val="20"/>
          <w:szCs w:val="20"/>
          <w:color w:val="auto"/>
        </w:rPr>
      </w:pPr>
      <w:r>
        <w:rPr>
          <w:rFonts w:ascii="Arial" w:cs="Arial" w:eastAsia="Arial" w:hAnsi="Arial"/>
          <w:sz w:val="16"/>
          <w:szCs w:val="16"/>
          <w:color w:val="auto"/>
        </w:rPr>
        <w:t>On January 24, 2022, the Board of Directors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Repurchases under this program will be funded from the Company’s existing cash and cash equivalents or future cash flow.</w:t>
      </w:r>
    </w:p>
    <w:p>
      <w:pPr>
        <w:spacing w:after="0" w:line="170"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“Over the course of 2021, we achieved many notable milestones thanks to the unwavering commitment and support from our employees, customers, and partners. Together, we were able to complete an IPO, simplify our capital structure, and form a bank holding company. We continue to grow and remain very optimistic about our future.” said Luis de la Aguilera, President and Chief Executive Officer. “The formation of the holding company provides more efficient access to capital while allowing flexibility for growth and acquisition strategies. We believe that forming a holding company places us in the best position to respond to evolving market conditions and enables us to take advantage of future opportunities.”</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Profitability</w:t>
      </w:r>
    </w:p>
    <w:p>
      <w:pPr>
        <w:spacing w:after="0" w:line="198" w:lineRule="exact"/>
        <w:rPr>
          <w:sz w:val="20"/>
          <w:szCs w:val="20"/>
          <w:color w:val="auto"/>
        </w:rPr>
      </w:pPr>
    </w:p>
    <w:p>
      <w:pPr>
        <w:ind w:left="285" w:hanging="285"/>
        <w:spacing w:after="0"/>
        <w:tabs>
          <w:tab w:leader="none" w:pos="28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Annualized return on average assets for the quarter ended December 31, 2021 was 1.23% compared to 1.11% in the fourth quarter of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Annualized return on average stockholders’ equity for the quarter ended December 31, 2021 was 11.08% compared to 9.96% in the fourth quarter of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efficiency ratio for the quarter ended December 31, 2021 decreased to 55.74% compared to 63.81% for the fourth quarter in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interest margin (NIM) increased to 3.19% for the quarter ended December 31, 2021 compared to 3.14% for the fourth quarter in 2020.</w:t>
      </w:r>
    </w:p>
    <w:p>
      <w:pPr>
        <w:spacing w:after="0" w:line="29"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74" w:right="319" w:bottom="1440" w:gutter="0" w:footer="0" w:header="0"/>
        </w:sectPr>
      </w:pPr>
    </w:p>
    <w:bookmarkStart w:id="4" w:name="page5"/>
    <w:bookmarkEnd w:id="4"/>
    <w:p>
      <w:pPr>
        <w:ind w:left="285" w:right="20" w:hanging="285"/>
        <w:spacing w:after="0" w:line="268" w:lineRule="auto"/>
        <w:tabs>
          <w:tab w:leader="none" w:pos="313"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interest income was $14.1 million for the quarter ended December 31, 2021, an increase of $2.6 million or 22.4% compared to the fourth quarter in 2020. The increase was primarily driven by higher loan and investment income along with lower deposit costs.</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Balance Sheet</w:t>
      </w:r>
    </w:p>
    <w:p>
      <w:pPr>
        <w:spacing w:after="0" w:line="198" w:lineRule="exact"/>
        <w:rPr>
          <w:sz w:val="20"/>
          <w:szCs w:val="20"/>
          <w:color w:val="auto"/>
        </w:rPr>
      </w:pPr>
    </w:p>
    <w:p>
      <w:pPr>
        <w:ind w:left="285" w:hanging="285"/>
        <w:spacing w:after="0"/>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assets were $1.9 billion at December 31, 2021, representing an increase of $352.2 million or 23.5% from the fourth quarter in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deposits were $1.6 billion at December 31, 2021, representing an increase of $317.0 million or 24.9%, from the fourth quarter in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shareholders’ equity was $203.9 million at December 31, 2021, representing an increase of $32.9 million or 19.2% from the fourth quarter in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loans were $1.2 billion at December 31, 2021, representing an increase of $151.6 million or 14.6% from the fourth quarter in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purchased a portfolio of commercial real estate loans within the quarter with an aggregate principal balance of $36.0 million.</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Asset Quality</w:t>
      </w:r>
    </w:p>
    <w:p>
      <w:pPr>
        <w:spacing w:after="0" w:line="198" w:lineRule="exact"/>
        <w:rPr>
          <w:sz w:val="20"/>
          <w:szCs w:val="20"/>
          <w:color w:val="auto"/>
        </w:rPr>
      </w:pPr>
    </w:p>
    <w:p>
      <w:pPr>
        <w:ind w:left="285" w:hanging="285"/>
        <w:spacing w:after="0"/>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allowance for credit losses was $15.1 million at December 31, 2021 and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allowance for credit losses represented 1.27% of total loans at December 31, 2021 compared to 1.45% at December 31, 2020.</w:t>
      </w:r>
    </w:p>
    <w:p>
      <w:pPr>
        <w:spacing w:after="0" w:line="194" w:lineRule="exact"/>
        <w:rPr>
          <w:rFonts w:ascii="Arial" w:cs="Arial" w:eastAsia="Arial" w:hAnsi="Arial"/>
          <w:sz w:val="16"/>
          <w:szCs w:val="16"/>
          <w:color w:val="auto"/>
        </w:rPr>
      </w:pPr>
    </w:p>
    <w:p>
      <w:pPr>
        <w:ind w:left="285" w:hanging="285"/>
        <w:spacing w:after="0"/>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Non-performing loans to total loans was 0.10% at December 31, 2021 compared to 0.15% at December 31, 2020.</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Non-interest Income and Non-interest Expense</w:t>
      </w:r>
    </w:p>
    <w:p>
      <w:pPr>
        <w:spacing w:after="0" w:line="198" w:lineRule="exact"/>
        <w:rPr>
          <w:sz w:val="20"/>
          <w:szCs w:val="20"/>
          <w:color w:val="auto"/>
        </w:rPr>
      </w:pPr>
    </w:p>
    <w:p>
      <w:pPr>
        <w:ind w:left="285" w:hanging="285"/>
        <w:spacing w:after="0" w:line="268"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Non-interest income totaled $2.6 million for the three months ended December 31, 2021, an increase of $1.2 million or 81.9% compared to the same period in 2020. The increase was primarily driven by a $983 thousand gain on the sale of a building.</w:t>
      </w:r>
    </w:p>
    <w:p>
      <w:pPr>
        <w:spacing w:after="0" w:line="156" w:lineRule="exact"/>
        <w:rPr>
          <w:rFonts w:ascii="Arial" w:cs="Arial" w:eastAsia="Arial" w:hAnsi="Arial"/>
          <w:sz w:val="16"/>
          <w:szCs w:val="16"/>
          <w:color w:val="auto"/>
        </w:rPr>
      </w:pPr>
    </w:p>
    <w:p>
      <w:pPr>
        <w:ind w:left="285" w:hanging="285"/>
        <w:spacing w:after="0"/>
        <w:tabs>
          <w:tab w:leader="none" w:pos="28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Non-interest expense was $9.3 million for the three months ended December 31, 2021 compared to $8.3 million for the same period in 2020.</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Capital</w:t>
      </w:r>
    </w:p>
    <w:p>
      <w:pPr>
        <w:spacing w:after="0" w:line="198" w:lineRule="exact"/>
        <w:rPr>
          <w:sz w:val="20"/>
          <w:szCs w:val="20"/>
          <w:color w:val="auto"/>
        </w:rPr>
      </w:pPr>
    </w:p>
    <w:p>
      <w:pPr>
        <w:ind w:left="285" w:right="20" w:hanging="285"/>
        <w:spacing w:after="0" w:line="268" w:lineRule="auto"/>
        <w:tabs>
          <w:tab w:leader="none" w:pos="39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exceeded all regulatory capital requirements and remained significantly above “well-capitalized” guidelines. Total risk-based capital ratio was 14.92% at December 31, 2021 compared to 14.24% for the fourth quarter in 2020.</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and Webcast</w:t>
      </w:r>
    </w:p>
    <w:p>
      <w:pPr>
        <w:spacing w:after="0" w:line="198"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USCB Financial Holdings, Inc. (the “Company”), will host a conference call on Friday, January 28, 2022, at 9:00 a.m. Eastern Time to discuss the Company’s unaudited financial results for the quarter ended December 31, 2021. To access the conference call, dial (844) 221-2148 (domestically) or (929) 517-0937 (internationally) and use conference code 4543356.</w:t>
      </w:r>
    </w:p>
    <w:p>
      <w:pPr>
        <w:spacing w:after="0" w:line="166"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 xml:space="preserve">Additionally, interested parties can listen to a live webcast of the call in the “Investor Relations” section of the Company’s website at </w:t>
      </w:r>
      <w:r>
        <w:rPr>
          <w:rFonts w:ascii="Arial" w:cs="Arial" w:eastAsia="Arial" w:hAnsi="Arial"/>
          <w:sz w:val="16"/>
          <w:szCs w:val="16"/>
          <w:u w:val="single" w:color="auto"/>
          <w:color w:val="0563C1"/>
        </w:rPr>
        <w:t>www.uscentury.com</w:t>
      </w:r>
      <w:r>
        <w:rPr>
          <w:rFonts w:ascii="Arial" w:cs="Arial" w:eastAsia="Arial" w:hAnsi="Arial"/>
          <w:sz w:val="16"/>
          <w:szCs w:val="16"/>
          <w:color w:val="0563C1"/>
        </w:rPr>
        <w:t>.</w:t>
      </w:r>
      <w:r>
        <w:rPr>
          <w:rFonts w:ascii="Arial" w:cs="Arial" w:eastAsia="Arial" w:hAnsi="Arial"/>
          <w:sz w:val="16"/>
          <w:szCs w:val="16"/>
          <w:color w:val="auto"/>
        </w:rPr>
        <w:t xml:space="preserve"> An archived version of the webcast will be available in the same location shortly after the live call has ended.</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USCB Financial Holdings, Inc.</w:t>
      </w:r>
    </w:p>
    <w:p>
      <w:pPr>
        <w:spacing w:after="0" w:line="198" w:lineRule="exact"/>
        <w:rPr>
          <w:sz w:val="20"/>
          <w:szCs w:val="20"/>
          <w:color w:val="auto"/>
        </w:rPr>
      </w:pPr>
    </w:p>
    <w:p>
      <w:pPr>
        <w:jc w:val="both"/>
        <w:ind w:left="5"/>
        <w:spacing w:after="0" w:line="296" w:lineRule="auto"/>
        <w:rPr>
          <w:sz w:val="20"/>
          <w:szCs w:val="20"/>
          <w:color w:val="auto"/>
        </w:rPr>
      </w:pPr>
      <w:r>
        <w:rPr>
          <w:rFonts w:ascii="Arial" w:cs="Arial" w:eastAsia="Arial" w:hAnsi="Arial"/>
          <w:sz w:val="14"/>
          <w:szCs w:val="14"/>
          <w:color w:val="auto"/>
        </w:rPr>
        <w:t xml:space="preserve">USCB Financial Holdings, Inc., is a bank holding company that operates primarily through its wholly owned subsidiary, U.S. Century Bank. Established in 2002, U.S. Century Bank is one of the largest community banks headquartered in Miami, and one of the largest community banks in the state. U.S. Century Bank is rated 5-star by BauerFinancial, the nation’s leading independent bank rating firm. U.S. Century Bank offers customers a wide range of financial products and services. U.S. Century Bank has received awards and accolades from numerous organizations for its philanthropic support and leadership, including the Beacon Council, Greater Miami Chamber of Commerce, South Florida Hispanic Chamber of Commerce and others. For more information or to find a U.S. Century banking center near you, please call (305) 715-5200 or visit </w:t>
      </w:r>
      <w:r>
        <w:rPr>
          <w:rFonts w:ascii="Arial" w:cs="Arial" w:eastAsia="Arial" w:hAnsi="Arial"/>
          <w:sz w:val="14"/>
          <w:szCs w:val="14"/>
          <w:u w:val="single" w:color="auto"/>
          <w:color w:val="0563C1"/>
        </w:rPr>
        <w:t>www.uscentury.com</w:t>
      </w:r>
      <w:r>
        <w:rPr>
          <w:rFonts w:ascii="Arial" w:cs="Arial" w:eastAsia="Arial" w:hAnsi="Arial"/>
          <w:sz w:val="14"/>
          <w:szCs w:val="14"/>
          <w:color w:val="0563C1"/>
        </w:rPr>
        <w:t>.</w:t>
      </w:r>
    </w:p>
    <w:p>
      <w:pPr>
        <w:spacing w:after="0" w:line="166"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363"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b w:val="1"/>
          <w:bCs w:val="1"/>
          <w:color w:val="auto"/>
        </w:rPr>
        <w:t>Forward-Looking Statements</w:t>
      </w:r>
    </w:p>
    <w:p>
      <w:pPr>
        <w:spacing w:after="0" w:line="198" w:lineRule="exact"/>
        <w:rPr>
          <w:sz w:val="20"/>
          <w:szCs w:val="20"/>
          <w:color w:val="auto"/>
        </w:rPr>
      </w:pPr>
    </w:p>
    <w:p>
      <w:pPr>
        <w:jc w:val="both"/>
        <w:ind w:left="5" w:right="20"/>
        <w:spacing w:after="0" w:line="251" w:lineRule="auto"/>
        <w:rPr>
          <w:sz w:val="20"/>
          <w:szCs w:val="20"/>
          <w:color w:val="auto"/>
        </w:rPr>
      </w:pPr>
      <w:r>
        <w:rPr>
          <w:rFonts w:ascii="Arial" w:cs="Arial" w:eastAsia="Arial" w:hAnsi="Arial"/>
          <w:sz w:val="16"/>
          <w:szCs w:val="16"/>
          <w:color w:val="auto"/>
        </w:rPr>
        <w:t>Statements included in this earning release that are not historical in nature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w:t>
      </w:r>
    </w:p>
    <w:p>
      <w:pPr>
        <w:spacing w:after="0" w:line="39" w:lineRule="exact"/>
        <w:rPr>
          <w:sz w:val="20"/>
          <w:szCs w:val="20"/>
          <w:color w:val="auto"/>
        </w:rPr>
      </w:pPr>
    </w:p>
    <w:p>
      <w:pPr>
        <w:ind w:left="5"/>
        <w:spacing w:after="0"/>
        <w:rPr>
          <w:sz w:val="20"/>
          <w:szCs w:val="20"/>
          <w:color w:val="auto"/>
        </w:rPr>
      </w:pPr>
      <w:r>
        <w:rPr>
          <w:rFonts w:ascii="Arial" w:cs="Arial" w:eastAsia="Arial" w:hAnsi="Arial"/>
          <w:sz w:val="16"/>
          <w:szCs w:val="16"/>
          <w:color w:val="auto"/>
        </w:rPr>
        <w:t>Potential risks and uncertainties include, but are not limited to:</w:t>
      </w:r>
    </w:p>
    <w:p>
      <w:pPr>
        <w:spacing w:after="0" w:line="183" w:lineRule="exact"/>
        <w:rPr>
          <w:sz w:val="20"/>
          <w:szCs w:val="20"/>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strength of the United States economy in general and the strength of the local economies in which we conduct operations;</w:t>
      </w:r>
    </w:p>
    <w:p>
      <w:pPr>
        <w:spacing w:after="0" w:line="16" w:lineRule="exact"/>
        <w:rPr>
          <w:rFonts w:ascii="Arial" w:cs="Arial" w:eastAsia="Arial" w:hAnsi="Arial"/>
          <w:sz w:val="16"/>
          <w:szCs w:val="16"/>
          <w:color w:val="auto"/>
        </w:rPr>
      </w:pPr>
    </w:p>
    <w:p>
      <w:pPr>
        <w:ind w:left="285" w:hanging="285"/>
        <w:spacing w:after="0" w:line="246" w:lineRule="auto"/>
        <w:tabs>
          <w:tab w:leader="none" w:pos="27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COVID-19 pandemic and its impact on us, our employees, customers and third-party service providers, and the ultimate extent of the impacts of the pandemic and related government stimulus programs;</w:t>
      </w:r>
    </w:p>
    <w:p>
      <w:pPr>
        <w:spacing w:after="0" w:line="1"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manage interest rate risk, credit risk, liquidity risk, and other risks inherent to our industry;</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spacing w:after="0" w:line="28" w:lineRule="exact"/>
        <w:rPr>
          <w:rFonts w:ascii="Arial" w:cs="Arial" w:eastAsia="Arial" w:hAnsi="Arial"/>
          <w:sz w:val="14"/>
          <w:szCs w:val="14"/>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efficiency and effectiveness of our internal control environment;</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comply with the extensive laws and regulations to which we are subject, including the laws for each jurisdiction where we operate;</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5"/>
          <w:szCs w:val="15"/>
          <w:color w:val="auto"/>
        </w:rPr>
      </w:pPr>
      <w:r>
        <w:rPr>
          <w:rFonts w:ascii="Arial" w:cs="Arial" w:eastAsia="Arial" w:hAnsi="Arial"/>
          <w:sz w:val="15"/>
          <w:szCs w:val="15"/>
          <w:color w:val="auto"/>
        </w:rPr>
        <w:t>legislative or regulatory changes and changes in accounting principles, policies, practices or guidelines, including the effects of forthcoming CECL implementation;</w:t>
      </w:r>
    </w:p>
    <w:p>
      <w:pPr>
        <w:spacing w:after="0" w:line="16" w:lineRule="exact"/>
        <w:rPr>
          <w:rFonts w:ascii="Arial" w:cs="Arial" w:eastAsia="Arial" w:hAnsi="Arial"/>
          <w:sz w:val="15"/>
          <w:szCs w:val="15"/>
          <w:color w:val="auto"/>
        </w:rPr>
      </w:pPr>
    </w:p>
    <w:p>
      <w:pPr>
        <w:ind w:left="285" w:right="20" w:hanging="285"/>
        <w:spacing w:after="0" w:line="246" w:lineRule="auto"/>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concentration of ownership of our Class A common stock;</w:t>
      </w:r>
    </w:p>
    <w:p>
      <w:pPr>
        <w:spacing w:after="0" w:line="5" w:lineRule="exact"/>
        <w:rPr>
          <w:rFonts w:ascii="Arial" w:cs="Arial" w:eastAsia="Arial" w:hAnsi="Arial"/>
          <w:sz w:val="16"/>
          <w:szCs w:val="16"/>
          <w:color w:val="auto"/>
        </w:rPr>
      </w:pPr>
    </w:p>
    <w:p>
      <w:pPr>
        <w:ind w:left="285" w:right="20" w:hanging="285"/>
        <w:spacing w:after="0" w:line="246" w:lineRule="auto"/>
        <w:tabs>
          <w:tab w:leader="none" w:pos="336"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fund or access the capital markets at attractive rates and terms and manage our growth, both organic growth as well as growth through other means, such as future acquisitions;</w:t>
      </w:r>
    </w:p>
    <w:p>
      <w:pPr>
        <w:spacing w:after="0" w:line="1"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inflation, interest rate, unemployment rate, market, and monetary fluctuations;</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competition and its effect on pricing of our products and services as well as our margins;</w:t>
      </w:r>
    </w:p>
    <w:p>
      <w:pPr>
        <w:spacing w:after="0" w:line="5" w:lineRule="exact"/>
        <w:rPr>
          <w:rFonts w:ascii="Arial" w:cs="Arial" w:eastAsia="Arial" w:hAnsi="Arial"/>
          <w:sz w:val="16"/>
          <w:szCs w:val="16"/>
          <w:color w:val="auto"/>
        </w:rPr>
      </w:pPr>
    </w:p>
    <w:p>
      <w:pPr>
        <w:ind w:left="285" w:hanging="285"/>
        <w:spacing w:after="0"/>
        <w:tabs>
          <w:tab w:leader="none" w:pos="285"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spacing w:after="0" w:line="28" w:lineRule="exact"/>
        <w:rPr>
          <w:rFonts w:ascii="Arial" w:cs="Arial" w:eastAsia="Arial" w:hAnsi="Arial"/>
          <w:sz w:val="14"/>
          <w:szCs w:val="14"/>
          <w:color w:val="auto"/>
        </w:rPr>
      </w:pPr>
    </w:p>
    <w:p>
      <w:pPr>
        <w:ind w:left="285" w:hanging="285"/>
        <w:spacing w:after="0"/>
        <w:tabs>
          <w:tab w:leader="none" w:pos="285"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risks described from time to time in the Bank or the Company’s filings with the FDIC or SEC.</w:t>
      </w:r>
    </w:p>
    <w:p>
      <w:pPr>
        <w:spacing w:after="0" w:line="183" w:lineRule="exact"/>
        <w:rPr>
          <w:sz w:val="20"/>
          <w:szCs w:val="20"/>
          <w:color w:val="auto"/>
        </w:rPr>
      </w:pPr>
    </w:p>
    <w:p>
      <w:pPr>
        <w:jc w:val="both"/>
        <w:ind w:left="5"/>
        <w:spacing w:after="0" w:line="296"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presentation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the Bank filed with the FDIC.</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Non-GAAP Financial Measures</w:t>
      </w:r>
    </w:p>
    <w:p>
      <w:pPr>
        <w:spacing w:after="0" w:line="198" w:lineRule="exact"/>
        <w:rPr>
          <w:sz w:val="20"/>
          <w:szCs w:val="20"/>
          <w:color w:val="auto"/>
        </w:rPr>
      </w:pPr>
    </w:p>
    <w:p>
      <w:pPr>
        <w:jc w:val="both"/>
        <w:ind w:left="5"/>
        <w:spacing w:after="0" w:line="269" w:lineRule="auto"/>
        <w:rPr>
          <w:sz w:val="20"/>
          <w:szCs w:val="20"/>
          <w:color w:val="auto"/>
        </w:rPr>
      </w:pPr>
      <w:r>
        <w:rPr>
          <w:rFonts w:ascii="Arial" w:cs="Arial" w:eastAsia="Arial" w:hAnsi="Arial"/>
          <w:sz w:val="15"/>
          <w:szCs w:val="15"/>
          <w:color w:val="auto"/>
        </w:rPr>
        <w:t>This earning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the exhibits to this earning release.</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6"/>
          <w:szCs w:val="16"/>
          <w:color w:val="auto"/>
        </w:rPr>
        <w:t>You should assume that all numbers are unaudited unless otherwise noted.</w:t>
      </w:r>
    </w:p>
    <w:p>
      <w:pPr>
        <w:spacing w:after="0" w:line="218"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70"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6"/>
          <w:szCs w:val="16"/>
          <w:b w:val="1"/>
          <w:bCs w:val="1"/>
          <w:color w:val="auto"/>
        </w:rPr>
        <w:t>Contacts: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0563C1"/>
        </w:rPr>
        <w:t>InvestorRelations@uscentury.com</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 Relations</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Martha Guerra-Kattou</w:t>
      </w:r>
    </w:p>
    <w:p>
      <w:pPr>
        <w:spacing w:after="0" w:line="5" w:lineRule="exact"/>
        <w:rPr>
          <w:sz w:val="20"/>
          <w:szCs w:val="20"/>
          <w:color w:val="auto"/>
        </w:rPr>
      </w:pPr>
    </w:p>
    <w:p>
      <w:pPr>
        <w:ind w:left="5" w:right="8499" w:hanging="5"/>
        <w:spacing w:after="0" w:line="291" w:lineRule="auto"/>
        <w:tabs>
          <w:tab w:leader="none" w:pos="386"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715-5141 </w:t>
      </w:r>
      <w:r>
        <w:rPr>
          <w:rFonts w:ascii="Arial" w:cs="Arial" w:eastAsia="Arial" w:hAnsi="Arial"/>
          <w:sz w:val="14"/>
          <w:szCs w:val="14"/>
          <w:u w:val="single" w:color="auto"/>
          <w:color w:val="0563C1"/>
        </w:rPr>
        <w:t>MGuerra@uscentury.com</w:t>
      </w:r>
    </w:p>
    <w:p>
      <w:pPr>
        <w:jc w:val="right"/>
        <w:ind w:right="44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0145"/>
          </w:cols>
          <w:pgMar w:left="315" w:top="170" w:right="1440" w:bottom="1440" w:gutter="0" w:footer="0" w:header="0"/>
        </w:sectPr>
      </w:pPr>
    </w:p>
    <w:bookmarkStart w:id="7" w:name="page8"/>
    <w:bookmarkEnd w:id="7"/>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INCOME</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(Dollars in thousands,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Twelve Months Ended</w:t>
            </w:r>
          </w:p>
        </w:tc>
        <w:tc>
          <w:tcPr>
            <w:tcW w:w="840" w:type="dxa"/>
            <w:vAlign w:val="bottom"/>
          </w:tcPr>
          <w:p>
            <w:pPr>
              <w:spacing w:after="0"/>
              <w:rPr>
                <w:sz w:val="13"/>
                <w:szCs w:val="13"/>
                <w:color w:val="auto"/>
              </w:rPr>
            </w:pPr>
          </w:p>
        </w:tc>
      </w:tr>
      <w:tr>
        <w:trPr>
          <w:trHeight w:val="150"/>
        </w:trPr>
        <w:tc>
          <w:tcPr>
            <w:tcW w:w="5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December 31,</w:t>
            </w:r>
          </w:p>
        </w:tc>
        <w:tc>
          <w:tcPr>
            <w:tcW w:w="840" w:type="dxa"/>
            <w:vAlign w:val="bottom"/>
            <w:tcBorders>
              <w:bottom w:val="single" w:sz="8" w:color="auto"/>
            </w:tcBorders>
          </w:tcPr>
          <w:p>
            <w:pPr>
              <w:spacing w:after="0"/>
              <w:rPr>
                <w:sz w:val="13"/>
                <w:szCs w:val="13"/>
                <w:color w:val="auto"/>
              </w:rPr>
            </w:pPr>
          </w:p>
        </w:tc>
      </w:tr>
      <w:tr>
        <w:trPr>
          <w:trHeight w:val="134"/>
        </w:trPr>
        <w:tc>
          <w:tcPr>
            <w:tcW w:w="5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97"/>
              <w:spacing w:after="0" w:line="134"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77"/>
              <w:spacing w:after="0" w:line="134" w:lineRule="exact"/>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77"/>
              <w:spacing w:after="0" w:line="134"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97"/>
              <w:spacing w:after="0" w:line="134" w:lineRule="exact"/>
              <w:rPr>
                <w:sz w:val="20"/>
                <w:szCs w:val="20"/>
                <w:color w:val="auto"/>
              </w:rPr>
            </w:pPr>
            <w:r>
              <w:rPr>
                <w:rFonts w:ascii="Arial" w:cs="Arial" w:eastAsia="Arial" w:hAnsi="Arial"/>
                <w:sz w:val="13"/>
                <w:szCs w:val="13"/>
                <w:b w:val="1"/>
                <w:bCs w:val="1"/>
                <w:color w:val="auto"/>
                <w:w w:val="89"/>
              </w:rPr>
              <w:t>2020</w:t>
            </w:r>
          </w:p>
        </w:tc>
      </w:tr>
      <w:tr>
        <w:trPr>
          <w:trHeight w:val="134"/>
        </w:trPr>
        <w:tc>
          <w:tcPr>
            <w:tcW w:w="518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Loans, including fees</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12,786</w:t>
            </w:r>
          </w:p>
        </w:tc>
        <w:tc>
          <w:tcPr>
            <w:tcW w:w="22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11,549</w:t>
            </w:r>
          </w:p>
        </w:tc>
        <w:tc>
          <w:tcPr>
            <w:tcW w:w="120" w:type="dxa"/>
            <w:vAlign w:val="bottom"/>
          </w:tcPr>
          <w:p>
            <w:pPr>
              <w:spacing w:after="0"/>
              <w:rPr>
                <w:sz w:val="13"/>
                <w:szCs w:val="13"/>
                <w:color w:val="auto"/>
              </w:rPr>
            </w:pP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48,730</w:t>
            </w:r>
          </w:p>
        </w:tc>
        <w:tc>
          <w:tcPr>
            <w:tcW w:w="220" w:type="dxa"/>
            <w:vAlign w:val="bottom"/>
          </w:tcPr>
          <w:p>
            <w:pPr>
              <w:spacing w:after="0"/>
              <w:rPr>
                <w:sz w:val="13"/>
                <w:szCs w:val="13"/>
                <w:color w:val="auto"/>
              </w:rPr>
            </w:pP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47,078</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7,886</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5,248</w:t>
            </w:r>
          </w:p>
        </w:tc>
      </w:tr>
      <w:tr>
        <w:trPr>
          <w:trHeight w:val="154"/>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Interest-bearing deposits in financial institutions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r>
      <w:tr>
        <w:trPr>
          <w:trHeight w:val="134"/>
        </w:trPr>
        <w:tc>
          <w:tcPr>
            <w:tcW w:w="518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Total interest income</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15,031</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13,087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56,722</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52,633</w:t>
            </w:r>
          </w:p>
        </w:tc>
      </w:tr>
      <w:tr>
        <w:trPr>
          <w:trHeight w:val="154"/>
        </w:trPr>
        <w:tc>
          <w:tcPr>
            <w:tcW w:w="5180" w:type="dxa"/>
            <w:vAlign w:val="bottom"/>
          </w:tcPr>
          <w:p>
            <w:pPr>
              <w:spacing w:after="0"/>
              <w:rPr>
                <w:sz w:val="20"/>
                <w:szCs w:val="20"/>
                <w:color w:val="auto"/>
              </w:rPr>
            </w:pPr>
            <w:r>
              <w:rPr>
                <w:rFonts w:ascii="Arial" w:cs="Arial" w:eastAsia="Arial" w:hAnsi="Arial"/>
                <w:sz w:val="13"/>
                <w:szCs w:val="13"/>
                <w:b w:val="1"/>
                <w:bCs w:val="1"/>
                <w:color w:val="auto"/>
              </w:rPr>
              <w:t>Interest expense: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Savings and money markets accounts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510</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2,082</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3,095</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4,709</w:t>
            </w:r>
          </w:p>
        </w:tc>
      </w:tr>
      <w:tr>
        <w:trPr>
          <w:trHeight w:val="154"/>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Federal Home Loan Bank advances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w:t>
            </w:r>
          </w:p>
        </w:tc>
      </w:tr>
      <w:tr>
        <w:trPr>
          <w:trHeight w:val="134"/>
        </w:trPr>
        <w:tc>
          <w:tcPr>
            <w:tcW w:w="518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Total interest expense</w:t>
            </w:r>
          </w:p>
        </w:tc>
        <w:tc>
          <w:tcPr>
            <w:tcW w:w="3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955</w:t>
            </w:r>
          </w:p>
        </w:tc>
        <w:tc>
          <w:tcPr>
            <w:tcW w:w="2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1,588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4,226</w:t>
            </w:r>
          </w:p>
        </w:tc>
        <w:tc>
          <w:tcPr>
            <w:tcW w:w="2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9,036</w:t>
            </w:r>
          </w:p>
        </w:tc>
      </w:tr>
      <w:tr>
        <w:trPr>
          <w:trHeight w:val="134"/>
        </w:trPr>
        <w:tc>
          <w:tcPr>
            <w:tcW w:w="5180" w:type="dxa"/>
            <w:vAlign w:val="bottom"/>
            <w:tcBorders>
              <w:bottom w:val="single" w:sz="8" w:color="CCEEFF"/>
            </w:tcBorders>
          </w:tcPr>
          <w:p>
            <w:pPr>
              <w:ind w:left="200"/>
              <w:spacing w:after="0" w:line="134" w:lineRule="exact"/>
              <w:rPr>
                <w:sz w:val="20"/>
                <w:szCs w:val="20"/>
                <w:color w:val="auto"/>
              </w:rPr>
            </w:pPr>
            <w:r>
              <w:rPr>
                <w:rFonts w:ascii="Arial" w:cs="Arial" w:eastAsia="Arial" w:hAnsi="Arial"/>
                <w:sz w:val="13"/>
                <w:szCs w:val="13"/>
                <w:color w:val="auto"/>
              </w:rPr>
              <w:t>Net interest income before provision for credit losses</w:t>
            </w: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14,076</w:t>
            </w:r>
          </w:p>
        </w:tc>
        <w:tc>
          <w:tcPr>
            <w:tcW w:w="2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11,499</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52,496</w:t>
            </w:r>
          </w:p>
        </w:tc>
        <w:tc>
          <w:tcPr>
            <w:tcW w:w="2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43,597</w:t>
            </w:r>
          </w:p>
        </w:tc>
      </w:tr>
      <w:tr>
        <w:trPr>
          <w:trHeight w:val="134"/>
        </w:trPr>
        <w:tc>
          <w:tcPr>
            <w:tcW w:w="518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rPr>
              <w:t>Provision for credit losses</w:t>
            </w:r>
          </w:p>
        </w:tc>
        <w:tc>
          <w:tcPr>
            <w:tcW w:w="3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(160)</w:t>
            </w:r>
          </w:p>
        </w:tc>
        <w:tc>
          <w:tcPr>
            <w:tcW w:w="2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3,250</w:t>
            </w:r>
          </w:p>
        </w:tc>
      </w:tr>
      <w:tr>
        <w:trPr>
          <w:trHeight w:val="134"/>
        </w:trPr>
        <w:tc>
          <w:tcPr>
            <w:tcW w:w="5180" w:type="dxa"/>
            <w:vAlign w:val="bottom"/>
          </w:tcPr>
          <w:p>
            <w:pPr>
              <w:ind w:left="200"/>
              <w:spacing w:after="0" w:line="134" w:lineRule="exact"/>
              <w:rPr>
                <w:sz w:val="20"/>
                <w:szCs w:val="20"/>
                <w:color w:val="auto"/>
              </w:rPr>
            </w:pPr>
            <w:r>
              <w:rPr>
                <w:rFonts w:ascii="Arial" w:cs="Arial" w:eastAsia="Arial" w:hAnsi="Arial"/>
                <w:sz w:val="13"/>
                <w:szCs w:val="13"/>
                <w:color w:val="auto"/>
              </w:rPr>
              <w:t>Net interest income after provision for credit losses</w:t>
            </w:r>
          </w:p>
        </w:tc>
        <w:tc>
          <w:tcPr>
            <w:tcW w:w="3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14,076</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11,499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52,656</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40,347</w:t>
            </w:r>
          </w:p>
        </w:tc>
      </w:tr>
      <w:tr>
        <w:trPr>
          <w:trHeight w:val="154"/>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Non-interest income:</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4"/>
        </w:trPr>
        <w:tc>
          <w:tcPr>
            <w:tcW w:w="5180" w:type="dxa"/>
            <w:vAlign w:val="bottom"/>
          </w:tcPr>
          <w:p>
            <w:pPr>
              <w:ind w:left="200"/>
              <w:spacing w:after="0"/>
              <w:rPr>
                <w:sz w:val="20"/>
                <w:szCs w:val="20"/>
                <w:color w:val="auto"/>
              </w:rPr>
            </w:pPr>
            <w:r>
              <w:rPr>
                <w:rFonts w:ascii="Arial" w:cs="Arial" w:eastAsia="Arial" w:hAnsi="Arial"/>
                <w:sz w:val="13"/>
                <w:szCs w:val="13"/>
                <w:color w:val="auto"/>
              </w:rPr>
              <w:t>Service fees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961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3,609</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3,266</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sale of securities available for sale, net</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Gain (loss) on sale of loans held for sale, net</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1,626</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839</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Gain on sale of other assets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Loan settlement</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2,500</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non-interest income</w:t>
            </w: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2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1,766</w:t>
            </w:r>
          </w:p>
        </w:tc>
        <w:tc>
          <w:tcPr>
            <w:tcW w:w="2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1,558</w:t>
            </w:r>
          </w:p>
        </w:tc>
      </w:tr>
      <w:tr>
        <w:trPr>
          <w:trHeight w:val="134"/>
        </w:trPr>
        <w:tc>
          <w:tcPr>
            <w:tcW w:w="5180" w:type="dxa"/>
            <w:vAlign w:val="bottom"/>
          </w:tcPr>
          <w:p>
            <w:pPr>
              <w:ind w:left="200"/>
              <w:spacing w:after="0" w:line="134" w:lineRule="exact"/>
              <w:rPr>
                <w:sz w:val="20"/>
                <w:szCs w:val="20"/>
                <w:color w:val="auto"/>
              </w:rPr>
            </w:pPr>
            <w:r>
              <w:rPr>
                <w:rFonts w:ascii="Arial" w:cs="Arial" w:eastAsia="Arial" w:hAnsi="Arial"/>
                <w:sz w:val="13"/>
                <w:szCs w:val="13"/>
                <w:color w:val="auto"/>
              </w:rPr>
              <w:t>Total non-interest income</w:t>
            </w:r>
          </w:p>
        </w:tc>
        <w:tc>
          <w:tcPr>
            <w:tcW w:w="3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2,644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1,454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10,698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6,097</w:t>
            </w:r>
          </w:p>
        </w:tc>
      </w:tr>
      <w:tr>
        <w:trPr>
          <w:trHeight w:val="154"/>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Non-interest expense:</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Salaries and employee benefits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5,634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21,438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19,204</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Occupancy</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5,257</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Regulatory assessment and fees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93</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783</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691</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Consulting and legal fees</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Network and information technology services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268</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1,466</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1,536</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operating</w:t>
            </w: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1,518</w:t>
            </w:r>
          </w:p>
        </w:tc>
        <w:tc>
          <w:tcPr>
            <w:tcW w:w="2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5,279</w:t>
            </w:r>
          </w:p>
        </w:tc>
        <w:tc>
          <w:tcPr>
            <w:tcW w:w="2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4,904</w:t>
            </w:r>
          </w:p>
        </w:tc>
      </w:tr>
      <w:tr>
        <w:trPr>
          <w:trHeight w:val="134"/>
        </w:trPr>
        <w:tc>
          <w:tcPr>
            <w:tcW w:w="5180" w:type="dxa"/>
            <w:vAlign w:val="bottom"/>
          </w:tcPr>
          <w:p>
            <w:pPr>
              <w:ind w:left="200"/>
              <w:spacing w:after="0" w:line="134" w:lineRule="exact"/>
              <w:rPr>
                <w:sz w:val="20"/>
                <w:szCs w:val="20"/>
                <w:color w:val="auto"/>
              </w:rPr>
            </w:pPr>
            <w:r>
              <w:rPr>
                <w:rFonts w:ascii="Arial" w:cs="Arial" w:eastAsia="Arial" w:hAnsi="Arial"/>
                <w:sz w:val="13"/>
                <w:szCs w:val="13"/>
                <w:color w:val="auto"/>
              </w:rPr>
              <w:t>Total non-interest expense</w:t>
            </w:r>
          </w:p>
        </w:tc>
        <w:tc>
          <w:tcPr>
            <w:tcW w:w="30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9,319</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8,265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35,677</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33,036</w:t>
            </w:r>
          </w:p>
        </w:tc>
      </w:tr>
      <w:tr>
        <w:trPr>
          <w:trHeight w:val="154"/>
        </w:trPr>
        <w:tc>
          <w:tcPr>
            <w:tcW w:w="5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income before income tax expense</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7,401</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27,677</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13,408</w:t>
            </w:r>
          </w:p>
        </w:tc>
      </w:tr>
      <w:tr>
        <w:trPr>
          <w:trHeight w:val="154"/>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Income tax expense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1,751</w:t>
            </w: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6,600</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2,588</w:t>
            </w:r>
          </w:p>
        </w:tc>
      </w:tr>
      <w:tr>
        <w:trPr>
          <w:trHeight w:val="134"/>
        </w:trPr>
        <w:tc>
          <w:tcPr>
            <w:tcW w:w="5180" w:type="dxa"/>
            <w:vAlign w:val="bottom"/>
            <w:shd w:val="clear" w:color="auto" w:fill="CCEEFF"/>
          </w:tcPr>
          <w:p>
            <w:pPr>
              <w:ind w:left="200"/>
              <w:spacing w:after="0" w:line="134" w:lineRule="exact"/>
              <w:rPr>
                <w:sz w:val="20"/>
                <w:szCs w:val="20"/>
                <w:color w:val="auto"/>
              </w:rPr>
            </w:pPr>
            <w:r>
              <w:rPr>
                <w:rFonts w:ascii="Arial" w:cs="Arial" w:eastAsia="Arial" w:hAnsi="Arial"/>
                <w:sz w:val="13"/>
                <w:szCs w:val="13"/>
                <w:color w:val="auto"/>
              </w:rPr>
              <w:t>Net income</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5,650</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4,239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21,077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10,820</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Preferred stock dividend</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2,077</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3,127</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Exchange and redemption of preferred shares</w:t>
            </w: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89,585</w:t>
            </w:r>
          </w:p>
        </w:tc>
        <w:tc>
          <w:tcPr>
            <w:tcW w:w="2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18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3"/>
                <w:szCs w:val="13"/>
                <w:color w:val="auto"/>
              </w:rPr>
              <w:t>Net income (loss) available to common stockholders</w:t>
            </w: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5,650</w:t>
            </w: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3,457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(70,585)</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7,693</w:t>
            </w:r>
          </w:p>
        </w:tc>
      </w:tr>
      <w:tr>
        <w:trPr>
          <w:trHeight w:val="117"/>
        </w:trPr>
        <w:tc>
          <w:tcPr>
            <w:tcW w:w="5180" w:type="dxa"/>
            <w:vAlign w:val="bottom"/>
            <w:shd w:val="clear" w:color="auto" w:fill="CCEEFF"/>
          </w:tcPr>
          <w:p>
            <w:pPr>
              <w:spacing w:after="0" w:line="118" w:lineRule="exact"/>
              <w:rPr>
                <w:sz w:val="20"/>
                <w:szCs w:val="20"/>
                <w:color w:val="auto"/>
              </w:rPr>
            </w:pPr>
            <w:r>
              <w:rPr>
                <w:rFonts w:ascii="Arial" w:cs="Arial" w:eastAsia="Arial" w:hAnsi="Arial"/>
                <w:sz w:val="9"/>
                <w:szCs w:val="9"/>
                <w:b w:val="1"/>
                <w:bCs w:val="1"/>
                <w:color w:val="auto"/>
              </w:rPr>
              <w:t xml:space="preserve">Allocation of net income (loss) per common stock class: </w:t>
            </w:r>
            <w:r>
              <w:rPr>
                <w:rFonts w:ascii="Arial" w:cs="Arial" w:eastAsia="Arial" w:hAnsi="Arial"/>
                <w:sz w:val="13"/>
                <w:szCs w:val="13"/>
                <w:b w:val="1"/>
                <w:bCs w:val="1"/>
                <w:color w:val="auto"/>
                <w:vertAlign w:val="superscript"/>
              </w:rPr>
              <w:t>(1)</w:t>
            </w: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Class A</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5,650</w:t>
            </w:r>
          </w:p>
        </w:tc>
        <w:tc>
          <w:tcPr>
            <w:tcW w:w="22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2,629</w:t>
            </w:r>
          </w:p>
        </w:tc>
        <w:tc>
          <w:tcPr>
            <w:tcW w:w="120" w:type="dxa"/>
            <w:vAlign w:val="bottom"/>
          </w:tcPr>
          <w:p>
            <w:pPr>
              <w:spacing w:after="0"/>
              <w:rPr>
                <w:sz w:val="13"/>
                <w:szCs w:val="13"/>
                <w:color w:val="auto"/>
              </w:rPr>
            </w:pP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(70,585)</w:t>
            </w: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5,851</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B</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1,842</w:t>
            </w:r>
          </w:p>
        </w:tc>
      </w:tr>
      <w:tr>
        <w:trPr>
          <w:trHeight w:val="166"/>
        </w:trPr>
        <w:tc>
          <w:tcPr>
            <w:tcW w:w="5180" w:type="dxa"/>
            <w:vAlign w:val="bottom"/>
          </w:tcPr>
          <w:p>
            <w:pPr>
              <w:spacing w:after="0" w:line="165" w:lineRule="exact"/>
              <w:rPr>
                <w:sz w:val="20"/>
                <w:szCs w:val="20"/>
                <w:color w:val="auto"/>
              </w:rPr>
            </w:pPr>
            <w:r>
              <w:rPr>
                <w:rFonts w:ascii="Arial" w:cs="Arial" w:eastAsia="Arial" w:hAnsi="Arial"/>
                <w:sz w:val="12"/>
                <w:szCs w:val="12"/>
                <w:b w:val="1"/>
                <w:bCs w:val="1"/>
                <w:color w:val="auto"/>
              </w:rPr>
              <w:t xml:space="preserve">Per share information: </w:t>
            </w:r>
            <w:r>
              <w:rPr>
                <w:rFonts w:ascii="Arial" w:cs="Arial" w:eastAsia="Arial" w:hAnsi="Arial"/>
                <w:sz w:val="19"/>
                <w:szCs w:val="19"/>
                <w:b w:val="1"/>
                <w:bCs w:val="1"/>
                <w:color w:val="auto"/>
                <w:vertAlign w:val="superscript"/>
              </w:rPr>
              <w:t>(1)</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1"/>
        </w:trPr>
        <w:tc>
          <w:tcPr>
            <w:tcW w:w="5180" w:type="dxa"/>
            <w:vAlign w:val="bottom"/>
            <w:shd w:val="clear" w:color="auto" w:fill="CCEEFF"/>
          </w:tcPr>
          <w:p>
            <w:pPr>
              <w:ind w:left="100"/>
              <w:spacing w:after="0" w:line="201" w:lineRule="exact"/>
              <w:rPr>
                <w:sz w:val="20"/>
                <w:szCs w:val="20"/>
                <w:color w:val="auto"/>
              </w:rPr>
            </w:pPr>
            <w:r>
              <w:rPr>
                <w:rFonts w:ascii="Arial" w:cs="Arial" w:eastAsia="Arial" w:hAnsi="Arial"/>
                <w:sz w:val="12"/>
                <w:szCs w:val="12"/>
                <w:color w:val="auto"/>
              </w:rPr>
              <w:t xml:space="preserve">Class A common stock </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54"/>
        </w:trPr>
        <w:tc>
          <w:tcPr>
            <w:tcW w:w="5180" w:type="dxa"/>
            <w:vAlign w:val="bottom"/>
          </w:tcPr>
          <w:p>
            <w:pPr>
              <w:ind w:left="200"/>
              <w:spacing w:after="0"/>
              <w:rPr>
                <w:sz w:val="20"/>
                <w:szCs w:val="20"/>
                <w:color w:val="auto"/>
              </w:rPr>
            </w:pPr>
            <w:r>
              <w:rPr>
                <w:rFonts w:ascii="Arial" w:cs="Arial" w:eastAsia="Arial" w:hAnsi="Arial"/>
                <w:sz w:val="13"/>
                <w:szCs w:val="13"/>
                <w:color w:val="auto"/>
              </w:rPr>
              <w:t>Net income (loss) per share, basic</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0.30</w:t>
            </w:r>
          </w:p>
        </w:tc>
        <w:tc>
          <w:tcPr>
            <w:tcW w:w="22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0.68</w:t>
            </w:r>
          </w:p>
        </w:tc>
        <w:tc>
          <w:tcPr>
            <w:tcW w:w="120" w:type="dxa"/>
            <w:vAlign w:val="bottom"/>
          </w:tcPr>
          <w:p>
            <w:pPr>
              <w:spacing w:after="0"/>
              <w:rPr>
                <w:sz w:val="13"/>
                <w:szCs w:val="13"/>
                <w:color w:val="auto"/>
              </w:rPr>
            </w:pP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(6.72)</w:t>
            </w: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1.51</w:t>
            </w:r>
          </w:p>
        </w:tc>
      </w:tr>
      <w:tr>
        <w:trPr>
          <w:trHeight w:val="154"/>
        </w:trPr>
        <w:tc>
          <w:tcPr>
            <w:tcW w:w="5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income (loss) per share, diluted</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(6.72)</w:t>
            </w:r>
          </w:p>
        </w:tc>
        <w:tc>
          <w:tcPr>
            <w:tcW w:w="52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54"/>
        </w:trPr>
        <w:tc>
          <w:tcPr>
            <w:tcW w:w="5180" w:type="dxa"/>
            <w:vAlign w:val="bottom"/>
          </w:tcPr>
          <w:p>
            <w:pPr>
              <w:ind w:left="100"/>
              <w:spacing w:after="0"/>
              <w:rPr>
                <w:sz w:val="20"/>
                <w:szCs w:val="20"/>
                <w:color w:val="auto"/>
              </w:rPr>
            </w:pPr>
            <w:r>
              <w:rPr>
                <w:rFonts w:ascii="Arial" w:cs="Arial" w:eastAsia="Arial" w:hAnsi="Arial"/>
                <w:sz w:val="13"/>
                <w:szCs w:val="13"/>
                <w:color w:val="auto"/>
              </w:rPr>
              <w:t>Class B common stock</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5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income per share, basic</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w:t>
            </w:r>
          </w:p>
        </w:tc>
      </w:tr>
      <w:tr>
        <w:trPr>
          <w:trHeight w:val="154"/>
        </w:trPr>
        <w:tc>
          <w:tcPr>
            <w:tcW w:w="5180" w:type="dxa"/>
            <w:vAlign w:val="bottom"/>
          </w:tcPr>
          <w:p>
            <w:pPr>
              <w:ind w:left="200"/>
              <w:spacing w:after="0"/>
              <w:rPr>
                <w:sz w:val="20"/>
                <w:szCs w:val="20"/>
                <w:color w:val="auto"/>
              </w:rPr>
            </w:pPr>
            <w:r>
              <w:rPr>
                <w:rFonts w:ascii="Arial" w:cs="Arial" w:eastAsia="Arial" w:hAnsi="Arial"/>
                <w:sz w:val="13"/>
                <w:szCs w:val="13"/>
                <w:color w:val="auto"/>
              </w:rPr>
              <w:t>Net income per share, diluted</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0.14</w:t>
            </w:r>
          </w:p>
        </w:tc>
        <w:tc>
          <w:tcPr>
            <w:tcW w:w="120" w:type="dxa"/>
            <w:vAlign w:val="bottom"/>
          </w:tcPr>
          <w:p>
            <w:pPr>
              <w:spacing w:after="0"/>
              <w:rPr>
                <w:sz w:val="13"/>
                <w:szCs w:val="13"/>
                <w:color w:val="auto"/>
              </w:rPr>
            </w:pP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0.30</w:t>
            </w:r>
          </w:p>
        </w:tc>
      </w:tr>
      <w:tr>
        <w:trPr>
          <w:trHeight w:val="154"/>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01"/>
        </w:trPr>
        <w:tc>
          <w:tcPr>
            <w:tcW w:w="5180" w:type="dxa"/>
            <w:vAlign w:val="bottom"/>
          </w:tcPr>
          <w:p>
            <w:pPr>
              <w:ind w:left="100"/>
              <w:spacing w:after="0" w:line="201" w:lineRule="exact"/>
              <w:rPr>
                <w:sz w:val="20"/>
                <w:szCs w:val="20"/>
                <w:color w:val="auto"/>
              </w:rPr>
            </w:pPr>
            <w:r>
              <w:rPr>
                <w:rFonts w:ascii="Arial" w:cs="Arial" w:eastAsia="Arial" w:hAnsi="Arial"/>
                <w:sz w:val="12"/>
                <w:szCs w:val="12"/>
                <w:color w:val="auto"/>
              </w:rPr>
              <w:t xml:space="preserve">Class A common stock </w:t>
            </w:r>
            <w:r>
              <w:rPr>
                <w:rFonts w:ascii="Arial" w:cs="Arial" w:eastAsia="Arial" w:hAnsi="Arial"/>
                <w:sz w:val="23"/>
                <w:szCs w:val="23"/>
                <w:b w:val="1"/>
                <w:bCs w:val="1"/>
                <w:color w:val="auto"/>
                <w:vertAlign w:val="superscript"/>
              </w:rPr>
              <w:t>(2)</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54"/>
        </w:trPr>
        <w:tc>
          <w:tcPr>
            <w:tcW w:w="5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Basic</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18,913,914</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3,887,512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10,507,530</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3,887,480</w:t>
            </w:r>
          </w:p>
        </w:tc>
      </w:tr>
      <w:tr>
        <w:trPr>
          <w:trHeight w:val="154"/>
        </w:trPr>
        <w:tc>
          <w:tcPr>
            <w:tcW w:w="5180" w:type="dxa"/>
            <w:vAlign w:val="bottom"/>
          </w:tcPr>
          <w:p>
            <w:pPr>
              <w:ind w:left="200"/>
              <w:spacing w:after="0"/>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19,023,686</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3,911,322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10,507,530</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3,911,290</w:t>
            </w:r>
          </w:p>
        </w:tc>
      </w:tr>
      <w:tr>
        <w:trPr>
          <w:trHeight w:val="154"/>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B common stock</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4"/>
        </w:trPr>
        <w:tc>
          <w:tcPr>
            <w:tcW w:w="5180" w:type="dxa"/>
            <w:vAlign w:val="bottom"/>
          </w:tcPr>
          <w:p>
            <w:pPr>
              <w:ind w:left="200"/>
              <w:spacing w:after="0"/>
              <w:rPr>
                <w:sz w:val="20"/>
                <w:szCs w:val="20"/>
                <w:color w:val="auto"/>
              </w:rPr>
            </w:pPr>
            <w:r>
              <w:rPr>
                <w:rFonts w:ascii="Arial" w:cs="Arial" w:eastAsia="Arial" w:hAnsi="Arial"/>
                <w:sz w:val="13"/>
                <w:szCs w:val="13"/>
                <w:color w:val="auto"/>
              </w:rPr>
              <w:t>Basic</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6,121,052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6,121,052</w:t>
            </w:r>
          </w:p>
        </w:tc>
      </w:tr>
      <w:tr>
        <w:trPr>
          <w:trHeight w:val="154"/>
        </w:trPr>
        <w:tc>
          <w:tcPr>
            <w:tcW w:w="5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Diluted</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10" w:lineRule="exact"/>
        <w:rPr>
          <w:sz w:val="20"/>
          <w:szCs w:val="20"/>
          <w:color w:val="auto"/>
        </w:rPr>
      </w:pPr>
    </w:p>
    <w:p>
      <w:pPr>
        <w:ind w:left="5" w:right="80" w:hanging="5"/>
        <w:spacing w:after="0" w:line="237" w:lineRule="auto"/>
        <w:tabs>
          <w:tab w:leader="none" w:pos="189"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allocation of net income (loss) available to common stockholders was based on the weighted average shares outstanding per common share class to the total weighted average shares outstanding during each period. The income (loss) allocation is calculated using the weighted average shares outstanding of Class B common stock on a as-converted basis (20% per share equivalent to Class A common stock). For the three and twelve months ended December 31, 2021, there were no issued and outstanding Class B common stock due to the exchange of all Class B common stock into Class A common stock that occurred on December 21, 2021.</w:t>
      </w:r>
    </w:p>
    <w:p>
      <w:pPr>
        <w:spacing w:after="0" w:line="27" w:lineRule="exact"/>
        <w:rPr>
          <w:rFonts w:ascii="Arial" w:cs="Arial" w:eastAsia="Arial" w:hAnsi="Arial"/>
          <w:sz w:val="11"/>
          <w:szCs w:val="11"/>
          <w:color w:val="auto"/>
        </w:rPr>
      </w:pPr>
    </w:p>
    <w:p>
      <w:pPr>
        <w:ind w:left="5" w:right="120" w:hanging="5"/>
        <w:spacing w:after="0" w:line="246" w:lineRule="auto"/>
        <w:tabs>
          <w:tab w:leader="none" w:pos="189"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the three and twelve months ended December 31, 2020, the common stock outstanding, weighted average shares and net income per share for the Class A common stock were adjusted to reflect the 1 for 5 reverse stock split that occurred in June of 2021.</w:t>
      </w:r>
    </w:p>
    <w:p>
      <w:pPr>
        <w:spacing w:after="0" w:line="47"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SELECTED FINANCIAL DATA</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(Dollars in thousands, except per share data)</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As of and for the three months ended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2"/>
        </w:trPr>
        <w:tc>
          <w:tcPr>
            <w:tcW w:w="46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4"/>
              </w:rPr>
              <w:t>12/31/2021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6"/>
              </w:rPr>
              <w:t>9/30/2021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9"/>
              </w:rPr>
              <w:t>6/30/2021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9"/>
              </w:rPr>
              <w:t>3/31/2021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4"/>
              </w:rPr>
              <w:t>12/31/2020</w:t>
            </w:r>
          </w:p>
        </w:tc>
      </w:tr>
      <w:tr>
        <w:trPr>
          <w:trHeight w:val="169"/>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Statement Data:</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Net interest income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14,076</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13,471</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12,474</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12,475</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11,499</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 for credit losses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4620" w:type="dxa"/>
            <w:vAlign w:val="bottom"/>
          </w:tcPr>
          <w:p>
            <w:pPr>
              <w:ind w:left="200"/>
              <w:spacing w:after="0"/>
              <w:rPr>
                <w:sz w:val="20"/>
                <w:szCs w:val="20"/>
                <w:color w:val="auto"/>
              </w:rPr>
            </w:pPr>
            <w:r>
              <w:rPr>
                <w:rFonts w:ascii="Arial" w:cs="Arial" w:eastAsia="Arial" w:hAnsi="Arial"/>
                <w:sz w:val="14"/>
                <w:szCs w:val="14"/>
                <w:color w:val="auto"/>
              </w:rPr>
              <w:t>Net interest income after provision for credit losses</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14,076</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13,471</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12,474</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12,635</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11,499</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 fees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Gain (loss) on sale of securities available for sale, net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sale of loans held for sale, net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Gain on sale of other assets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 settlement</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169"/>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non-interest income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Salaries and employee benefits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4,435</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Occupancy</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Regulatory assessment and fees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Consulting and legal fees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Network and information technology services</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operating</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w:t>
            </w:r>
          </w:p>
        </w:tc>
      </w:tr>
      <w:tr>
        <w:trPr>
          <w:trHeight w:val="169"/>
        </w:trPr>
        <w:tc>
          <w:tcPr>
            <w:tcW w:w="4620" w:type="dxa"/>
            <w:vAlign w:val="bottom"/>
          </w:tcPr>
          <w:p>
            <w:pPr>
              <w:ind w:left="200"/>
              <w:spacing w:after="0"/>
              <w:rPr>
                <w:sz w:val="20"/>
                <w:szCs w:val="20"/>
                <w:color w:val="auto"/>
              </w:rPr>
            </w:pPr>
            <w:r>
              <w:rPr>
                <w:rFonts w:ascii="Arial" w:cs="Arial" w:eastAsia="Arial" w:hAnsi="Arial"/>
                <w:sz w:val="14"/>
                <w:szCs w:val="14"/>
                <w:color w:val="auto"/>
              </w:rPr>
              <w:t>Total non-interest expenses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9,007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8,265</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before income tax expense</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w:t>
            </w:r>
          </w:p>
        </w:tc>
      </w:tr>
      <w:tr>
        <w:trPr>
          <w:trHeight w:val="177"/>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w:t>
            </w:r>
          </w:p>
        </w:tc>
      </w:tr>
      <w:tr>
        <w:trPr>
          <w:trHeight w:val="169"/>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Preferred stock dividend</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782</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Exchange and redemption of preferred shares</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89,585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Net income (loss) available to common stockholders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3,457</w:t>
            </w:r>
          </w:p>
        </w:tc>
      </w:tr>
      <w:tr>
        <w:trPr>
          <w:trHeight w:val="177"/>
        </w:trPr>
        <w:tc>
          <w:tcPr>
            <w:tcW w:w="4620" w:type="dxa"/>
            <w:vAlign w:val="bottom"/>
            <w:shd w:val="clear" w:color="auto" w:fill="CCEEFF"/>
          </w:tcPr>
          <w:p>
            <w:pPr>
              <w:spacing w:after="0" w:line="177" w:lineRule="exact"/>
              <w:rPr>
                <w:sz w:val="20"/>
                <w:szCs w:val="20"/>
                <w:color w:val="auto"/>
              </w:rPr>
            </w:pPr>
            <w:r>
              <w:rPr>
                <w:rFonts w:ascii="Arial" w:cs="Arial" w:eastAsia="Arial" w:hAnsi="Arial"/>
                <w:sz w:val="12"/>
                <w:szCs w:val="12"/>
                <w:b w:val="1"/>
                <w:bCs w:val="1"/>
                <w:color w:val="auto"/>
              </w:rPr>
              <w:t xml:space="preserve">Allocation of net income (loss) per common stock class: </w:t>
            </w:r>
            <w:r>
              <w:rPr>
                <w:rFonts w:ascii="Arial" w:cs="Arial" w:eastAsia="Arial" w:hAnsi="Arial"/>
                <w:sz w:val="20"/>
                <w:szCs w:val="20"/>
                <w:b w:val="1"/>
                <w:bCs w:val="1"/>
                <w:color w:val="auto"/>
                <w:vertAlign w:val="superscript"/>
              </w:rPr>
              <w:t>(1)</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4"/>
                <w:szCs w:val="14"/>
                <w:color w:val="auto"/>
              </w:rPr>
              <w:t>Class A</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5,650</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(77,278)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3,042</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2,629</w:t>
            </w: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 B</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(6,256)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77"/>
        </w:trPr>
        <w:tc>
          <w:tcPr>
            <w:tcW w:w="4620" w:type="dxa"/>
            <w:vAlign w:val="bottom"/>
          </w:tcPr>
          <w:p>
            <w:pPr>
              <w:spacing w:after="0"/>
              <w:rPr>
                <w:sz w:val="20"/>
                <w:szCs w:val="20"/>
                <w:color w:val="auto"/>
              </w:rPr>
            </w:pPr>
            <w:r>
              <w:rPr>
                <w:rFonts w:ascii="Arial" w:cs="Arial" w:eastAsia="Arial" w:hAnsi="Arial"/>
                <w:sz w:val="14"/>
                <w:szCs w:val="14"/>
                <w:b w:val="1"/>
                <w:bCs w:val="1"/>
                <w:color w:val="auto"/>
              </w:rPr>
              <w:t>Per share information:</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5"/>
        </w:trPr>
        <w:tc>
          <w:tcPr>
            <w:tcW w:w="462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 xml:space="preserve">Class A common stock </w:t>
            </w:r>
            <w:r>
              <w:rPr>
                <w:rFonts w:ascii="Arial" w:cs="Arial" w:eastAsia="Arial" w:hAnsi="Arial"/>
                <w:sz w:val="25"/>
                <w:szCs w:val="25"/>
                <w:b w:val="1"/>
                <w:bCs w:val="1"/>
                <w:color w:val="auto"/>
                <w:vertAlign w:val="superscript"/>
              </w:rPr>
              <w:t>(2)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4"/>
                <w:szCs w:val="14"/>
                <w:color w:val="auto"/>
              </w:rPr>
              <w:t>Net income (loss) per share, basic</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0.68</w:t>
            </w: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 per share, 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Class B common stock</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income (loss) per share, basic</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177"/>
        </w:trPr>
        <w:tc>
          <w:tcPr>
            <w:tcW w:w="4620" w:type="dxa"/>
            <w:vAlign w:val="bottom"/>
          </w:tcPr>
          <w:p>
            <w:pPr>
              <w:ind w:left="200"/>
              <w:spacing w:after="0"/>
              <w:rPr>
                <w:sz w:val="20"/>
                <w:szCs w:val="20"/>
                <w:color w:val="auto"/>
              </w:rPr>
            </w:pPr>
            <w:r>
              <w:rPr>
                <w:rFonts w:ascii="Arial" w:cs="Arial" w:eastAsia="Arial" w:hAnsi="Arial"/>
                <w:sz w:val="14"/>
                <w:szCs w:val="14"/>
                <w:color w:val="auto"/>
              </w:rPr>
              <w:t>Net income (loss) per share, diluted</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177"/>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 (at period-end):</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46,228</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69,597</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47,117</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105,940</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47,734</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 available-for-sale</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401,542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328,171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395,804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334,322</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Securities held-to-maturity</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122,658</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99,866</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462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 xml:space="preserve">Loans held for investment </w:t>
            </w:r>
            <w:r>
              <w:rPr>
                <w:rFonts w:ascii="Arial" w:cs="Arial" w:eastAsia="Arial" w:hAnsi="Arial"/>
                <w:sz w:val="25"/>
                <w:szCs w:val="25"/>
                <w:b w:val="1"/>
                <w:bCs w:val="1"/>
                <w:color w:val="auto"/>
                <w:vertAlign w:val="superscript"/>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1,176,412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1,038,504</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Allowance for credit losses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(15,057)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(14,900)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(14,848)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(15,009)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(15,086)</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1,853,939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1,755,011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1,667,005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1,633,359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1,501,742</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Non-interest-bearing deposits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605,425</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570,091</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555,993</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516,550</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442,467</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Interest-bearing deposits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984,954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914,498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882,783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887,681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830,935</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Federal Home Loan Bank advances and other borrowings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36,000</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1,650,042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1,553,093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1,500,703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1,462,934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1,330,741</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203,897</w:t>
            </w: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201,918</w:t>
            </w: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166,302</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170,425</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171,001</w:t>
            </w:r>
          </w:p>
        </w:tc>
      </w:tr>
      <w:tr>
        <w:trPr>
          <w:trHeight w:val="177"/>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Capital ratios: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Leverage ratio</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8.61%</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equity tier 1 capital</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r>
      <w:tr>
        <w:trPr>
          <w:trHeight w:val="177"/>
        </w:trPr>
        <w:tc>
          <w:tcPr>
            <w:tcW w:w="4620" w:type="dxa"/>
            <w:vAlign w:val="bottom"/>
          </w:tcPr>
          <w:p>
            <w:pPr>
              <w:ind w:left="100"/>
              <w:spacing w:after="0"/>
              <w:rPr>
                <w:sz w:val="20"/>
                <w:szCs w:val="20"/>
                <w:color w:val="auto"/>
              </w:rPr>
            </w:pPr>
            <w:r>
              <w:rPr>
                <w:rFonts w:ascii="Arial" w:cs="Arial" w:eastAsia="Arial" w:hAnsi="Arial"/>
                <w:sz w:val="14"/>
                <w:szCs w:val="14"/>
                <w:color w:val="auto"/>
              </w:rPr>
              <w:t>Tier 1 risk-based capital</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12.99%</w:t>
            </w:r>
          </w:p>
        </w:tc>
      </w:tr>
      <w:tr>
        <w:trPr>
          <w:trHeight w:val="177"/>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risk-based capital</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46" w:lineRule="exact"/>
        <w:rPr>
          <w:sz w:val="20"/>
          <w:szCs w:val="20"/>
          <w:color w:val="auto"/>
        </w:rPr>
      </w:pPr>
    </w:p>
    <w:p>
      <w:pPr>
        <w:ind w:left="5" w:right="40" w:hanging="5"/>
        <w:spacing w:after="0" w:line="237" w:lineRule="auto"/>
        <w:tabs>
          <w:tab w:leader="none" w:pos="189"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allocation of net income (loss) available to common stockholders was based on the weighted average shares outstanding per common share class to the total weighted average shares outstanding during each period. The income (loss) allocation is calculated using the weighted average shares outstanding of Class B common stock on a as-converted basis (20% per share equivalent to Class A common stock). For the three months ended December 31, 2021, there were no issued and outstanding Class B common stock due to the exchange of all Class B common stock into Class A common stock that occurred on December 21, 2021.</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quarters ended June 30, 2021 and prior were all adjusted for the 1 for 5 reverse stock split.</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1"/>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38"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9" w:name="page10"/>
    <w:bookmarkEnd w:id="9"/>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AVERAGE BALANCES, RATIOS, AND OTHER</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(Dollars in thousands)</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As of and for the three months ended</w:t>
            </w: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2"/>
        </w:trPr>
        <w:tc>
          <w:tcPr>
            <w:tcW w:w="38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9/30/2021</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3/31/2021</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12/31/2020</w:t>
            </w:r>
          </w:p>
        </w:tc>
      </w:tr>
      <w:tr>
        <w:trPr>
          <w:trHeight w:val="169"/>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balance sheet data:</w:t>
            </w: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87,819</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116,622</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108,028</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86,157</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154,415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 available-for-sale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374,589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346,407</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382,990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334,723</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251,294</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Securities held-to-maturity</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114,108</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51,238</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388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Loans held for investment</w:t>
            </w:r>
            <w:r>
              <w:rPr>
                <w:rFonts w:ascii="Arial" w:cs="Arial" w:eastAsia="Arial" w:hAnsi="Arial"/>
                <w:sz w:val="25"/>
                <w:szCs w:val="25"/>
                <w:b w:val="1"/>
                <w:bCs w:val="1"/>
                <w:color w:val="auto"/>
                <w:vertAlign w:val="superscript"/>
              </w:rPr>
              <w:t>(1)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1,144,275</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1,088,492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1,071,782</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1,036,249</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Total assets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1,828,037</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1,741,423</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1,660,060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1,573,881</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1,522,735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Interest-bearing deposits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958,241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912,330</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896,271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861,300</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854,206</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Non-interest-bearing deposits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603,735</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564,928</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535,894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482,376</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437,221</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deposits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1,477,258</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1,432,165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1,343,676</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1,291,427</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Federal Home Loan Bank advances and other borrowings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36,000</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36,000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36,000</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37,522</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1,625,675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1,546,414</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1,493,129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1,402,305</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1,353,424</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Total stockholders' equity</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202,362</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195,009</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166,931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171,576</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169,311</w:t>
            </w:r>
          </w:p>
        </w:tc>
      </w:tr>
      <w:tr>
        <w:trPr>
          <w:trHeight w:val="177"/>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Performance ratios: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5"/>
        </w:trPr>
        <w:tc>
          <w:tcPr>
            <w:tcW w:w="388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Return on average assets </w:t>
            </w:r>
            <w:r>
              <w:rPr>
                <w:rFonts w:ascii="Arial" w:cs="Arial" w:eastAsia="Arial" w:hAnsi="Arial"/>
                <w:sz w:val="25"/>
                <w:szCs w:val="25"/>
                <w:b w:val="1"/>
                <w:bCs w:val="1"/>
                <w:color w:val="auto"/>
                <w:vertAlign w:val="superscript"/>
              </w:rPr>
              <w:t>(2)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5"/>
        </w:trPr>
        <w:tc>
          <w:tcPr>
            <w:tcW w:w="388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 xml:space="preserve">Return on average equity </w:t>
            </w:r>
            <w:r>
              <w:rPr>
                <w:rFonts w:ascii="Arial" w:cs="Arial" w:eastAsia="Arial" w:hAnsi="Arial"/>
                <w:sz w:val="25"/>
                <w:szCs w:val="25"/>
                <w:b w:val="1"/>
                <w:bCs w:val="1"/>
                <w:color w:val="auto"/>
                <w:vertAlign w:val="superscript"/>
              </w:rPr>
              <w:t>(2)</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225"/>
        </w:trPr>
        <w:tc>
          <w:tcPr>
            <w:tcW w:w="388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5"/>
                <w:szCs w:val="25"/>
                <w:b w:val="1"/>
                <w:bCs w:val="1"/>
                <w:color w:val="auto"/>
                <w:vertAlign w:val="superscript"/>
              </w:rPr>
              <w:t>(2)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225"/>
        </w:trPr>
        <w:tc>
          <w:tcPr>
            <w:tcW w:w="388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 xml:space="preserve">Non-interest income to average assets </w:t>
            </w:r>
            <w:r>
              <w:rPr>
                <w:rFonts w:ascii="Arial" w:cs="Arial" w:eastAsia="Arial" w:hAnsi="Arial"/>
                <w:sz w:val="25"/>
                <w:szCs w:val="25"/>
                <w:b w:val="1"/>
                <w:bCs w:val="1"/>
                <w:color w:val="auto"/>
                <w:vertAlign w:val="superscript"/>
              </w:rPr>
              <w:t>(2)</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r>
      <w:tr>
        <w:trPr>
          <w:trHeight w:val="225"/>
        </w:trPr>
        <w:tc>
          <w:tcPr>
            <w:tcW w:w="388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Efficiency ratio </w:t>
            </w:r>
            <w:r>
              <w:rPr>
                <w:rFonts w:ascii="Arial" w:cs="Arial" w:eastAsia="Arial" w:hAnsi="Arial"/>
                <w:sz w:val="25"/>
                <w:szCs w:val="25"/>
                <w:b w:val="1"/>
                <w:bCs w:val="1"/>
                <w:color w:val="auto"/>
                <w:vertAlign w:val="superscript"/>
              </w:rPr>
              <w:t>(3)</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63.81%</w:t>
            </w:r>
          </w:p>
        </w:tc>
      </w:tr>
      <w:tr>
        <w:trPr>
          <w:trHeight w:val="225"/>
        </w:trPr>
        <w:tc>
          <w:tcPr>
            <w:tcW w:w="3880" w:type="dxa"/>
            <w:vAlign w:val="bottom"/>
            <w:shd w:val="clear" w:color="auto" w:fill="CCEEFF"/>
          </w:tcPr>
          <w:p>
            <w:pPr>
              <w:spacing w:after="0" w:line="224" w:lineRule="exact"/>
              <w:rPr>
                <w:sz w:val="20"/>
                <w:szCs w:val="20"/>
                <w:color w:val="auto"/>
              </w:rPr>
            </w:pPr>
            <w:r>
              <w:rPr>
                <w:rFonts w:ascii="Arial" w:cs="Arial" w:eastAsia="Arial" w:hAnsi="Arial"/>
                <w:sz w:val="14"/>
                <w:szCs w:val="14"/>
                <w:b w:val="1"/>
                <w:bCs w:val="1"/>
                <w:color w:val="auto"/>
              </w:rPr>
              <w:t xml:space="preserve">Loans by type (at period end): </w:t>
            </w:r>
            <w:r>
              <w:rPr>
                <w:rFonts w:ascii="Arial" w:cs="Arial" w:eastAsia="Arial" w:hAnsi="Arial"/>
                <w:sz w:val="25"/>
                <w:szCs w:val="25"/>
                <w:b w:val="1"/>
                <w:bCs w:val="1"/>
                <w:color w:val="auto"/>
                <w:vertAlign w:val="superscript"/>
              </w:rPr>
              <w:t>(4)</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Residential real estate</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201,359</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201,124</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213,575</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231,554</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232,754</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Commercial real estate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704,988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693,469</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673,944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650,762</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606,425</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Commercial and industrial</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146,592</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137,486</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155,440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174,546</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157,330</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banks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59,491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58,839</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62,042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45,659</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38,999</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Consumer and other</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79,229</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87,515</w:t>
            </w:r>
          </w:p>
        </w:tc>
        <w:tc>
          <w:tcPr>
            <w:tcW w:w="6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43,979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5,627</w:t>
            </w:r>
          </w:p>
        </w:tc>
        <w:tc>
          <w:tcPr>
            <w:tcW w:w="60" w:type="dxa"/>
            <w:vAlign w:val="bottom"/>
          </w:tcPr>
          <w:p>
            <w:pPr>
              <w:spacing w:after="0"/>
              <w:rPr>
                <w:sz w:val="15"/>
                <w:szCs w:val="15"/>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5,507</w:t>
            </w:r>
          </w:p>
        </w:tc>
      </w:tr>
      <w:tr>
        <w:trPr>
          <w:trHeight w:val="177"/>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 quality data:</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Allowance for credit losses to total loans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Allowance for credit losses to non-performing loans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Non-accrual loans less non-accrual TDRs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Non-accrual TDRs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Loans- over 90 days past due and accruing</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3880" w:type="dxa"/>
            <w:vAlign w:val="bottom"/>
            <w:shd w:val="clear" w:color="auto" w:fill="CCEEFF"/>
          </w:tcPr>
          <w:p>
            <w:pPr>
              <w:ind w:left="100"/>
              <w:spacing w:after="0" w:line="224" w:lineRule="exact"/>
              <w:rPr>
                <w:sz w:val="20"/>
                <w:szCs w:val="20"/>
                <w:color w:val="auto"/>
              </w:rPr>
            </w:pPr>
            <w:r>
              <w:rPr>
                <w:rFonts w:ascii="Arial" w:cs="Arial" w:eastAsia="Arial" w:hAnsi="Arial"/>
                <w:sz w:val="14"/>
                <w:szCs w:val="14"/>
                <w:color w:val="auto"/>
              </w:rPr>
              <w:t>Total non-performing loans</w:t>
            </w:r>
            <w:r>
              <w:rPr>
                <w:rFonts w:ascii="Arial" w:cs="Arial" w:eastAsia="Arial" w:hAnsi="Arial"/>
                <w:sz w:val="25"/>
                <w:szCs w:val="25"/>
                <w:b w:val="1"/>
                <w:bCs w:val="1"/>
                <w:color w:val="auto"/>
                <w:vertAlign w:val="superscript"/>
              </w:rPr>
              <w:t>(5)</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Non-performing loans to total loans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Non-performing assets to total assets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r>
      <w:tr>
        <w:trPr>
          <w:trHeight w:val="225"/>
        </w:trPr>
        <w:tc>
          <w:tcPr>
            <w:tcW w:w="388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Net charge-offs (recoveries of) to average loans </w:t>
            </w:r>
            <w:r>
              <w:rPr>
                <w:rFonts w:ascii="Arial" w:cs="Arial" w:eastAsia="Arial" w:hAnsi="Arial"/>
                <w:sz w:val="25"/>
                <w:szCs w:val="25"/>
                <w:b w:val="1"/>
                <w:bCs w:val="1"/>
                <w:color w:val="auto"/>
                <w:vertAlign w:val="superscript"/>
              </w:rPr>
              <w:t>(2)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charge-offs (recovery of) credit losses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25"/>
        </w:trPr>
        <w:tc>
          <w:tcPr>
            <w:tcW w:w="3880" w:type="dxa"/>
            <w:vAlign w:val="bottom"/>
          </w:tcPr>
          <w:p>
            <w:pPr>
              <w:spacing w:after="0" w:line="224" w:lineRule="exact"/>
              <w:rPr>
                <w:sz w:val="20"/>
                <w:szCs w:val="20"/>
                <w:color w:val="auto"/>
              </w:rPr>
            </w:pPr>
            <w:r>
              <w:rPr>
                <w:rFonts w:ascii="Arial" w:cs="Arial" w:eastAsia="Arial" w:hAnsi="Arial"/>
                <w:sz w:val="14"/>
                <w:szCs w:val="14"/>
                <w:b w:val="1"/>
                <w:bCs w:val="1"/>
                <w:color w:val="auto"/>
              </w:rPr>
              <w:t>Interest rates and yields:</w:t>
            </w:r>
            <w:r>
              <w:rPr>
                <w:rFonts w:ascii="Arial" w:cs="Arial" w:eastAsia="Arial" w:hAnsi="Arial"/>
                <w:sz w:val="25"/>
                <w:szCs w:val="25"/>
                <w:b w:val="1"/>
                <w:bCs w:val="1"/>
                <w:color w:val="auto"/>
                <w:vertAlign w:val="superscript"/>
              </w:rPr>
              <w:t>(2)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Investment securities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interest-earning assets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Deposits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0.44%</w:t>
            </w:r>
          </w:p>
        </w:tc>
      </w:tr>
      <w:tr>
        <w:trPr>
          <w:trHeight w:val="177"/>
        </w:trPr>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Borrowings and repurchase agreements</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77"/>
        </w:trPr>
        <w:tc>
          <w:tcPr>
            <w:tcW w:w="3880" w:type="dxa"/>
            <w:vAlign w:val="bottom"/>
          </w:tcPr>
          <w:p>
            <w:pPr>
              <w:ind w:left="100"/>
              <w:spacing w:after="0"/>
              <w:rPr>
                <w:sz w:val="20"/>
                <w:szCs w:val="20"/>
                <w:color w:val="auto"/>
              </w:rPr>
            </w:pPr>
            <w:r>
              <w:rPr>
                <w:rFonts w:ascii="Arial" w:cs="Arial" w:eastAsia="Arial" w:hAnsi="Arial"/>
                <w:sz w:val="14"/>
                <w:szCs w:val="14"/>
                <w:color w:val="auto"/>
              </w:rPr>
              <w:t>Total interest-bearing liabilities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0.57%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0.71%</w:t>
            </w:r>
          </w:p>
        </w:tc>
      </w:tr>
      <w:tr>
        <w:trPr>
          <w:trHeight w:val="177"/>
        </w:trPr>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information:</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Full-time equivalent employees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94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54" w:lineRule="exact"/>
        <w:rPr>
          <w:sz w:val="20"/>
          <w:szCs w:val="20"/>
          <w:color w:val="auto"/>
        </w:rPr>
      </w:pPr>
    </w:p>
    <w:p>
      <w:pPr>
        <w:ind w:left="185" w:hanging="185"/>
        <w:spacing w:after="0"/>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27" w:lineRule="exact"/>
        <w:rPr>
          <w:rFonts w:ascii="Arial" w:cs="Arial" w:eastAsia="Arial" w:hAnsi="Arial"/>
          <w:sz w:val="11"/>
          <w:szCs w:val="11"/>
          <w:color w:val="auto"/>
        </w:rPr>
      </w:pPr>
    </w:p>
    <w:p>
      <w:pPr>
        <w:ind w:left="185" w:hanging="185"/>
        <w:spacing w:after="0"/>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Efficiency ratio is defined as total non-interest expense divided by sum of net interest income and total non-interest income.</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Loan amounts exclude deferred fees/costs.</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amounts for total non-performing loans and total non-performing assets are the same for the periods presented since there were no impaired investments or other real estate owned (OREO) recorded.</w:t>
      </w:r>
    </w:p>
    <w:p>
      <w:pPr>
        <w:spacing w:after="0" w:line="180"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NET INTEREST MARGIN</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(Dollars in thousands)</w:t>
      </w:r>
    </w:p>
    <w:p>
      <w:pPr>
        <w:spacing w:after="0" w:line="242"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09"/>
              <w:spacing w:after="0" w:line="15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97"/>
              </w:rPr>
              <w:t xml:space="preserve">Yield/Rate </w:t>
            </w:r>
            <w:r>
              <w:rPr>
                <w:rFonts w:ascii="Arial" w:cs="Arial" w:eastAsia="Arial" w:hAnsi="Arial"/>
                <w:sz w:val="25"/>
                <w:szCs w:val="25"/>
                <w:b w:val="1"/>
                <w:bCs w:val="1"/>
                <w:color w:val="auto"/>
                <w:w w:val="97"/>
                <w:vertAlign w:val="superscript"/>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97"/>
              </w:rPr>
              <w:t xml:space="preserve">Yield/Rate </w:t>
            </w:r>
            <w:r>
              <w:rPr>
                <w:rFonts w:ascii="Arial" w:cs="Arial" w:eastAsia="Arial" w:hAnsi="Arial"/>
                <w:sz w:val="25"/>
                <w:szCs w:val="25"/>
                <w:b w:val="1"/>
                <w:bCs w:val="1"/>
                <w:color w:val="auto"/>
                <w:w w:val="97"/>
                <w:vertAlign w:val="superscript"/>
              </w:rPr>
              <w:t>(1)</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29"/>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09"/>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4"/>
                <w:szCs w:val="14"/>
                <w:b w:val="1"/>
                <w:bCs w:val="1"/>
                <w:color w:val="auto"/>
              </w:rPr>
              <w:t>Interest-earning assets: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CCEEFF"/>
          </w:tcPr>
          <w:p>
            <w:pPr>
              <w:ind w:left="100"/>
              <w:spacing w:after="0" w:line="227"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25"/>
                <w:szCs w:val="25"/>
                <w:b w:val="1"/>
                <w:bCs w:val="1"/>
                <w:color w:val="auto"/>
                <w:vertAlign w:val="superscript"/>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1,158,755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63"/>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25"/>
        </w:trPr>
        <w:tc>
          <w:tcPr>
            <w:tcW w:w="372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Investment securities </w:t>
            </w:r>
            <w:r>
              <w:rPr>
                <w:rFonts w:ascii="Arial" w:cs="Arial" w:eastAsia="Arial" w:hAnsi="Arial"/>
                <w:sz w:val="25"/>
                <w:szCs w:val="25"/>
                <w:b w:val="1"/>
                <w:bCs w:val="1"/>
                <w:color w:val="auto"/>
                <w:vertAlign w:val="superscript"/>
              </w:rPr>
              <w:t>(3)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490,797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254,070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interest earnings assets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80,170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145,895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93"/>
        </w:trPr>
        <w:tc>
          <w:tcPr>
            <w:tcW w:w="3720" w:type="dxa"/>
            <w:vAlign w:val="bottom"/>
          </w:tcPr>
          <w:p>
            <w:pPr>
              <w:ind w:left="200"/>
              <w:spacing w:after="0"/>
              <w:rPr>
                <w:sz w:val="20"/>
                <w:szCs w:val="20"/>
                <w:color w:val="auto"/>
              </w:rPr>
            </w:pPr>
            <w:r>
              <w:rPr>
                <w:rFonts w:ascii="Arial" w:cs="Arial" w:eastAsia="Arial" w:hAnsi="Arial"/>
                <w:sz w:val="14"/>
                <w:szCs w:val="14"/>
                <w:color w:val="auto"/>
              </w:rPr>
              <w:t>Total interest-earning assets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1,729,722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15,031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1,436,214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13,087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Non-interest earning assets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1,828,037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1,522,735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7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4"/>
                <w:szCs w:val="14"/>
                <w:b w:val="1"/>
                <w:bCs w:val="1"/>
                <w:color w:val="auto"/>
              </w:rPr>
              <w:t>Interest-bearing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Interest-bearing demand deposits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3"/>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10"/>
        </w:trPr>
        <w:tc>
          <w:tcPr>
            <w:tcW w:w="3720" w:type="dxa"/>
            <w:vAlign w:val="bottom"/>
          </w:tcPr>
          <w:p>
            <w:pPr>
              <w:ind w:left="100"/>
              <w:spacing w:after="0"/>
              <w:rPr>
                <w:sz w:val="20"/>
                <w:szCs w:val="20"/>
                <w:color w:val="auto"/>
              </w:rPr>
            </w:pPr>
            <w:r>
              <w:rPr>
                <w:rFonts w:ascii="Arial" w:cs="Arial" w:eastAsia="Arial" w:hAnsi="Arial"/>
                <w:sz w:val="14"/>
                <w:szCs w:val="14"/>
                <w:color w:val="auto"/>
              </w:rPr>
              <w:t>Saving and money market deposits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673,993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541,824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Time deposits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227,690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263,852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3"/>
        </w:trPr>
        <w:tc>
          <w:tcPr>
            <w:tcW w:w="3720" w:type="dxa"/>
            <w:vAlign w:val="bottom"/>
          </w:tcPr>
          <w:p>
            <w:pPr>
              <w:ind w:left="200"/>
              <w:spacing w:after="0"/>
              <w:rPr>
                <w:sz w:val="20"/>
                <w:szCs w:val="20"/>
                <w:color w:val="auto"/>
              </w:rPr>
            </w:pPr>
            <w:r>
              <w:rPr>
                <w:rFonts w:ascii="Arial" w:cs="Arial" w:eastAsia="Arial" w:hAnsi="Arial"/>
                <w:sz w:val="14"/>
                <w:szCs w:val="14"/>
                <w:color w:val="auto"/>
              </w:rPr>
              <w:t>Total interest-bearing deposits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958,241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854,206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Borrowings and repurchase agreements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3"/>
        </w:trPr>
        <w:tc>
          <w:tcPr>
            <w:tcW w:w="3720" w:type="dxa"/>
            <w:vAlign w:val="bottom"/>
          </w:tcPr>
          <w:p>
            <w:pPr>
              <w:ind w:left="200"/>
              <w:spacing w:after="0"/>
              <w:rPr>
                <w:sz w:val="20"/>
                <w:szCs w:val="20"/>
                <w:color w:val="auto"/>
              </w:rPr>
            </w:pPr>
            <w:r>
              <w:rPr>
                <w:rFonts w:ascii="Arial" w:cs="Arial" w:eastAsia="Arial" w:hAnsi="Arial"/>
                <w:sz w:val="14"/>
                <w:szCs w:val="14"/>
                <w:color w:val="auto"/>
              </w:rPr>
              <w:t>Total interest-bearing liabilities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994,241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891,728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Non-interest bearing demand deposits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603,735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437,221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non-interest-bearing liabilities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1,625,675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1,353,424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1,828,037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1,522,735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interest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14,076</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20" w:type="dxa"/>
            <w:vAlign w:val="bottom"/>
            <w:tcBorders>
              <w:bottom w:val="single" w:sz="8" w:color="CCEEFF"/>
            </w:tcBorders>
            <w:shd w:val="clear" w:color="auto" w:fill="CCEEFF"/>
          </w:tcPr>
          <w:p>
            <w:pPr>
              <w:spacing w:after="0" w:line="164" w:lineRule="exact"/>
              <w:rPr>
                <w:sz w:val="20"/>
                <w:szCs w:val="20"/>
                <w:color w:val="auto"/>
              </w:rPr>
            </w:pPr>
            <w:r>
              <w:rPr>
                <w:rFonts w:ascii="Arial" w:cs="Arial" w:eastAsia="Arial" w:hAnsi="Arial"/>
                <w:sz w:val="12"/>
                <w:szCs w:val="12"/>
                <w:color w:val="auto"/>
              </w:rPr>
              <w:t xml:space="preserve">Net interest spread </w:t>
            </w:r>
            <w:r>
              <w:rPr>
                <w:rFonts w:ascii="Arial" w:cs="Arial" w:eastAsia="Arial" w:hAnsi="Arial"/>
                <w:sz w:val="19"/>
                <w:szCs w:val="19"/>
                <w:b w:val="1"/>
                <w:bCs w:val="1"/>
                <w:color w:val="auto"/>
                <w:vertAlign w:val="superscript"/>
              </w:rPr>
              <w:t>(4)</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3.03%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204"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3"/>
                <w:szCs w:val="23"/>
                <w:b w:val="1"/>
                <w:bCs w:val="1"/>
                <w:color w:val="auto"/>
                <w:vertAlign w:val="superscript"/>
              </w:rPr>
              <w:t>(5)</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69" w:lineRule="exact"/>
        <w:rPr>
          <w:sz w:val="20"/>
          <w:szCs w:val="20"/>
          <w:color w:val="auto"/>
        </w:rPr>
      </w:pPr>
    </w:p>
    <w:p>
      <w:pPr>
        <w:ind w:left="185" w:hanging="185"/>
        <w:spacing w:after="0"/>
        <w:tabs>
          <w:tab w:leader="none" w:pos="185" w:val="left"/>
        </w:tabs>
        <w:numPr>
          <w:ilvl w:val="0"/>
          <w:numId w:val="13"/>
        </w:numPr>
        <w:rPr>
          <w:rFonts w:ascii="Arial" w:cs="Arial" w:eastAsia="Arial" w:hAnsi="Arial"/>
          <w:sz w:val="11"/>
          <w:szCs w:val="11"/>
          <w:color w:val="auto"/>
        </w:rPr>
      </w:pPr>
      <w:r>
        <w:rPr>
          <w:rFonts w:ascii="Arial" w:cs="Arial" w:eastAsia="Arial" w:hAnsi="Arial"/>
          <w:sz w:val="11"/>
          <w:szCs w:val="11"/>
          <w:color w:val="auto"/>
        </w:rPr>
        <w:t>Annualized.</w:t>
      </w:r>
    </w:p>
    <w:p>
      <w:pPr>
        <w:spacing w:after="0" w:line="15" w:lineRule="exact"/>
        <w:rPr>
          <w:rFonts w:ascii="Arial" w:cs="Arial" w:eastAsia="Arial" w:hAnsi="Arial"/>
          <w:sz w:val="11"/>
          <w:szCs w:val="11"/>
          <w:color w:val="auto"/>
        </w:rPr>
      </w:pPr>
    </w:p>
    <w:p>
      <w:pPr>
        <w:ind w:left="185" w:hanging="185"/>
        <w:spacing w:after="0"/>
        <w:tabs>
          <w:tab w:leader="none" w:pos="185" w:val="left"/>
        </w:tabs>
        <w:numPr>
          <w:ilvl w:val="0"/>
          <w:numId w:val="13"/>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27" w:lineRule="exact"/>
        <w:rPr>
          <w:rFonts w:ascii="Arial" w:cs="Arial" w:eastAsia="Arial" w:hAnsi="Arial"/>
          <w:sz w:val="11"/>
          <w:szCs w:val="11"/>
          <w:color w:val="auto"/>
        </w:rPr>
      </w:pPr>
    </w:p>
    <w:p>
      <w:pPr>
        <w:ind w:left="185" w:hanging="185"/>
        <w:spacing w:after="0"/>
        <w:tabs>
          <w:tab w:leader="none" w:pos="185" w:val="left"/>
        </w:tabs>
        <w:numPr>
          <w:ilvl w:val="0"/>
          <w:numId w:val="13"/>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w:t>
      </w:r>
    </w:p>
    <w:p>
      <w:pPr>
        <w:spacing w:after="0" w:line="27" w:lineRule="exact"/>
        <w:rPr>
          <w:rFonts w:ascii="Arial" w:cs="Arial" w:eastAsia="Arial" w:hAnsi="Arial"/>
          <w:sz w:val="11"/>
          <w:szCs w:val="11"/>
          <w:color w:val="auto"/>
        </w:rPr>
      </w:pPr>
    </w:p>
    <w:p>
      <w:pPr>
        <w:ind w:left="185" w:hanging="185"/>
        <w:spacing w:after="0"/>
        <w:tabs>
          <w:tab w:leader="none" w:pos="185"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27" w:lineRule="exact"/>
        <w:rPr>
          <w:rFonts w:ascii="Arial" w:cs="Arial" w:eastAsia="Arial" w:hAnsi="Arial"/>
          <w:sz w:val="11"/>
          <w:szCs w:val="11"/>
          <w:color w:val="auto"/>
        </w:rPr>
      </w:pPr>
    </w:p>
    <w:p>
      <w:pPr>
        <w:ind w:left="185" w:hanging="185"/>
        <w:spacing w:after="0"/>
        <w:tabs>
          <w:tab w:leader="none" w:pos="185" w:val="left"/>
        </w:tabs>
        <w:numPr>
          <w:ilvl w:val="0"/>
          <w:numId w:val="13"/>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50"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right"/>
              <w:ind w:right="789"/>
              <w:spacing w:after="0"/>
              <w:rPr>
                <w:sz w:val="20"/>
                <w:szCs w:val="20"/>
                <w:color w:val="auto"/>
              </w:rPr>
            </w:pPr>
            <w:r>
              <w:rPr>
                <w:rFonts w:ascii="Arial" w:cs="Arial" w:eastAsia="Arial" w:hAnsi="Arial"/>
                <w:sz w:val="14"/>
                <w:szCs w:val="14"/>
                <w:b w:val="1"/>
                <w:bCs w:val="1"/>
                <w:color w:val="auto"/>
              </w:rPr>
              <w:t>As of and for the three months ended</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3"/>
        </w:trPr>
        <w:tc>
          <w:tcPr>
            <w:tcW w:w="4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12/31/2021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9/30/2021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6/30/2021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12/31/2020</w:t>
            </w:r>
          </w:p>
        </w:tc>
      </w:tr>
      <w:tr>
        <w:trPr>
          <w:trHeight w:val="196"/>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Pre-Tax Pre-Provision ("PTPP") Income: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5,650</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6,593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4,053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4,781</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4,239</w:t>
            </w: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Plus: Provision for 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210"/>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Plus: Provision for (recovery of) credit losses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PTPP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PTPP Return on Average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PTPP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7,401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8,681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5,316</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6,119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4,688</w:t>
            </w: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Average assets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1,828,037</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1,741,423</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1,660,060</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1,573,881</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1,522,735</w:t>
            </w:r>
          </w:p>
        </w:tc>
      </w:tr>
      <w:tr>
        <w:trPr>
          <w:trHeight w:val="225"/>
        </w:trPr>
        <w:tc>
          <w:tcPr>
            <w:tcW w:w="462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PTPP return on average assets </w:t>
            </w:r>
            <w:r>
              <w:rPr>
                <w:rFonts w:ascii="Arial" w:cs="Arial" w:eastAsia="Arial" w:hAnsi="Arial"/>
                <w:sz w:val="25"/>
                <w:szCs w:val="25"/>
                <w:b w:val="1"/>
                <w:bCs w:val="1"/>
                <w:color w:val="auto"/>
                <w:vertAlign w:val="superscript"/>
              </w:rPr>
              <w:t>(1)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13"/>
        </w:trPr>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4"/>
                <w:szCs w:val="14"/>
                <w:b w:val="1"/>
                <w:bCs w:val="1"/>
                <w:color w:val="auto"/>
              </w:rPr>
              <w:t>Operating Net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w:t>
            </w: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Less: Net gains (losses) on sale of securities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3"/>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Tax effect on sale of 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24"/>
        </w:trPr>
        <w:tc>
          <w:tcPr>
            <w:tcW w:w="4620" w:type="dxa"/>
            <w:vAlign w:val="bottom"/>
          </w:tcPr>
          <w:p>
            <w:pPr>
              <w:ind w:left="200"/>
              <w:spacing w:after="0"/>
              <w:rPr>
                <w:sz w:val="20"/>
                <w:szCs w:val="20"/>
                <w:color w:val="auto"/>
              </w:rPr>
            </w:pPr>
            <w:r>
              <w:rPr>
                <w:rFonts w:ascii="Arial" w:cs="Arial" w:eastAsia="Arial" w:hAnsi="Arial"/>
                <w:sz w:val="14"/>
                <w:szCs w:val="14"/>
                <w:color w:val="auto"/>
              </w:rPr>
              <w:t>Operating 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5,624</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6,646</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3,912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4,734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4,231</w:t>
            </w:r>
          </w:p>
        </w:tc>
      </w:tr>
      <w:tr>
        <w:trPr>
          <w:trHeight w:val="165"/>
        </w:trPr>
        <w:tc>
          <w:tcPr>
            <w:tcW w:w="4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left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lef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4"/>
                <w:szCs w:val="14"/>
                <w:b w:val="1"/>
                <w:bCs w:val="1"/>
                <w:color w:val="auto"/>
              </w:rPr>
              <w:t>Operating PTPP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PTPP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w:t>
            </w: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Less: Net gains (losses) on sale of securities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84"/>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PTPP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7,366</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8,751</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PTPP Return on Average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Operating PTPP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7,366</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8,751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5,129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6,057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4,677</w:t>
            </w: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Average assets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1,828,037</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1,741,423</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1,660,060</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1,573,881</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1,522,735</w:t>
            </w:r>
          </w:p>
        </w:tc>
      </w:tr>
      <w:tr>
        <w:trPr>
          <w:trHeight w:val="225"/>
        </w:trPr>
        <w:tc>
          <w:tcPr>
            <w:tcW w:w="4620" w:type="dxa"/>
            <w:vAlign w:val="bottom"/>
          </w:tcPr>
          <w:p>
            <w:pPr>
              <w:ind w:left="100"/>
              <w:spacing w:after="0" w:line="224" w:lineRule="exact"/>
              <w:rPr>
                <w:sz w:val="20"/>
                <w:szCs w:val="20"/>
                <w:color w:val="auto"/>
              </w:rPr>
            </w:pPr>
            <w:r>
              <w:rPr>
                <w:rFonts w:ascii="Arial" w:cs="Arial" w:eastAsia="Arial" w:hAnsi="Arial"/>
                <w:sz w:val="14"/>
                <w:szCs w:val="14"/>
                <w:color w:val="auto"/>
              </w:rPr>
              <w:t xml:space="preserve">Operating PTPP Return on average assets </w:t>
            </w:r>
            <w:r>
              <w:rPr>
                <w:rFonts w:ascii="Arial" w:cs="Arial" w:eastAsia="Arial" w:hAnsi="Arial"/>
                <w:sz w:val="25"/>
                <w:szCs w:val="25"/>
                <w:b w:val="1"/>
                <w:bCs w:val="1"/>
                <w:color w:val="auto"/>
                <w:vertAlign w:val="superscript"/>
              </w:rPr>
              <w:t>(1)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13"/>
        </w:trPr>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4"/>
                <w:szCs w:val="14"/>
                <w:b w:val="1"/>
                <w:bCs w:val="1"/>
                <w:color w:val="auto"/>
              </w:rPr>
              <w:t>Operating Return on Average Asset: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3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w:t>
            </w: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color w:val="auto"/>
              </w:rPr>
              <w:t>Average assets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1,828,037</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1,741,423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1,660,060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1,573,881</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1,522,735</w:t>
            </w:r>
          </w:p>
        </w:tc>
      </w:tr>
      <w:tr>
        <w:trPr>
          <w:trHeight w:val="227"/>
        </w:trPr>
        <w:tc>
          <w:tcPr>
            <w:tcW w:w="4620" w:type="dxa"/>
            <w:vAlign w:val="bottom"/>
            <w:shd w:val="clear" w:color="auto" w:fill="CCEEFF"/>
          </w:tcPr>
          <w:p>
            <w:pPr>
              <w:ind w:left="100"/>
              <w:spacing w:after="0" w:line="227" w:lineRule="exact"/>
              <w:rPr>
                <w:sz w:val="20"/>
                <w:szCs w:val="20"/>
                <w:color w:val="auto"/>
              </w:rPr>
            </w:pPr>
            <w:r>
              <w:rPr>
                <w:rFonts w:ascii="Arial" w:cs="Arial" w:eastAsia="Arial" w:hAnsi="Arial"/>
                <w:sz w:val="14"/>
                <w:szCs w:val="14"/>
                <w:color w:val="auto"/>
              </w:rPr>
              <w:t xml:space="preserve">Operating return on average assets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10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(1) Annualized.</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697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2" w:name="page13"/>
    <w:bookmarkEnd w:id="12"/>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NON-GAAP FINANCIAL MEASURES</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(Dollars in thousands, except per share data)</w:t>
      </w:r>
    </w:p>
    <w:p>
      <w:pPr>
        <w:spacing w:after="0" w:line="187" w:lineRule="exact"/>
        <w:rPr>
          <w:sz w:val="20"/>
          <w:szCs w:val="20"/>
          <w:color w:val="auto"/>
        </w:rPr>
      </w:pPr>
    </w:p>
    <w:p>
      <w:pPr>
        <w:ind w:left="6945"/>
        <w:spacing w:after="0"/>
        <w:rPr>
          <w:sz w:val="20"/>
          <w:szCs w:val="20"/>
          <w:color w:val="auto"/>
        </w:rPr>
      </w:pPr>
      <w:r>
        <w:rPr>
          <w:rFonts w:ascii="Arial" w:cs="Arial" w:eastAsia="Arial" w:hAnsi="Arial"/>
          <w:sz w:val="13"/>
          <w:szCs w:val="13"/>
          <w:b w:val="1"/>
          <w:bCs w:val="1"/>
          <w:color w:val="auto"/>
        </w:rPr>
        <w:t>As of and 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0</wp:posOffset>
            </wp:positionV>
            <wp:extent cx="42132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46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12/31/2021</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9/30/2021</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6/30/2021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3/31/2021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12/31/2020</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jc w:val="right"/>
              <w:ind w:right="1477"/>
              <w:spacing w:after="0"/>
              <w:rPr>
                <w:sz w:val="20"/>
                <w:szCs w:val="20"/>
                <w:color w:val="auto"/>
              </w:rPr>
            </w:pPr>
            <w:r>
              <w:rPr>
                <w:rFonts w:ascii="Arial" w:cs="Arial" w:eastAsia="Arial" w:hAnsi="Arial"/>
                <w:sz w:val="13"/>
                <w:szCs w:val="13"/>
                <w:b w:val="1"/>
                <w:bCs w:val="1"/>
                <w:color w:val="auto"/>
                <w:w w:val="87"/>
              </w:rPr>
              <w:t>Tangible Book Value per Common Share (at period-end):</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3"/>
                <w:szCs w:val="13"/>
                <w:color w:val="auto"/>
              </w:rPr>
              <w:t>Total stockholders' equity (GAAP)</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203,897</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201,918</w:t>
            </w:r>
          </w:p>
        </w:tc>
        <w:tc>
          <w:tcPr>
            <w:tcW w:w="6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166,302</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170,425</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171,001</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Less: Intangible assets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Less: Preferred stock</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24,616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32,077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32,077</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Tangible stockholders' equity (non-GAAP)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203,897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201,918</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138,348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138,924</w:t>
            </w:r>
          </w:p>
        </w:tc>
        <w:tc>
          <w:tcPr>
            <w:tcW w:w="0" w:type="dxa"/>
            <w:vAlign w:val="bottom"/>
          </w:tcPr>
          <w:p>
            <w:pPr>
              <w:spacing w:after="0"/>
              <w:rPr>
                <w:sz w:val="1"/>
                <w:szCs w:val="1"/>
                <w:color w:val="auto"/>
              </w:rPr>
            </w:pPr>
          </w:p>
        </w:tc>
      </w:tr>
      <w:tr>
        <w:trPr>
          <w:trHeight w:val="177"/>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Total shares issued and outstanding (at period-end):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A common shares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19,991,753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18,767,541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3,889,469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3,889,469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3,889,469</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Class B common shares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1,224,212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1,224,212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1,224,212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1,224,212</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common shares outstanding</w:t>
            </w: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19,991,753</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19,991,753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5,113,681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5,113,681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5,113,681</w:t>
            </w:r>
          </w:p>
        </w:tc>
        <w:tc>
          <w:tcPr>
            <w:tcW w:w="0" w:type="dxa"/>
            <w:vAlign w:val="bottom"/>
          </w:tcPr>
          <w:p>
            <w:pPr>
              <w:spacing w:after="0"/>
              <w:rPr>
                <w:sz w:val="1"/>
                <w:szCs w:val="1"/>
                <w:color w:val="auto"/>
              </w:rPr>
            </w:pPr>
          </w:p>
        </w:tc>
      </w:tr>
      <w:tr>
        <w:trPr>
          <w:trHeight w:val="186"/>
        </w:trPr>
        <w:tc>
          <w:tcPr>
            <w:tcW w:w="4620" w:type="dxa"/>
            <w:vAlign w:val="bottom"/>
          </w:tcPr>
          <w:p>
            <w:pPr>
              <w:ind w:left="200"/>
              <w:spacing w:after="0" w:line="146" w:lineRule="exact"/>
              <w:rPr>
                <w:sz w:val="20"/>
                <w:szCs w:val="20"/>
                <w:color w:val="auto"/>
              </w:rPr>
            </w:pPr>
            <w:r>
              <w:rPr>
                <w:rFonts w:ascii="Arial" w:cs="Arial" w:eastAsia="Arial" w:hAnsi="Arial"/>
                <w:sz w:val="13"/>
                <w:szCs w:val="13"/>
                <w:color w:val="auto"/>
              </w:rPr>
              <w:t>Tangible book value per common share (non-GAAP)</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line="146" w:lineRule="exact"/>
              <w:rPr>
                <w:sz w:val="20"/>
                <w:szCs w:val="20"/>
                <w:color w:val="auto"/>
              </w:rPr>
            </w:pPr>
            <w:r>
              <w:rPr>
                <w:rFonts w:ascii="Arial" w:cs="Arial" w:eastAsia="Arial" w:hAnsi="Arial"/>
                <w:sz w:val="13"/>
                <w:szCs w:val="13"/>
                <w:color w:val="auto"/>
              </w:rPr>
              <w:t>10.20</w:t>
            </w:r>
          </w:p>
        </w:tc>
        <w:tc>
          <w:tcPr>
            <w:tcW w:w="3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6" w:lineRule="exact"/>
              <w:rPr>
                <w:sz w:val="20"/>
                <w:szCs w:val="20"/>
                <w:color w:val="auto"/>
              </w:rPr>
            </w:pPr>
            <w:r>
              <w:rPr>
                <w:rFonts w:ascii="Arial" w:cs="Arial" w:eastAsia="Arial" w:hAnsi="Arial"/>
                <w:sz w:val="13"/>
                <w:szCs w:val="13"/>
                <w:color w:val="auto"/>
              </w:rPr>
              <w:t>10.10</w:t>
            </w:r>
          </w:p>
        </w:tc>
        <w:tc>
          <w:tcPr>
            <w:tcW w:w="60" w:type="dxa"/>
            <w:vAlign w:val="bottom"/>
          </w:tcPr>
          <w:p>
            <w:pPr>
              <w:spacing w:after="0"/>
              <w:rPr>
                <w:sz w:val="16"/>
                <w:szCs w:val="16"/>
                <w:color w:val="auto"/>
              </w:rPr>
            </w:pPr>
          </w:p>
        </w:tc>
        <w:tc>
          <w:tcPr>
            <w:tcW w:w="2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46" w:lineRule="exact"/>
              <w:rPr>
                <w:sz w:val="20"/>
                <w:szCs w:val="20"/>
                <w:color w:val="auto"/>
              </w:rPr>
            </w:pPr>
            <w:r>
              <w:rPr>
                <w:rFonts w:ascii="Arial" w:cs="Arial" w:eastAsia="Arial" w:hAnsi="Arial"/>
                <w:sz w:val="13"/>
                <w:szCs w:val="13"/>
                <w:color w:val="auto"/>
              </w:rPr>
              <w:t>27.71</w:t>
            </w:r>
          </w:p>
        </w:tc>
        <w:tc>
          <w:tcPr>
            <w:tcW w:w="3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46" w:lineRule="exact"/>
              <w:rPr>
                <w:sz w:val="20"/>
                <w:szCs w:val="20"/>
                <w:color w:val="auto"/>
              </w:rPr>
            </w:pPr>
            <w:r>
              <w:rPr>
                <w:rFonts w:ascii="Arial" w:cs="Arial" w:eastAsia="Arial" w:hAnsi="Arial"/>
                <w:sz w:val="13"/>
                <w:szCs w:val="13"/>
                <w:color w:val="auto"/>
              </w:rPr>
              <w:t>27.05</w:t>
            </w:r>
          </w:p>
        </w:tc>
        <w:tc>
          <w:tcPr>
            <w:tcW w:w="3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6" w:lineRule="exact"/>
              <w:rPr>
                <w:sz w:val="20"/>
                <w:szCs w:val="20"/>
                <w:color w:val="auto"/>
              </w:rPr>
            </w:pPr>
            <w:r>
              <w:rPr>
                <w:rFonts w:ascii="Arial" w:cs="Arial" w:eastAsia="Arial" w:hAnsi="Arial"/>
                <w:sz w:val="13"/>
                <w:szCs w:val="13"/>
                <w:color w:val="auto"/>
              </w:rPr>
              <w:t>27.17</w:t>
            </w:r>
          </w:p>
        </w:tc>
        <w:tc>
          <w:tcPr>
            <w:tcW w:w="0" w:type="dxa"/>
            <w:vAlign w:val="bottom"/>
          </w:tcPr>
          <w:p>
            <w:pPr>
              <w:spacing w:after="0"/>
              <w:rPr>
                <w:sz w:val="1"/>
                <w:szCs w:val="1"/>
                <w:color w:val="auto"/>
              </w:rPr>
            </w:pPr>
          </w:p>
        </w:tc>
      </w:tr>
      <w:tr>
        <w:trPr>
          <w:trHeight w:val="129"/>
        </w:trPr>
        <w:tc>
          <w:tcPr>
            <w:tcW w:w="46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620" w:type="dxa"/>
            <w:vAlign w:val="bottom"/>
          </w:tcPr>
          <w:p>
            <w:pPr>
              <w:spacing w:after="0"/>
              <w:rPr>
                <w:sz w:val="20"/>
                <w:szCs w:val="20"/>
                <w:color w:val="auto"/>
              </w:rPr>
            </w:pPr>
            <w:r>
              <w:rPr>
                <w:rFonts w:ascii="Arial" w:cs="Arial" w:eastAsia="Arial" w:hAnsi="Arial"/>
                <w:sz w:val="13"/>
                <w:szCs w:val="13"/>
                <w:b w:val="1"/>
                <w:bCs w:val="1"/>
                <w:color w:val="auto"/>
              </w:rPr>
              <w:t>Operating Net Income Available to Common Stockholders: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income (GAAP)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6,593</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4,239</w:t>
            </w:r>
          </w:p>
        </w:tc>
        <w:tc>
          <w:tcPr>
            <w:tcW w:w="0" w:type="dxa"/>
            <w:vAlign w:val="bottom"/>
          </w:tcPr>
          <w:p>
            <w:pPr>
              <w:spacing w:after="0"/>
              <w:rPr>
                <w:sz w:val="1"/>
                <w:szCs w:val="1"/>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3"/>
                <w:szCs w:val="13"/>
                <w:color w:val="auto"/>
              </w:rPr>
              <w:t>Less: Preferred dividends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Less: Exchange and redemption of preferred shares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89,585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620" w:type="dxa"/>
            <w:vAlign w:val="bottom"/>
          </w:tcPr>
          <w:p>
            <w:pPr>
              <w:ind w:left="320"/>
              <w:spacing w:after="0"/>
              <w:rPr>
                <w:sz w:val="20"/>
                <w:szCs w:val="20"/>
                <w:color w:val="auto"/>
              </w:rPr>
            </w:pPr>
            <w:r>
              <w:rPr>
                <w:rFonts w:ascii="Arial" w:cs="Arial" w:eastAsia="Arial" w:hAnsi="Arial"/>
                <w:sz w:val="13"/>
                <w:szCs w:val="13"/>
                <w:color w:val="auto"/>
              </w:rPr>
              <w:t>Net income (loss) available to common stockholders (GAAP)</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5,650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(83,534)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3,457</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Add back: Exchange and redemption of preferred shares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89,585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4620" w:type="dxa"/>
            <w:vAlign w:val="bottom"/>
          </w:tcPr>
          <w:p>
            <w:pPr>
              <w:ind w:left="320"/>
              <w:spacing w:after="0" w:line="169" w:lineRule="exact"/>
              <w:rPr>
                <w:sz w:val="20"/>
                <w:szCs w:val="20"/>
                <w:color w:val="auto"/>
              </w:rPr>
            </w:pPr>
            <w:r>
              <w:rPr>
                <w:rFonts w:ascii="Arial" w:cs="Arial" w:eastAsia="Arial" w:hAnsi="Arial"/>
                <w:sz w:val="11"/>
                <w:szCs w:val="11"/>
                <w:color w:val="auto"/>
              </w:rPr>
              <w:t xml:space="preserve">Operating net income avail. to common stock (non-GAAP) </w:t>
            </w:r>
            <w:r>
              <w:rPr>
                <w:rFonts w:ascii="Arial" w:cs="Arial" w:eastAsia="Arial" w:hAnsi="Arial"/>
                <w:sz w:val="19"/>
                <w:szCs w:val="19"/>
                <w:b w:val="1"/>
                <w:bCs w:val="1"/>
                <w:color w:val="auto"/>
                <w:vertAlign w:val="superscript"/>
              </w:rPr>
              <w:t>(1)</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5,650</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6,051</w:t>
            </w:r>
          </w:p>
        </w:tc>
        <w:tc>
          <w:tcPr>
            <w:tcW w:w="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3,299</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4,000</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3,457</w:t>
            </w:r>
          </w:p>
        </w:tc>
        <w:tc>
          <w:tcPr>
            <w:tcW w:w="0" w:type="dxa"/>
            <w:vAlign w:val="bottom"/>
          </w:tcPr>
          <w:p>
            <w:pPr>
              <w:spacing w:after="0"/>
              <w:rPr>
                <w:sz w:val="1"/>
                <w:szCs w:val="1"/>
                <w:color w:val="auto"/>
              </w:rPr>
            </w:pPr>
          </w:p>
        </w:tc>
      </w:tr>
      <w:tr>
        <w:trPr>
          <w:trHeight w:val="129"/>
        </w:trPr>
        <w:tc>
          <w:tcPr>
            <w:tcW w:w="4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Allocation of operating net income per common stock class:</w:t>
            </w: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3"/>
                <w:szCs w:val="13"/>
                <w:color w:val="auto"/>
              </w:rPr>
              <w:t>Class A common stock</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5,650</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5,598</w:t>
            </w:r>
          </w:p>
        </w:tc>
        <w:tc>
          <w:tcPr>
            <w:tcW w:w="6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2,509</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3,042</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2,629</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B common stock</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177"/>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Weighted average shares outstanding: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 A common stock</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tcPr>
          <w:p>
            <w:pPr>
              <w:ind w:left="320"/>
              <w:spacing w:after="0"/>
              <w:rPr>
                <w:sz w:val="20"/>
                <w:szCs w:val="20"/>
                <w:color w:val="auto"/>
              </w:rPr>
            </w:pPr>
            <w:r>
              <w:rPr>
                <w:rFonts w:ascii="Arial" w:cs="Arial" w:eastAsia="Arial" w:hAnsi="Arial"/>
                <w:sz w:val="13"/>
                <w:szCs w:val="13"/>
                <w:color w:val="auto"/>
              </w:rPr>
              <w:t>Basic</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18,913,914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15,121,460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3,889,469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3,889,469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3,887,512</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19,023,686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15,187,729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3,933,636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3,913,279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3,911,322</w:t>
            </w:r>
          </w:p>
        </w:tc>
        <w:tc>
          <w:tcPr>
            <w:tcW w:w="0" w:type="dxa"/>
            <w:vAlign w:val="bottom"/>
          </w:tcPr>
          <w:p>
            <w:pPr>
              <w:spacing w:after="0"/>
              <w:rPr>
                <w:sz w:val="1"/>
                <w:szCs w:val="1"/>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3"/>
                <w:szCs w:val="13"/>
                <w:color w:val="auto"/>
              </w:rPr>
              <w:t>Class B common stock</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Basic</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6,121,052</w:t>
            </w:r>
          </w:p>
        </w:tc>
        <w:tc>
          <w:tcPr>
            <w:tcW w:w="0" w:type="dxa"/>
            <w:vAlign w:val="bottom"/>
          </w:tcPr>
          <w:p>
            <w:pPr>
              <w:spacing w:after="0"/>
              <w:rPr>
                <w:sz w:val="1"/>
                <w:szCs w:val="1"/>
                <w:color w:val="auto"/>
              </w:rPr>
            </w:pPr>
          </w:p>
        </w:tc>
      </w:tr>
      <w:tr>
        <w:trPr>
          <w:trHeight w:val="177"/>
        </w:trPr>
        <w:tc>
          <w:tcPr>
            <w:tcW w:w="4620" w:type="dxa"/>
            <w:vAlign w:val="bottom"/>
          </w:tcPr>
          <w:p>
            <w:pPr>
              <w:ind w:left="320"/>
              <w:spacing w:after="0"/>
              <w:rPr>
                <w:sz w:val="20"/>
                <w:szCs w:val="20"/>
                <w:color w:val="auto"/>
              </w:rPr>
            </w:pPr>
            <w:r>
              <w:rPr>
                <w:rFonts w:ascii="Arial" w:cs="Arial" w:eastAsia="Arial" w:hAnsi="Arial"/>
                <w:sz w:val="13"/>
                <w:szCs w:val="13"/>
                <w:color w:val="auto"/>
              </w:rPr>
              <w:t>Diluted</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6,121,052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6,121,052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6,121,052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6,121,052</w:t>
            </w: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100"/>
              <w:spacing w:after="0" w:line="178" w:lineRule="exact"/>
              <w:rPr>
                <w:sz w:val="20"/>
                <w:szCs w:val="20"/>
                <w:color w:val="auto"/>
              </w:rPr>
            </w:pPr>
            <w:r>
              <w:rPr>
                <w:rFonts w:ascii="Arial" w:cs="Arial" w:eastAsia="Arial" w:hAnsi="Arial"/>
                <w:sz w:val="12"/>
                <w:szCs w:val="12"/>
                <w:b w:val="1"/>
                <w:bCs w:val="1"/>
                <w:color w:val="auto"/>
              </w:rPr>
              <w:t xml:space="preserve">Diluted EPS: </w:t>
            </w:r>
            <w:r>
              <w:rPr>
                <w:rFonts w:ascii="Arial" w:cs="Arial" w:eastAsia="Arial" w:hAnsi="Arial"/>
                <w:sz w:val="20"/>
                <w:szCs w:val="20"/>
                <w:b w:val="1"/>
                <w:bCs w:val="1"/>
                <w:color w:val="auto"/>
                <w:vertAlign w:val="superscript"/>
              </w:rPr>
              <w:t>(1) (2) (3)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tcPr>
          <w:p>
            <w:pPr>
              <w:ind w:left="200"/>
              <w:spacing w:after="0"/>
              <w:rPr>
                <w:sz w:val="20"/>
                <w:szCs w:val="20"/>
                <w:color w:val="auto"/>
              </w:rPr>
            </w:pPr>
            <w:r>
              <w:rPr>
                <w:rFonts w:ascii="Arial" w:cs="Arial" w:eastAsia="Arial" w:hAnsi="Arial"/>
                <w:sz w:val="13"/>
                <w:szCs w:val="13"/>
                <w:color w:val="auto"/>
              </w:rPr>
              <w:t>Class A common stock</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income (loss) per diluted share (GAAP)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Add back: Exchange and redemption of preferred shares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620" w:type="dxa"/>
            <w:vAlign w:val="bottom"/>
            <w:shd w:val="clear" w:color="auto" w:fill="CCEEFF"/>
          </w:tcPr>
          <w:p>
            <w:pPr>
              <w:jc w:val="right"/>
              <w:ind w:right="1477"/>
              <w:spacing w:after="0" w:line="146" w:lineRule="exact"/>
              <w:rPr>
                <w:sz w:val="20"/>
                <w:szCs w:val="20"/>
                <w:color w:val="auto"/>
              </w:rPr>
            </w:pPr>
            <w:r>
              <w:rPr>
                <w:rFonts w:ascii="Arial" w:cs="Arial" w:eastAsia="Arial" w:hAnsi="Arial"/>
                <w:sz w:val="13"/>
                <w:szCs w:val="13"/>
                <w:color w:val="auto"/>
              </w:rPr>
              <w:t>Operating net income per diluted share (non-GAAP)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0.30</w:t>
            </w:r>
          </w:p>
        </w:tc>
        <w:tc>
          <w:tcPr>
            <w:tcW w:w="3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0.37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0.64</w:t>
            </w:r>
          </w:p>
        </w:tc>
        <w:tc>
          <w:tcPr>
            <w:tcW w:w="3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0.78</w:t>
            </w:r>
          </w:p>
        </w:tc>
        <w:tc>
          <w:tcPr>
            <w:tcW w:w="3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3"/>
                <w:szCs w:val="13"/>
                <w:color w:val="auto"/>
              </w:rPr>
              <w:t>Class B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income (loss) per diluted share (GAAP)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77"/>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Add back: Exchange and redemption of preferred shares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4620" w:type="dxa"/>
            <w:vAlign w:val="bottom"/>
            <w:shd w:val="clear" w:color="auto" w:fill="CCEEFF"/>
          </w:tcPr>
          <w:p>
            <w:pPr>
              <w:jc w:val="right"/>
              <w:ind w:right="1477"/>
              <w:spacing w:after="0" w:line="146" w:lineRule="exact"/>
              <w:rPr>
                <w:sz w:val="20"/>
                <w:szCs w:val="20"/>
                <w:color w:val="auto"/>
              </w:rPr>
            </w:pPr>
            <w:r>
              <w:rPr>
                <w:rFonts w:ascii="Arial" w:cs="Arial" w:eastAsia="Arial" w:hAnsi="Arial"/>
                <w:sz w:val="13"/>
                <w:szCs w:val="13"/>
                <w:color w:val="auto"/>
              </w:rPr>
              <w:t>Operating net income per diluted share (non-GAAP)</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0.07</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0.13</w:t>
            </w:r>
          </w:p>
        </w:tc>
        <w:tc>
          <w:tcPr>
            <w:tcW w:w="32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0.16</w:t>
            </w:r>
          </w:p>
        </w:tc>
        <w:tc>
          <w:tcPr>
            <w:tcW w:w="3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1494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22" w:lineRule="exact"/>
        <w:rPr>
          <w:sz w:val="20"/>
          <w:szCs w:val="20"/>
          <w:color w:val="auto"/>
        </w:rPr>
      </w:pPr>
    </w:p>
    <w:p>
      <w:pPr>
        <w:ind w:left="185" w:hanging="185"/>
        <w:spacing w:after="0"/>
        <w:tabs>
          <w:tab w:leader="none" w:pos="185"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11" w:lineRule="exact"/>
        <w:rPr>
          <w:rFonts w:ascii="Arial" w:cs="Arial" w:eastAsia="Arial" w:hAnsi="Arial"/>
          <w:sz w:val="11"/>
          <w:szCs w:val="11"/>
          <w:color w:val="auto"/>
        </w:rPr>
      </w:pPr>
    </w:p>
    <w:p>
      <w:pPr>
        <w:ind w:left="185" w:hanging="185"/>
        <w:spacing w:after="0"/>
        <w:tabs>
          <w:tab w:leader="none" w:pos="185" w:val="left"/>
        </w:tabs>
        <w:numPr>
          <w:ilvl w:val="0"/>
          <w:numId w:val="14"/>
        </w:numPr>
        <w:rPr>
          <w:rFonts w:ascii="Arial" w:cs="Arial" w:eastAsia="Arial" w:hAnsi="Arial"/>
          <w:sz w:val="11"/>
          <w:szCs w:val="11"/>
          <w:color w:val="auto"/>
        </w:rPr>
      </w:pPr>
      <w:r>
        <w:rPr>
          <w:rFonts w:ascii="Arial" w:cs="Arial" w:eastAsia="Arial" w:hAnsi="Arial"/>
          <w:sz w:val="11"/>
          <w:szCs w:val="11"/>
          <w:color w:val="auto"/>
        </w:rPr>
        <w:t>For the quarter ended September 30, 2021, basic net loss per share is the same as diluted net loss per share as the inclusion of all potential common shares outstanding would have been antidilutive.</w:t>
      </w:r>
    </w:p>
    <w:p>
      <w:pPr>
        <w:spacing w:after="0" w:line="7" w:lineRule="exact"/>
        <w:rPr>
          <w:rFonts w:ascii="Arial" w:cs="Arial" w:eastAsia="Arial" w:hAnsi="Arial"/>
          <w:sz w:val="11"/>
          <w:szCs w:val="11"/>
          <w:color w:val="auto"/>
        </w:rPr>
      </w:pPr>
    </w:p>
    <w:p>
      <w:pPr>
        <w:ind w:left="5" w:right="140" w:hanging="5"/>
        <w:spacing w:after="0" w:line="237" w:lineRule="auto"/>
        <w:tabs>
          <w:tab w:leader="none" w:pos="189" w:val="left"/>
        </w:tabs>
        <w:numPr>
          <w:ilvl w:val="0"/>
          <w:numId w:val="14"/>
        </w:numPr>
        <w:rPr>
          <w:rFonts w:ascii="Arial" w:cs="Arial" w:eastAsia="Arial" w:hAnsi="Arial"/>
          <w:sz w:val="11"/>
          <w:szCs w:val="11"/>
          <w:color w:val="auto"/>
        </w:rPr>
      </w:pPr>
      <w:r>
        <w:rPr>
          <w:rFonts w:ascii="Arial" w:cs="Arial" w:eastAsia="Arial" w:hAnsi="Arial"/>
          <w:sz w:val="11"/>
          <w:szCs w:val="11"/>
          <w:color w:val="auto"/>
        </w:rPr>
        <w:t>During the quarter ended December 31, 2021, the Company entered into agreements with the Class B shareholders to exchange all outstanding Class B non-voting stock for Class A voting common stock at a ratio of 5 to 1. In calculating net income (loss) per diluted share for the prior quarters presented, the allocation of operating net income available to common stockholders was based on the weighted average shares outstanding per common share class to the total weighted average shares outstanding during each period. The operating net income allocation was calculated using the weighted average shares outstanding of Class B common stock on a as-converted basis.</w:t>
      </w:r>
    </w:p>
    <w:p>
      <w:pPr>
        <w:spacing w:after="0" w:line="251"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3" w:name="page14"/>
    <w:bookmarkEnd w:id="13"/>
    <w:p>
      <w:pPr>
        <w:jc w:val="center"/>
        <w:ind w:right="-4"/>
        <w:spacing w:after="0"/>
        <w:rPr>
          <w:sz w:val="20"/>
          <w:szCs w:val="20"/>
          <w:color w:val="auto"/>
        </w:rPr>
      </w:pPr>
      <w:r>
        <w:rPr>
          <w:rFonts w:ascii="Arial" w:cs="Arial" w:eastAsia="Arial" w:hAnsi="Arial"/>
          <w:sz w:val="16"/>
          <w:szCs w:val="16"/>
          <w:b w:val="1"/>
          <w:bCs w:val="1"/>
          <w:color w:val="auto"/>
        </w:rPr>
        <w:t>USCB FINANCIAL HOLDINGS, INC. (UNAUDITED)</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NON-GAAP FINANCIAL MEASURES</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(Dollars in thousands, except per share data)</w:t>
      </w:r>
    </w:p>
    <w:p>
      <w:pPr>
        <w:spacing w:after="0" w:line="243" w:lineRule="exact"/>
        <w:rPr>
          <w:sz w:val="20"/>
          <w:szCs w:val="20"/>
          <w:color w:val="auto"/>
        </w:rPr>
      </w:pPr>
    </w:p>
    <w:tbl>
      <w:tblPr>
        <w:tblLayout w:type="fixed"/>
        <w:tblInd w:w="5"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3"/>
        </w:trPr>
        <w:tc>
          <w:tcPr>
            <w:tcW w:w="8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Net Income Available to Common Stockholders: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4"/>
                <w:szCs w:val="14"/>
                <w:color w:val="auto"/>
              </w:rPr>
              <w:t>Net income (GAAP)</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21,077</w:t>
            </w:r>
          </w:p>
        </w:tc>
        <w:tc>
          <w:tcPr>
            <w:tcW w:w="100" w:type="dxa"/>
            <w:vAlign w:val="bottom"/>
          </w:tcPr>
          <w:p>
            <w:pPr>
              <w:spacing w:after="0"/>
              <w:rPr>
                <w:sz w:val="18"/>
                <w:szCs w:val="18"/>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10,820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Preferred dividends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Exchange and redemption of preferred shares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income (loss) available to common stockholders (GAAP)</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(70,585)</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7,693</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Add back: Exchange and redemption of preferred shares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320"/>
              <w:spacing w:after="0" w:line="195" w:lineRule="exact"/>
              <w:rPr>
                <w:sz w:val="20"/>
                <w:szCs w:val="20"/>
                <w:color w:val="auto"/>
              </w:rPr>
            </w:pPr>
            <w:r>
              <w:rPr>
                <w:rFonts w:ascii="Arial" w:cs="Arial" w:eastAsia="Arial" w:hAnsi="Arial"/>
                <w:sz w:val="13"/>
                <w:szCs w:val="13"/>
                <w:color w:val="auto"/>
              </w:rPr>
              <w:t xml:space="preserve">Operating net income avail. to common stock (non-GAAP) </w:t>
            </w:r>
            <w:r>
              <w:rPr>
                <w:rFonts w:ascii="Arial" w:cs="Arial" w:eastAsia="Arial" w:hAnsi="Arial"/>
                <w:sz w:val="22"/>
                <w:szCs w:val="22"/>
                <w:b w:val="1"/>
                <w:bCs w:val="1"/>
                <w:color w:val="auto"/>
                <w:vertAlign w:val="superscript"/>
              </w:rPr>
              <w:t>(1)</w:t>
            </w: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7,693</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Allocation of operating net income per common stock class: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 A common stock</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4"/>
                <w:szCs w:val="14"/>
                <w:color w:val="auto"/>
              </w:rPr>
              <w:t>Class B common stock</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Weighted average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Arial" w:cs="Arial" w:eastAsia="Arial" w:hAnsi="Arial"/>
                <w:sz w:val="14"/>
                <w:szCs w:val="14"/>
                <w:color w:val="auto"/>
              </w:rPr>
              <w:t>Class A common stock</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10,507,530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3,887,480</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10,567,833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3,911,290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 B common stock</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6,121,052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6,121,052</w:t>
            </w:r>
          </w:p>
        </w:tc>
        <w:tc>
          <w:tcPr>
            <w:tcW w:w="0" w:type="dxa"/>
            <w:vAlign w:val="bottom"/>
          </w:tcPr>
          <w:p>
            <w:pPr>
              <w:spacing w:after="0"/>
              <w:rPr>
                <w:sz w:val="1"/>
                <w:szCs w:val="1"/>
                <w:color w:val="auto"/>
              </w:rPr>
            </w:pPr>
          </w:p>
        </w:tc>
      </w:tr>
      <w:tr>
        <w:trPr>
          <w:trHeight w:val="225"/>
        </w:trPr>
        <w:tc>
          <w:tcPr>
            <w:tcW w:w="8220" w:type="dxa"/>
            <w:vAlign w:val="bottom"/>
          </w:tcPr>
          <w:p>
            <w:pPr>
              <w:ind w:left="100"/>
              <w:spacing w:after="0" w:line="224" w:lineRule="exact"/>
              <w:rPr>
                <w:sz w:val="20"/>
                <w:szCs w:val="20"/>
                <w:color w:val="auto"/>
              </w:rPr>
            </w:pPr>
            <w:r>
              <w:rPr>
                <w:rFonts w:ascii="Arial" w:cs="Arial" w:eastAsia="Arial" w:hAnsi="Arial"/>
                <w:sz w:val="14"/>
                <w:szCs w:val="14"/>
                <w:b w:val="1"/>
                <w:bCs w:val="1"/>
                <w:color w:val="auto"/>
              </w:rPr>
              <w:t xml:space="preserve">Diluted EPS: </w:t>
            </w:r>
            <w:r>
              <w:rPr>
                <w:rFonts w:ascii="Arial" w:cs="Arial" w:eastAsia="Arial" w:hAnsi="Arial"/>
                <w:sz w:val="25"/>
                <w:szCs w:val="25"/>
                <w:b w:val="1"/>
                <w:bCs w:val="1"/>
                <w:color w:val="auto"/>
                <w:vertAlign w:val="superscript"/>
              </w:rPr>
              <w:t>(1) (2)</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Class A common stock</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Arial" w:cs="Arial" w:eastAsia="Arial" w:hAnsi="Arial"/>
                <w:sz w:val="14"/>
                <w:szCs w:val="14"/>
                <w:color w:val="auto"/>
              </w:rPr>
              <w:t>Net income (loss) per diluted share (GAAP)</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(6.72)</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 back: Exchange and redemption of preferred shares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2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Operating net income per diluted share (non-GAAP)</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Class B common stock</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Arial" w:cs="Arial" w:eastAsia="Arial" w:hAnsi="Arial"/>
                <w:sz w:val="14"/>
                <w:szCs w:val="14"/>
                <w:color w:val="auto"/>
              </w:rPr>
              <w:t>Net income per diluted share (GAAP)</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 back: Exchange and redemption of preferred shares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20" w:type="dxa"/>
            <w:vAlign w:val="bottom"/>
          </w:tcPr>
          <w:p>
            <w:pPr>
              <w:ind w:left="420"/>
              <w:spacing w:after="0"/>
              <w:rPr>
                <w:sz w:val="20"/>
                <w:szCs w:val="20"/>
                <w:color w:val="auto"/>
              </w:rPr>
            </w:pPr>
            <w:r>
              <w:rPr>
                <w:rFonts w:ascii="Arial" w:cs="Arial" w:eastAsia="Arial" w:hAnsi="Arial"/>
                <w:sz w:val="14"/>
                <w:szCs w:val="14"/>
                <w:color w:val="auto"/>
              </w:rPr>
              <w:t>Operating net income per diluted share (non-GAAP)</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69" w:lineRule="exact"/>
        <w:rPr>
          <w:sz w:val="20"/>
          <w:szCs w:val="20"/>
          <w:color w:val="auto"/>
        </w:rPr>
      </w:pPr>
    </w:p>
    <w:p>
      <w:pPr>
        <w:ind w:left="185" w:hanging="185"/>
        <w:spacing w:after="0"/>
        <w:tabs>
          <w:tab w:leader="none" w:pos="185"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a key indicator of the ongoing earnings power of the Company.</w:t>
      </w:r>
    </w:p>
    <w:p>
      <w:pPr>
        <w:spacing w:after="0" w:line="15" w:lineRule="exact"/>
        <w:rPr>
          <w:rFonts w:ascii="Arial" w:cs="Arial" w:eastAsia="Arial" w:hAnsi="Arial"/>
          <w:sz w:val="11"/>
          <w:szCs w:val="11"/>
          <w:color w:val="auto"/>
        </w:rPr>
      </w:pPr>
    </w:p>
    <w:p>
      <w:pPr>
        <w:ind w:left="5" w:right="140" w:hanging="5"/>
        <w:spacing w:after="0" w:line="246" w:lineRule="auto"/>
        <w:tabs>
          <w:tab w:leader="none" w:pos="189"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year ended December 31, 2021, the Company entered into agreements with the Class B shareholders to exchange all outstanding Class B non-voting stock for Class A voting common stock at a ratio of 5 to 1. As such, there are no issued and outstanding shares of Class B common stock for the year ended 2021.</w:t>
      </w:r>
    </w:p>
    <w:p>
      <w:pPr>
        <w:spacing w:after="0" w:line="284" w:lineRule="exact"/>
        <w:rPr>
          <w:sz w:val="20"/>
          <w:szCs w:val="20"/>
          <w:color w:val="auto"/>
        </w:rPr>
      </w:pPr>
    </w:p>
    <w:p>
      <w:pPr>
        <w:jc w:val="center"/>
        <w:ind w:right="55"/>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71697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42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6615"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27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5726430</wp:posOffset>
            </wp:positionV>
            <wp:extent cx="716978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27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5627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777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5777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634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6615" cy="5634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118745</wp:posOffset>
            </wp:positionV>
            <wp:extent cx="7206615" cy="5492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6615" cy="5492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30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2022-01-27T16:12:51Z</dcterms:created>
  <dcterms:modified xsi:type="dcterms:W3CDTF">2022-01-27T16:12:51Z</dcterms:modified>
</cp:coreProperties>
</file>