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1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19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19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-627380</wp:posOffset>
            </wp:positionV>
            <wp:extent cx="58420" cy="640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4028440</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-1584960</wp:posOffset>
            </wp:positionH>
            <wp:positionV relativeFrom="paragraph">
              <wp:posOffset>23495</wp:posOffset>
            </wp:positionV>
            <wp:extent cx="6993255" cy="6156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3255" cy="61563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060" w:space="420"/>
            <w:col w:w="86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1">
        <w:r>
          <w:rPr>
            <w:rFonts w:ascii="Times New Roman" w:cs="Times New Roman" w:eastAsia="Times New Roman" w:hAnsi="Times New Roman"/>
            <w:sz w:val="21"/>
            <w:szCs w:val="21"/>
            <w:u w:val="single" w:color="auto"/>
            <w:color w:val="0000EE"/>
          </w:rPr>
          <w:t>Anderson Robert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top w:val="single" w:sz="8" w:color="2C2C2C"/>
            </w:tcBorders>
          </w:tcPr>
          <w:p>
            <w:pPr>
              <w:spacing w:after="0"/>
              <w:rPr>
                <w:sz w:val="5"/>
                <w:szCs w:val="5"/>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Executive VP and CFO</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04/30/2024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04/30/2024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19,289</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11.14</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67,421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05/01/2024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987</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68,408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09/10/2030</w:t>
            </w:r>
          </w:p>
        </w:tc>
        <w:tc>
          <w:tcPr>
            <w:tcW w:w="64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09/10/2021</w:t>
            </w:r>
          </w:p>
        </w:tc>
        <w:tc>
          <w:tcPr>
            <w:tcW w:w="680" w:type="dxa"/>
            <w:vAlign w:val="bottom"/>
            <w:vMerge w:val="continue"/>
          </w:tcPr>
          <w:p>
            <w:pPr>
              <w:spacing w:after="0"/>
              <w:rPr>
                <w:sz w:val="13"/>
                <w:szCs w:val="13"/>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60,000</w:t>
            </w:r>
          </w:p>
        </w:tc>
        <w:tc>
          <w:tcPr>
            <w:tcW w:w="28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09/27/2022</w:t>
            </w:r>
          </w:p>
        </w:tc>
        <w:tc>
          <w:tcPr>
            <w:tcW w:w="680" w:type="dxa"/>
            <w:vAlign w:val="bottom"/>
            <w:vMerge w:val="continue"/>
          </w:tcPr>
          <w:p>
            <w:pPr>
              <w:spacing w:after="0"/>
              <w:rPr>
                <w:sz w:val="13"/>
                <w:szCs w:val="13"/>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-2810510</wp:posOffset>
            </wp:positionV>
            <wp:extent cx="29210" cy="281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210" cy="2815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$10.97 to $11.41, inclusive. The reporting person undertakes to provide to USCB Financial Holdings, Inc.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4,127 shares of restricted stock which vest at a rate of one-third per year commencing on the first anniversary of the date of grant, which was 1/22/2024, and 5,367 shares of restricted stock which vest at a rate of one-third per year commencing on the first anniversary of the date of grant, which was 3/8/2023.</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one-third per year commencing on the first anniversary of the date of grant, which was 9/10/2020.</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Anderson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05/01/2024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85230" TargetMode="External"/><Relationship Id="rId12"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2024-05-01T14:56:02Z</dcterms:created>
  <dcterms:modified xsi:type="dcterms:W3CDTF">2024-05-01T14:56:02Z</dcterms:modified>
</cp:coreProperties>
</file>