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27, 2022</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Miami,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8"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1" w:lineRule="exact"/>
        <w:rPr>
          <w:sz w:val="24"/>
          <w:szCs w:val="24"/>
          <w:color w:val="auto"/>
        </w:rPr>
      </w:pPr>
    </w:p>
    <w:p>
      <w:pPr>
        <w:jc w:val="both"/>
        <w:ind w:left="660" w:right="699"/>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99" w:firstLine="512"/>
        <w:spacing w:after="0" w:line="263" w:lineRule="auto"/>
        <w:rPr>
          <w:sz w:val="20"/>
          <w:szCs w:val="20"/>
          <w:color w:val="auto"/>
        </w:rPr>
      </w:pPr>
      <w:r>
        <w:rPr>
          <w:rFonts w:ascii="Times New Roman" w:cs="Times New Roman" w:eastAsia="Times New Roman" w:hAnsi="Times New Roman"/>
          <w:sz w:val="14"/>
          <w:szCs w:val="14"/>
          <w:color w:val="auto"/>
        </w:rPr>
        <w:t>On October 27, 2022, USCB Financial Holdings, Inc. (the “Company”), issued a press release announcing its financial results for the third quarter ended September 30, 2022. A copy of the press release is furnished as Exhibit 99.1 to this Current Report on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9:00 a.m. ET on October 28, 2022, the Company will hold an earnings conference call to discuss its financial performance for the quarter ended September 30, 2022. A copy of the slides forming the basis of the presentation is being furnished as Exhibit 99.2 to this Current Report on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59" w:firstLine="512"/>
        <w:spacing w:after="0" w:line="263" w:lineRule="auto"/>
        <w:rPr>
          <w:sz w:val="20"/>
          <w:szCs w:val="20"/>
          <w:color w:val="auto"/>
        </w:rPr>
      </w:pPr>
      <w:r>
        <w:rPr>
          <w:rFonts w:ascii="Times New Roman" w:cs="Times New Roman" w:eastAsia="Times New Roman" w:hAnsi="Times New Roman"/>
          <w:sz w:val="14"/>
          <w:szCs w:val="14"/>
          <w:color w:val="auto"/>
        </w:rPr>
        <w:t>The information in this Item 7.01, including Exhibit 99.2, is being furnished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21"/>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62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October 27, 2022</w:t>
            </w:r>
          </w:p>
        </w:tc>
      </w:tr>
      <w:tr>
        <w:trPr>
          <w:trHeight w:val="140"/>
        </w:trPr>
        <w:tc>
          <w:tcPr>
            <w:tcW w:w="92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99.2</w:t>
            </w:r>
          </w:p>
        </w:tc>
        <w:tc>
          <w:tcPr>
            <w:tcW w:w="3980" w:type="dxa"/>
            <w:vAlign w:val="bottom"/>
            <w:tcBorders>
              <w:top w:val="single" w:sz="8" w:color="0563C1"/>
            </w:tcBorders>
            <w:gridSpan w:val="2"/>
          </w:tcPr>
          <w:p>
            <w:pPr>
              <w:spacing w:after="0" w:line="140" w:lineRule="exact"/>
              <w:rPr>
                <w:sz w:val="20"/>
                <w:szCs w:val="20"/>
                <w:color w:val="auto"/>
              </w:rPr>
            </w:pPr>
            <w:r>
              <w:rPr>
                <w:rFonts w:ascii="Times New Roman" w:cs="Times New Roman" w:eastAsia="Times New Roman" w:hAnsi="Times New Roman"/>
                <w:sz w:val="14"/>
                <w:szCs w:val="14"/>
                <w:color w:val="0563C1"/>
              </w:rPr>
              <w:t>Earnings Presentation, dated October 28, 2022</w:t>
            </w:r>
          </w:p>
        </w:tc>
        <w:tc>
          <w:tcPr>
            <w:tcW w:w="228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2620" w:type="dxa"/>
            <w:vAlign w:val="bottom"/>
            <w:shd w:val="clear" w:color="auto" w:fill="0563C1"/>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182"/>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ind w:left="76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USCB Financial Holdings, Inc. Reports ROAA of 1.09% and ROAE of 11.90% for 3Q2022</w:t>
      </w:r>
    </w:p>
    <w:p>
      <w:pPr>
        <w:spacing w:after="0" w:line="173" w:lineRule="exact"/>
        <w:rPr>
          <w:sz w:val="20"/>
          <w:szCs w:val="20"/>
          <w:color w:val="auto"/>
        </w:rPr>
      </w:pPr>
    </w:p>
    <w:p>
      <w:pPr>
        <w:jc w:val="both"/>
        <w:ind w:left="660" w:right="679"/>
        <w:spacing w:after="0" w:line="249" w:lineRule="auto"/>
        <w:rPr>
          <w:sz w:val="20"/>
          <w:szCs w:val="20"/>
          <w:color w:val="auto"/>
        </w:rPr>
      </w:pPr>
      <w:r>
        <w:rPr>
          <w:rFonts w:ascii="Times New Roman" w:cs="Times New Roman" w:eastAsia="Times New Roman" w:hAnsi="Times New Roman"/>
          <w:sz w:val="14"/>
          <w:szCs w:val="14"/>
          <w:b w:val="1"/>
          <w:bCs w:val="1"/>
          <w:color w:val="auto"/>
        </w:rPr>
        <w:t>MIAMI – October 27, 2022 – USCB Financial Holdings, Inc. (the “Company”) (NASDAQ: USCB)</w:t>
      </w:r>
      <w:r>
        <w:rPr>
          <w:rFonts w:ascii="Times New Roman" w:cs="Times New Roman" w:eastAsia="Times New Roman" w:hAnsi="Times New Roman"/>
          <w:sz w:val="14"/>
          <w:szCs w:val="14"/>
          <w:color w:val="auto"/>
        </w:rPr>
        <w:t>, the holding company for 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Century Bank (the “Bank”), reported net income of $5.6 million or $0.28 per diluted Class A share for the three months ended September 30, 2022, compared with net income of $6.6 million or $5.11 loss and $1.02 loss per diluted share for Class A and Class B common stock, respectively, for the same period in 2021. On December 21, 2021, the Company agreed to exchange all the outstanding shares of Class B common stock for Class A common stock at a ratio of 1 share of Class A common stock for each 5 shares of Class B common stock. As of December 31, 2021, the Company’s only class of securities issued and outstanding was Class A common stock.</w:t>
      </w:r>
    </w:p>
    <w:p>
      <w:pPr>
        <w:spacing w:after="0" w:line="141" w:lineRule="exact"/>
        <w:rPr>
          <w:sz w:val="20"/>
          <w:szCs w:val="20"/>
          <w:color w:val="auto"/>
        </w:rPr>
      </w:pPr>
    </w:p>
    <w:p>
      <w:pPr>
        <w:jc w:val="both"/>
        <w:ind w:left="660" w:right="679"/>
        <w:spacing w:after="0" w:line="255" w:lineRule="auto"/>
        <w:rPr>
          <w:sz w:val="20"/>
          <w:szCs w:val="20"/>
          <w:color w:val="auto"/>
        </w:rPr>
      </w:pPr>
      <w:r>
        <w:rPr>
          <w:rFonts w:ascii="Times New Roman" w:cs="Times New Roman" w:eastAsia="Times New Roman" w:hAnsi="Times New Roman"/>
          <w:sz w:val="14"/>
          <w:szCs w:val="14"/>
          <w:color w:val="auto"/>
        </w:rPr>
        <w:t>“We are pleased to report another quarter of strong financial performance during the third quarter of 2022. Our loan and deposit activities remain strong, with total assets and loans growing 16.1% and 21.7%, respectively, from September 30, 2021. Even with the changing economic outlook and all the uncertainty, our ability to attract and retain clients continues to fuel outsized growth.” said Luis de la Aguilera, President and Chief Executive Officer.</w:t>
      </w:r>
    </w:p>
    <w:p>
      <w:pPr>
        <w:spacing w:after="0" w:line="137" w:lineRule="exact"/>
        <w:rPr>
          <w:sz w:val="20"/>
          <w:szCs w:val="20"/>
          <w:color w:val="auto"/>
        </w:rPr>
      </w:pPr>
    </w:p>
    <w:p>
      <w:pPr>
        <w:jc w:val="both"/>
        <w:ind w:left="660" w:right="679"/>
        <w:spacing w:after="0" w:line="248" w:lineRule="auto"/>
        <w:rPr>
          <w:sz w:val="20"/>
          <w:szCs w:val="20"/>
          <w:color w:val="auto"/>
        </w:rPr>
      </w:pPr>
      <w:r>
        <w:rPr>
          <w:rFonts w:ascii="Times New Roman" w:cs="Times New Roman" w:eastAsia="Times New Roman" w:hAnsi="Times New Roman"/>
          <w:sz w:val="14"/>
          <w:szCs w:val="14"/>
          <w:color w:val="auto"/>
        </w:rPr>
        <w:t>“On September 28, 2022, Hurricane Ian made landfall in Florida as a category 4 hurricane affecting some areas of the state with significant flooding, wind damage and power outages. The Company has assessed the impact of the hurricane on our borrowers, including the value of collateral underlying our loans and the financial condition of our borrowers impacted by the storm. Management visited the 3 counties most impacted by the storm (Lee, Charlotte, and Collier counties) and observed negligible to no damage to our clients’ properties. We had 9 yachts in the path of the storm and are happy to report that all owners of the vessels reported no damage. Additionally, we have received no requests for loan modifications.”</w:t>
      </w:r>
    </w:p>
    <w:p>
      <w:pPr>
        <w:spacing w:after="0" w:line="143" w:lineRule="exact"/>
        <w:rPr>
          <w:sz w:val="20"/>
          <w:szCs w:val="20"/>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Unless otherwise stated, all percentage comparisons in the bullet points below are calculated for the quarter ended September 30, 2022 compared to the quarter ended September 30, 2021 and annualized where appropriate.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Profitability</w:t>
      </w:r>
    </w:p>
    <w:p>
      <w:pPr>
        <w:spacing w:after="0" w:line="172" w:lineRule="exact"/>
        <w:rPr>
          <w:sz w:val="20"/>
          <w:szCs w:val="20"/>
          <w:color w:val="auto"/>
        </w:rPr>
      </w:pPr>
    </w:p>
    <w:p>
      <w:pPr>
        <w:ind w:left="920" w:right="69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assets for the quarter ended September 30, 2022 was 1.09% compared to 1.50 % for the third quarter of 2021.</w:t>
      </w:r>
    </w:p>
    <w:p>
      <w:pPr>
        <w:spacing w:after="0" w:line="124" w:lineRule="exact"/>
        <w:rPr>
          <w:rFonts w:ascii="Times New Roman" w:cs="Times New Roman" w:eastAsia="Times New Roman" w:hAnsi="Times New Roman"/>
          <w:sz w:val="14"/>
          <w:szCs w:val="14"/>
          <w:color w:val="auto"/>
        </w:rPr>
      </w:pPr>
    </w:p>
    <w:p>
      <w:pPr>
        <w:ind w:left="920" w:right="69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stockholders’ equity for the quarter ended September 30, 2022 was 11.90% compared to 13.41% for the third quarter of 2021.</w:t>
      </w:r>
    </w:p>
    <w:p>
      <w:pPr>
        <w:spacing w:after="0" w:line="124"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for the quarter ended September 30, 2022 was 54.58% compared to 50.92% for the third quarter of 2021.</w:t>
      </w:r>
    </w:p>
    <w:p>
      <w:pPr>
        <w:spacing w:after="0" w:line="15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increased to 3.47% for the quarter ended September 30, 2022 compared to 3.19% for the third quarter of 2021.</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before provision for credit losses was $16.8 million for the quarter ended September 30, 2022, an increase of $3.3 million or 24.5% compared to the third quarter of 2021.</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172" w:lineRule="exact"/>
        <w:rPr>
          <w:sz w:val="20"/>
          <w:szCs w:val="20"/>
          <w:color w:val="auto"/>
        </w:rPr>
      </w:pPr>
    </w:p>
    <w:p>
      <w:pPr>
        <w:ind w:left="920" w:hanging="257"/>
        <w:spacing w:after="0"/>
        <w:tabs>
          <w:tab w:leader="none" w:pos="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assets were $2.0 billion at September 30, 2022, representing an increase of $282.4 million or 16.1% from September 30, 2021.</w:t>
      </w:r>
    </w:p>
    <w:p>
      <w:pPr>
        <w:spacing w:after="0" w:line="170" w:lineRule="exact"/>
        <w:rPr>
          <w:rFonts w:ascii="Times New Roman" w:cs="Times New Roman" w:eastAsia="Times New Roman" w:hAnsi="Times New Roman"/>
          <w:sz w:val="13"/>
          <w:szCs w:val="13"/>
          <w:color w:val="auto"/>
        </w:rPr>
      </w:pPr>
    </w:p>
    <w:p>
      <w:pPr>
        <w:ind w:left="920" w:hanging="257"/>
        <w:spacing w:after="0"/>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loans were $1.4 billion at September 30, 2022, representing an increase of $255.1 million or 21.7% from September 30, 2021.</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were $1.8 billion at September 30, 2022, representing an increase of $312.1 million or 21.0% from September 30, 2021.</w:t>
      </w:r>
    </w:p>
    <w:p>
      <w:pPr>
        <w:spacing w:after="0" w:line="124"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stockholders’ equity was $177.4 million at September 30, 2022, representing a decrease of $24.5 million or 12.1% from September 30, 2021.</w:t>
      </w:r>
    </w:p>
    <w:p>
      <w:pPr>
        <w:spacing w:after="0" w:line="124"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stockholders’ equity includes unrealized security losses of $45.2 million at September 30, 2022 compared to unrealized security gains of $1.2 million at September 30, 2021.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1" w:right="1440" w:bottom="1440" w:gutter="0" w:footer="0" w:header="0"/>
        </w:sectPr>
      </w:pPr>
    </w:p>
    <w:bookmarkStart w:id="3" w:name="page4"/>
    <w:bookmarkEnd w:id="3"/>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The Company classified $74.4 million of securities to held-to-maturity (HTM) during the quarter ended September 30, 2022 to protect tangible book value in a rising rate environment.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61" w:lineRule="exact"/>
        <w:rPr>
          <w:sz w:val="20"/>
          <w:szCs w:val="20"/>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increased by $1.7 million to $16.6 million at September 30, 2022 from $14.9 million at September 30, 2021.</w:t>
      </w:r>
    </w:p>
    <w:p>
      <w:pPr>
        <w:spacing w:after="0" w:line="103"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represented 1.16% of total loans at September 30, 2022 compared to 1.27% at September 30, 2021.</w:t>
      </w:r>
    </w:p>
    <w:p>
      <w:pPr>
        <w:spacing w:after="0" w:line="16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loans to total loans was 0.00% at September 30, 2022 and 2021.</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61" w:lineRule="exact"/>
        <w:rPr>
          <w:sz w:val="20"/>
          <w:szCs w:val="20"/>
          <w:color w:val="auto"/>
        </w:rPr>
      </w:pPr>
    </w:p>
    <w:p>
      <w:pPr>
        <w:ind w:left="920" w:right="679" w:hanging="257"/>
        <w:spacing w:after="0" w:line="289"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income was $1.8 million for the three months ended September 30, 2022, a decrease of $2.4 million or 57.6% compared to the same period in 2021.</w:t>
      </w:r>
    </w:p>
    <w:p>
      <w:pPr>
        <w:spacing w:after="0" w:line="10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was $10.1 million for the three months ended September 30, 2022, an increase of $1.1 million or 12.5% compared to the same period in 2021.</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72" w:lineRule="exact"/>
        <w:rPr>
          <w:sz w:val="20"/>
          <w:szCs w:val="20"/>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total risk-based capital ratios for the Company and the Bank were 13.65% and 13.58%, respectively.</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per common share of $8.87 was negatively affected by $2.26 due to unrealized security losses at September 30, 2022. At September 30, 2021, tangible book value of $10.10 was positively affected by $0.06 due to unrealized security gains.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61"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t>The Company will host a conference call on Friday, October 28, 2022, at 9:00 a.m. Eastern Time to discuss the Company’s unaudited financial results for the quarter ended September 30, 2022. To access the conference call, dial (866) 652-5200 (U.S. toll-free) and ask to join the USCB Financial Holdings Call.</w:t>
      </w:r>
    </w:p>
    <w:p>
      <w:pPr>
        <w:spacing w:after="0" w:line="132"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About USCB Financial Holdings, Inc.</w:t>
      </w:r>
    </w:p>
    <w:p>
      <w:pPr>
        <w:spacing w:after="0" w:line="161"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USCB Financial Holdings, Inc. is the bank holding company for U.S. Century Bank. Established in 2002, U.S. Century Bank is one of the largest community banks headquartered in Miami, and one of the largest community banks in the state of Florida. U.S.Century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banking center near you, please call (305) 715-5200 or visit www.uscentury.com.</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1" w:lineRule="exact"/>
        <w:rPr>
          <w:sz w:val="20"/>
          <w:szCs w:val="20"/>
          <w:color w:val="auto"/>
        </w:rPr>
      </w:pPr>
    </w:p>
    <w:p>
      <w:pPr>
        <w:jc w:val="both"/>
        <w:ind w:left="660" w:right="679"/>
        <w:spacing w:after="0" w:line="271" w:lineRule="auto"/>
        <w:rPr>
          <w:sz w:val="20"/>
          <w:szCs w:val="20"/>
          <w:color w:val="auto"/>
        </w:rPr>
      </w:pPr>
      <w:r>
        <w:rPr>
          <w:rFonts w:ascii="Times New Roman" w:cs="Times New Roman" w:eastAsia="Times New Roman" w:hAnsi="Times New Roman"/>
          <w:sz w:val="13"/>
          <w:szCs w:val="13"/>
          <w:color w:val="auto"/>
        </w:rPr>
        <w:t>This earnings release may contain statements that arenot historical in nature and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1"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5" w:lineRule="exact"/>
        <w:rPr>
          <w:sz w:val="20"/>
          <w:szCs w:val="20"/>
          <w:color w:val="auto"/>
        </w:rPr>
      </w:pP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 general and the strength of the local economies in which we conduct operations;</w:t>
      </w:r>
    </w:p>
    <w:p>
      <w:pPr>
        <w:spacing w:after="0" w:line="15" w:lineRule="exact"/>
        <w:rPr>
          <w:rFonts w:ascii="Times New Roman" w:cs="Times New Roman" w:eastAsia="Times New Roman" w:hAnsi="Times New Roman"/>
          <w:sz w:val="14"/>
          <w:szCs w:val="14"/>
          <w:color w:val="auto"/>
        </w:rPr>
      </w:pPr>
    </w:p>
    <w:p>
      <w:pPr>
        <w:ind w:left="920" w:right="699" w:hanging="257"/>
        <w:spacing w:after="0" w:line="265"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of the COVID-19 pandemic and its impact on us, our employees, customers and third-party service providers, and the ultimate extent of the impact of the pandemic and related government stimulus programs;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893" w:right="1440" w:bottom="1440" w:gutter="0" w:footer="0" w:header="0"/>
        </w:sectPr>
      </w:pPr>
    </w:p>
    <w:bookmarkStart w:id="4" w:name="page5"/>
    <w:bookmarkEnd w:id="4"/>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our ability to successfully manage interest rate risk, credit risk, liquidity risk, and other risks inherent to our industry;</w:t>
      </w:r>
    </w:p>
    <w:p>
      <w:pPr>
        <w:spacing w:after="0" w:line="23"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and effectiveness of our internal control environment;</w:t>
      </w:r>
    </w:p>
    <w:p>
      <w:pPr>
        <w:spacing w:after="0" w:line="7"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extensive laws and regulations to which we are subject, including the laws for each jurisdiction where we operate;</w:t>
      </w:r>
    </w:p>
    <w:p>
      <w:pPr>
        <w:ind w:left="920" w:right="699" w:hanging="257"/>
        <w:spacing w:after="0" w:line="246" w:lineRule="auto"/>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and changes in accounting principles, policies, practices or guidelines, including the effects of the forthcoming implementation of the Current Expected Credit Losses (“CECL”) standard;</w:t>
      </w:r>
    </w:p>
    <w:p>
      <w:pPr>
        <w:ind w:left="920" w:right="679" w:hanging="257"/>
        <w:spacing w:after="0" w:line="244" w:lineRule="auto"/>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our lack of a diversified loan portfolio and concentration inthe South Florida market, including the risks of geographic, depositor, and industry concentrations, including our concentration in loans secured by real estate;</w:t>
      </w:r>
    </w:p>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ownership of our Class A common stock;</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Class A common stock;</w:t>
      </w:r>
    </w:p>
    <w:p>
      <w:pPr>
        <w:ind w:left="920" w:right="699" w:hanging="257"/>
        <w:spacing w:after="0" w:line="246" w:lineRule="auto"/>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 unemployment rate, market, and monetary fluctuations;</w:t>
      </w:r>
    </w:p>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and its effect on the pricing of our products and services as well as our margin;</w:t>
      </w:r>
    </w:p>
    <w:p>
      <w:pPr>
        <w:spacing w:after="0" w:line="7"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this earnings release and other filings we make with the Securities and Exchange Commission (“SEC”).</w:t>
      </w:r>
    </w:p>
    <w:p>
      <w:pPr>
        <w:spacing w:after="0" w:line="154" w:lineRule="exact"/>
        <w:rPr>
          <w:sz w:val="20"/>
          <w:szCs w:val="20"/>
          <w:color w:val="auto"/>
        </w:rPr>
      </w:pPr>
    </w:p>
    <w:p>
      <w:pPr>
        <w:jc w:val="both"/>
        <w:ind w:left="660" w:right="679"/>
        <w:spacing w:after="0" w:line="249" w:lineRule="auto"/>
        <w:rPr>
          <w:sz w:val="20"/>
          <w:szCs w:val="20"/>
          <w:color w:val="auto"/>
        </w:rPr>
      </w:pPr>
      <w:r>
        <w:rPr>
          <w:rFonts w:ascii="Times New Roman" w:cs="Times New Roman" w:eastAsia="Times New Roman" w:hAnsi="Times New Roman"/>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in December 2021, the Bank filed with the FDIC.</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61" w:lineRule="exact"/>
        <w:rPr>
          <w:sz w:val="20"/>
          <w:szCs w:val="20"/>
          <w:color w:val="auto"/>
        </w:rPr>
      </w:pPr>
    </w:p>
    <w:p>
      <w:pPr>
        <w:jc w:val="both"/>
        <w:ind w:left="660" w:right="679"/>
        <w:spacing w:after="0" w:line="248" w:lineRule="auto"/>
        <w:rPr>
          <w:sz w:val="20"/>
          <w:szCs w:val="20"/>
          <w:color w:val="auto"/>
        </w:rPr>
      </w:pPr>
      <w:r>
        <w:rPr>
          <w:rFonts w:ascii="Times New Roman" w:cs="Times New Roman" w:eastAsia="Times New Roman" w:hAnsi="Times New Roman"/>
          <w:sz w:val="14"/>
          <w:szCs w:val="14"/>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the exhibits to this earnings release.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You should assume that all numbers are unaudited unless otherwise noted.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InvestorRelations@uscentury.com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Media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Martha Guerra-Kattou</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3"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80" w:type="dxa"/>
            <w:vAlign w:val="bottom"/>
          </w:tcPr>
          <w:p>
            <w:pPr>
              <w:spacing w:after="0"/>
              <w:rPr>
                <w:sz w:val="11"/>
                <w:szCs w:val="11"/>
                <w:color w:val="auto"/>
              </w:rPr>
            </w:pPr>
          </w:p>
        </w:tc>
        <w:tc>
          <w:tcPr>
            <w:tcW w:w="1860" w:type="dxa"/>
            <w:vAlign w:val="bottom"/>
            <w:gridSpan w:val="5"/>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1"/>
        </w:trPr>
        <w:tc>
          <w:tcPr>
            <w:tcW w:w="36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15,954</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42,989</w:t>
            </w:r>
          </w:p>
        </w:tc>
        <w:tc>
          <w:tcPr>
            <w:tcW w:w="12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18,477</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50,503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41,691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963</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3,708</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13,471</w:t>
            </w:r>
          </w:p>
        </w:tc>
        <w:tc>
          <w:tcPr>
            <w:tcW w:w="2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46,795</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6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(160)</w:t>
            </w:r>
          </w:p>
        </w:tc>
        <w:tc>
          <w:tcPr>
            <w:tcW w:w="0" w:type="dxa"/>
            <w:vAlign w:val="bottom"/>
          </w:tcPr>
          <w:p>
            <w:pPr>
              <w:spacing w:after="0"/>
              <w:rPr>
                <w:sz w:val="1"/>
                <w:szCs w:val="1"/>
                <w:color w:val="auto"/>
              </w:rPr>
            </w:pPr>
          </w:p>
        </w:tc>
      </w:tr>
      <w:tr>
        <w:trPr>
          <w:trHeight w:val="140"/>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15,864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45,180</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(540)</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 settlement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17,863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4,080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10,132</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29,295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26,358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21,236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15,707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stock dividend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Exchange and redemption of preferred shares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89,585</w:t>
            </w:r>
          </w:p>
        </w:tc>
        <w:tc>
          <w:tcPr>
            <w:tcW w:w="20" w:type="dxa"/>
            <w:vAlign w:val="bottom"/>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available to common stockholders</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(83,534)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15,707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(76,235)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Allocation of net income (loss) per common stock class: </w:t>
            </w:r>
            <w:r>
              <w:rPr>
                <w:rFonts w:ascii="Times New Roman" w:cs="Times New Roman" w:eastAsia="Times New Roman" w:hAnsi="Times New Roman"/>
                <w:sz w:val="14"/>
                <w:szCs w:val="14"/>
                <w:color w:val="auto"/>
                <w:vertAlign w:val="superscript"/>
              </w:rPr>
              <w:t>(1)</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A</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(77,278)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15,707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(65,747)</w:t>
            </w:r>
          </w:p>
        </w:tc>
        <w:tc>
          <w:tcPr>
            <w:tcW w:w="0" w:type="dxa"/>
            <w:vAlign w:val="bottom"/>
          </w:tcPr>
          <w:p>
            <w:pPr>
              <w:spacing w:after="0"/>
              <w:rPr>
                <w:sz w:val="1"/>
                <w:szCs w:val="1"/>
                <w:color w:val="auto"/>
              </w:rPr>
            </w:pPr>
          </w:p>
        </w:tc>
      </w:tr>
      <w:tr>
        <w:trPr>
          <w:trHeight w:val="149"/>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B</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(6,256)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(10,488)</w:t>
            </w: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 xml:space="preserve">Per share information: </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Class A common stock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(loss) per share, basic</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(8.57)</w:t>
            </w:r>
          </w:p>
        </w:tc>
        <w:tc>
          <w:tcPr>
            <w:tcW w:w="0" w:type="dxa"/>
            <w:vAlign w:val="bottom"/>
          </w:tcPr>
          <w:p>
            <w:pPr>
              <w:spacing w:after="0"/>
              <w:rPr>
                <w:sz w:val="1"/>
                <w:szCs w:val="1"/>
                <w:color w:val="auto"/>
              </w:rPr>
            </w:pPr>
          </w:p>
        </w:tc>
      </w:tr>
      <w:tr>
        <w:trPr>
          <w:trHeight w:val="160"/>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(loss) per share, diluted</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0.78</w:t>
            </w:r>
          </w:p>
        </w:tc>
        <w:tc>
          <w:tcPr>
            <w:tcW w:w="12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(8.57)</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B common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loss per share, basic</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loss per share, diluted</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Class A common stock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Basic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15,121,460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19,998,841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7,674,609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20,148,208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15,121,460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20,178,089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7,674,609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B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Basic</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6,121,052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6,121,052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Diluted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6,121,052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6,121,052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660" w:right="699" w:firstLine="3"/>
        <w:spacing w:after="0" w:line="262" w:lineRule="auto"/>
        <w:tabs>
          <w:tab w:leader="none" w:pos="851"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three and nine months ended September 30, 2021, the allocation of net income available to common stockholders was based on the weighted average shares outstanding per common share class to the total weighted average shares outstanding during the period. The income allocation is calculated using the weighted average shares outstanding of Class B common stock on an as-converted basis (20% per share equivalent to Class A common stock).</w:t>
      </w:r>
    </w:p>
    <w:p>
      <w:pPr>
        <w:ind w:left="660" w:right="799" w:firstLine="3"/>
        <w:spacing w:after="0" w:line="286" w:lineRule="auto"/>
        <w:tabs>
          <w:tab w:leader="none" w:pos="851"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nine months ended September 30, 2021, the common stock outstanding, weighted average shares and net income per share for the Class A common stock have been adjusted to reflect the 1 for 5 reverse stock split that occurred in June 2021.</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12/31/2021</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9/30/2021</w:t>
            </w:r>
          </w:p>
        </w:tc>
        <w:tc>
          <w:tcPr>
            <w:tcW w:w="20" w:type="dxa"/>
            <w:vAlign w:val="bottom"/>
          </w:tcPr>
          <w:p>
            <w:pPr>
              <w:spacing w:after="0"/>
              <w:rPr>
                <w:sz w:val="11"/>
                <w:szCs w:val="11"/>
                <w:color w:val="auto"/>
              </w:rPr>
            </w:pPr>
          </w:p>
        </w:tc>
      </w:tr>
      <w:tr>
        <w:trPr>
          <w:trHeight w:val="13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15,642</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14,379</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13,471</w:t>
            </w:r>
          </w:p>
        </w:tc>
        <w:tc>
          <w:tcPr>
            <w:tcW w:w="20" w:type="dxa"/>
            <w:vAlign w:val="bottom"/>
          </w:tcPr>
          <w:p>
            <w:pPr>
              <w:spacing w:after="0"/>
              <w:rPr>
                <w:sz w:val="13"/>
                <w:szCs w:val="13"/>
                <w:color w:val="auto"/>
              </w:rPr>
            </w:pPr>
          </w:p>
        </w:tc>
      </w:tr>
      <w:tr>
        <w:trPr>
          <w:trHeight w:val="139"/>
        </w:trPr>
        <w:tc>
          <w:tcPr>
            <w:tcW w:w="3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40"/>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15,864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14,937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13,471</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856</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w:t>
            </w: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other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 settlement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 w:type="dxa"/>
            <w:vAlign w:val="bottom"/>
            <w:shd w:val="clear" w:color="auto" w:fill="CCEEFF"/>
          </w:tcPr>
          <w:p>
            <w:pPr>
              <w:spacing w:after="0"/>
              <w:rPr>
                <w:sz w:val="12"/>
                <w:szCs w:val="12"/>
                <w:color w:val="auto"/>
              </w:rPr>
            </w:pPr>
          </w:p>
        </w:tc>
      </w:tr>
      <w:tr>
        <w:trPr>
          <w:trHeight w:val="15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20" w:type="dxa"/>
            <w:vAlign w:val="bottom"/>
          </w:tcPr>
          <w:p>
            <w:pPr>
              <w:spacing w:after="0"/>
              <w:rPr>
                <w:sz w:val="13"/>
                <w:szCs w:val="13"/>
                <w:color w:val="auto"/>
              </w:rPr>
            </w:pPr>
          </w:p>
        </w:tc>
      </w:tr>
      <w:tr>
        <w:trPr>
          <w:trHeight w:val="120"/>
        </w:trPr>
        <w:tc>
          <w:tcPr>
            <w:tcW w:w="3240" w:type="dxa"/>
            <w:vAlign w:val="bottom"/>
            <w:tcBorders>
              <w:top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1,789</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1,617</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1,945</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2,644</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4,217</w:t>
            </w:r>
          </w:p>
        </w:tc>
        <w:tc>
          <w:tcPr>
            <w:tcW w:w="20" w:type="dxa"/>
            <w:vAlign w:val="bottom"/>
            <w:shd w:val="clear" w:color="auto" w:fill="CCEEFF"/>
          </w:tcPr>
          <w:p>
            <w:pPr>
              <w:spacing w:after="0"/>
              <w:rPr>
                <w:sz w:val="10"/>
                <w:szCs w:val="10"/>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5,313</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20" w:type="dxa"/>
            <w:vAlign w:val="bottom"/>
            <w:shd w:val="clear" w:color="auto" w:fill="CCEEFF"/>
          </w:tcPr>
          <w:p>
            <w:pPr>
              <w:spacing w:after="0"/>
              <w:rPr>
                <w:sz w:val="12"/>
                <w:szCs w:val="12"/>
                <w:color w:val="auto"/>
              </w:rPr>
            </w:pPr>
          </w:p>
        </w:tc>
      </w:tr>
      <w:tr>
        <w:trPr>
          <w:trHeight w:val="140"/>
        </w:trPr>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10,132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9,551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9,612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9,319</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9,007</w:t>
            </w:r>
          </w:p>
        </w:tc>
        <w:tc>
          <w:tcPr>
            <w:tcW w:w="20" w:type="dxa"/>
            <w:vAlign w:val="bottom"/>
          </w:tcPr>
          <w:p>
            <w:pPr>
              <w:spacing w:after="0"/>
              <w:rPr>
                <w:sz w:val="12"/>
                <w:szCs w:val="12"/>
                <w:color w:val="auto"/>
              </w:rPr>
            </w:pPr>
          </w:p>
        </w:tc>
      </w:tr>
      <w:tr>
        <w:trPr>
          <w:trHeight w:val="12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7,521</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8,681</w:t>
            </w:r>
          </w:p>
        </w:tc>
        <w:tc>
          <w:tcPr>
            <w:tcW w:w="20" w:type="dxa"/>
            <w:vAlign w:val="bottom"/>
            <w:shd w:val="clear" w:color="auto" w:fill="CCEEFF"/>
          </w:tcPr>
          <w:p>
            <w:pPr>
              <w:spacing w:after="0"/>
              <w:rPr>
                <w:sz w:val="11"/>
                <w:szCs w:val="11"/>
                <w:color w:val="auto"/>
              </w:rPr>
            </w:pPr>
          </w:p>
        </w:tc>
      </w:tr>
      <w:tr>
        <w:trPr>
          <w:trHeight w:val="149"/>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20" w:type="dxa"/>
            <w:vAlign w:val="bottom"/>
          </w:tcPr>
          <w:p>
            <w:pPr>
              <w:spacing w:after="0"/>
              <w:rPr>
                <w:sz w:val="12"/>
                <w:szCs w:val="12"/>
                <w:color w:val="auto"/>
              </w:rPr>
            </w:pPr>
          </w:p>
        </w:tc>
      </w:tr>
      <w:tr>
        <w:trPr>
          <w:trHeight w:val="12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0" w:type="dxa"/>
            <w:vAlign w:val="bottom"/>
            <w:shd w:val="clear" w:color="auto" w:fill="CCEEFF"/>
          </w:tcPr>
          <w:p>
            <w:pPr>
              <w:spacing w:after="0"/>
              <w:rPr>
                <w:sz w:val="11"/>
                <w:szCs w:val="11"/>
                <w:color w:val="auto"/>
              </w:rPr>
            </w:pPr>
          </w:p>
        </w:tc>
      </w:tr>
      <w:tr>
        <w:trPr>
          <w:trHeight w:val="160"/>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 dividend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0" w:type="dxa"/>
            <w:vAlign w:val="bottom"/>
          </w:tcPr>
          <w:p>
            <w:pPr>
              <w:spacing w:after="0"/>
              <w:rPr>
                <w:sz w:val="13"/>
                <w:szCs w:val="13"/>
                <w:color w:val="auto"/>
              </w:rPr>
            </w:pPr>
          </w:p>
        </w:tc>
      </w:tr>
      <w:tr>
        <w:trPr>
          <w:trHeight w:val="13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89,585</w:t>
            </w:r>
          </w:p>
        </w:tc>
        <w:tc>
          <w:tcPr>
            <w:tcW w:w="20" w:type="dxa"/>
            <w:vAlign w:val="bottom"/>
            <w:shd w:val="clear" w:color="auto" w:fill="CCEEFF"/>
          </w:tcPr>
          <w:p>
            <w:pPr>
              <w:spacing w:after="0"/>
              <w:rPr>
                <w:sz w:val="12"/>
                <w:szCs w:val="12"/>
                <w:color w:val="auto"/>
              </w:rPr>
            </w:pPr>
          </w:p>
        </w:tc>
      </w:tr>
      <w:tr>
        <w:trPr>
          <w:trHeight w:val="180"/>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(loss) available to common stockholders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(83,534)</w:t>
            </w:r>
          </w:p>
        </w:tc>
      </w:tr>
      <w:tr>
        <w:trPr>
          <w:trHeight w:val="121"/>
        </w:trPr>
        <w:tc>
          <w:tcPr>
            <w:tcW w:w="324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Allocation of net income (loss) per common stock class: </w:t>
            </w:r>
            <w:r>
              <w:rPr>
                <w:rFonts w:ascii="Times New Roman" w:cs="Times New Roman" w:eastAsia="Times New Roman" w:hAnsi="Times New Roman"/>
                <w:sz w:val="14"/>
                <w:szCs w:val="14"/>
                <w:color w:val="auto"/>
                <w:vertAlign w:val="superscript"/>
              </w:rPr>
              <w:t>(1)</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49"/>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Class A</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(77,278)</w:t>
            </w:r>
          </w:p>
        </w:tc>
      </w:tr>
      <w:tr>
        <w:trPr>
          <w:trHeight w:val="14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Class B</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(6,256)</w:t>
            </w:r>
          </w:p>
        </w:tc>
      </w:tr>
      <w:tr>
        <w:trPr>
          <w:trHeight w:val="149"/>
        </w:trPr>
        <w:tc>
          <w:tcPr>
            <w:tcW w:w="3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A common stock</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(loss) per share, basic</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(5.11)</w:t>
            </w:r>
          </w:p>
        </w:tc>
      </w:tr>
      <w:tr>
        <w:trPr>
          <w:trHeight w:val="14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(loss) per share, diluted</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(5.11)</w:t>
            </w: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B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loss per share, basic</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(1.02)</w:t>
            </w:r>
          </w:p>
        </w:tc>
      </w:tr>
      <w:tr>
        <w:trPr>
          <w:trHeight w:val="149"/>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loss per share, diluted</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(1.02)</w:t>
            </w:r>
          </w:p>
        </w:tc>
      </w:tr>
      <w:tr>
        <w:trPr>
          <w:trHeight w:val="1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73,326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83,272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94,113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46,228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69,597</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248,571</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339,464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392,214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401,542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328,171</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178,865</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116,671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122,361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122,658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99,866</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427,436</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456,135</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514,575</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524,200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428,037</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(2)</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1,431,513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1,372,733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1,258,388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1,190,081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1,176,412</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(16,604)</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(15,786)</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(15,074)</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(15,057)</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(14,900)</w:t>
            </w: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2,037,453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2,016,086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1,967,252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1,853,939</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1,755,011</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662,808</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653,708</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656,622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605,425</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570,091</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1,133,834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1,085,012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1,056,672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984,954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914,498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1,796,642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1,738,720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1,713,294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1,590,379</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1,484,589</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1,860,036</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1,836,018</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1,775,213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1,650,042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1,553,093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201,918</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Capital ratios:</w:t>
            </w:r>
            <w:r>
              <w:rPr>
                <w:rFonts w:ascii="Times New Roman" w:cs="Times New Roman" w:eastAsia="Times New Roman" w:hAnsi="Times New Roman"/>
                <w:sz w:val="14"/>
                <w:szCs w:val="14"/>
                <w:color w:val="auto"/>
                <w:vertAlign w:val="superscript"/>
              </w:rPr>
              <w:t>(3)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13.85%</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15.10%</w:t>
            </w:r>
          </w:p>
        </w:tc>
        <w:tc>
          <w:tcPr>
            <w:tcW w:w="20" w:type="dxa"/>
            <w:vAlign w:val="bottom"/>
            <w:shd w:val="clear" w:color="auto" w:fill="CCEEFF"/>
          </w:tcPr>
          <w:p>
            <w:pPr>
              <w:spacing w:after="0"/>
              <w:rPr>
                <w:sz w:val="12"/>
                <w:szCs w:val="12"/>
                <w:color w:val="auto"/>
              </w:rPr>
            </w:pPr>
          </w:p>
        </w:tc>
      </w:tr>
    </w:tbl>
    <w:p>
      <w:pPr>
        <w:spacing w:after="0" w:line="110" w:lineRule="exact"/>
        <w:rPr>
          <w:sz w:val="20"/>
          <w:szCs w:val="20"/>
          <w:color w:val="auto"/>
        </w:rPr>
      </w:pPr>
    </w:p>
    <w:p>
      <w:pPr>
        <w:ind w:left="660" w:right="779" w:firstLine="3"/>
        <w:spacing w:after="0" w:line="257" w:lineRule="auto"/>
        <w:tabs>
          <w:tab w:leader="none" w:pos="851"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allocation of net income (loss) available to common stockholders was based on the weighted average shares outstanding per common share class to the total weighted average shares outstanding during each period. The income (loss) allocation is calculated using the weighted average shares outstanding of Class B common stock on an as-converted basis (20% per share equivalent to Class A common stock).</w:t>
      </w:r>
    </w:p>
    <w:p>
      <w:pPr>
        <w:ind w:left="860" w:hanging="197"/>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1" w:lineRule="exact"/>
        <w:rPr>
          <w:rFonts w:ascii="Times New Roman" w:cs="Times New Roman" w:eastAsia="Times New Roman" w:hAnsi="Times New Roman"/>
          <w:sz w:val="11"/>
          <w:szCs w:val="11"/>
          <w:color w:val="auto"/>
        </w:rPr>
      </w:pPr>
    </w:p>
    <w:p>
      <w:pPr>
        <w:ind w:left="660" w:right="1059" w:firstLine="3"/>
        <w:spacing w:after="0" w:line="283" w:lineRule="auto"/>
        <w:tabs>
          <w:tab w:leader="none" w:pos="851"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was formed during the quarter ended December31, 2021. As such, the capital ratios for Q3 2022, Q2 2022, Q1 2022 and Q4 2021 are for the Company and for Q3 2021 are for the Bank. The Company, as a small bank holding company, is not subject to regulatory capital requirements.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6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9/30/2021</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77,887</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80,254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99,911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87,819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116,622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331,206</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370,933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385,748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374,589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346,407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116,733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120,130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122,381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114,108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51,238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447,939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491,063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508,129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488,697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397,645</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1,398,761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1,296,476</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1,211,432</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1,158,755</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1,144,275</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1,741,423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1,107,129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1,071,709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1,023,844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958,241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912,330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655,853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644,975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626,400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603,735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564,928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1,762,982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1,716,684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1,650,244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1,561,976</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1,477,258</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43,935</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36,330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36,011</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1,841,503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1,781,784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1,711,624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1,625,675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1,546,414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185,288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186,597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201,860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202,362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195,009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income to average assets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186,551</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203,662</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204,317</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201,359</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201,124</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928,531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843,445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782,072</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704,988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693,469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121,145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131,271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134,832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146,592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137,486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banks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94,450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84,770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63,985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59,491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58,839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100,845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109,250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73,765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87,515</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82,778%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Non-accrual loans less non-accrual TDRs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Non-accrual TDRs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over 90 days past due and accruing</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assets to total assets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(51)</w:t>
            </w: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0" w:type="dxa"/>
            <w:vAlign w:val="bottom"/>
            <w:shd w:val="clear" w:color="auto" w:fill="CCEEFF"/>
          </w:tcPr>
          <w:p>
            <w:pPr>
              <w:spacing w:after="0"/>
              <w:rPr>
                <w:sz w:val="13"/>
                <w:szCs w:val="13"/>
                <w:color w:val="auto"/>
              </w:rPr>
            </w:pPr>
          </w:p>
        </w:tc>
      </w:tr>
    </w:tbl>
    <w:p>
      <w:pPr>
        <w:spacing w:after="0" w:line="153" w:lineRule="exact"/>
        <w:rPr>
          <w:sz w:val="20"/>
          <w:szCs w:val="20"/>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33" w:lineRule="exact"/>
        <w:rPr>
          <w:rFonts w:ascii="Times New Roman" w:cs="Times New Roman" w:eastAsia="Times New Roman" w:hAnsi="Times New Roman"/>
          <w:sz w:val="11"/>
          <w:szCs w:val="11"/>
          <w:color w:val="auto"/>
        </w:rPr>
      </w:pPr>
    </w:p>
    <w:p>
      <w:pPr>
        <w:ind w:left="660" w:right="739" w:firstLine="3"/>
        <w:spacing w:after="0" w:line="283" w:lineRule="auto"/>
        <w:tabs>
          <w:tab w:leader="none" w:pos="851"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for total non-performing loans and total non-performingassets are the same for the dates presented since there were no impaired investments or other real estate owned (OREO)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12"/>
          </w:tcPr>
          <w:p>
            <w:pPr>
              <w:ind w:left="5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0"/>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4"/>
          </w:tcPr>
          <w:p>
            <w:pPr>
              <w:jc w:val="right"/>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2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1"/>
                <w:szCs w:val="11"/>
                <w:color w:val="auto"/>
              </w:rPr>
            </w:pPr>
          </w:p>
        </w:tc>
      </w:tr>
      <w:tr>
        <w:trPr>
          <w:trHeight w:val="160"/>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color w:val="auto"/>
                <w:vertAlign w:val="superscript"/>
              </w:rPr>
              <w:t>(2)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1,398,761</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15,954</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1,144,275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12,538</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450,514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399,745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70,540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109,639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1,919,815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18,477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1,653,659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106,976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1,741,423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4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55,621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823,521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627,654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217,023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0.66%</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1,107,129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1,523</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912,330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43,935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1,151,064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1,703</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948,330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655,853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564,928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34,586</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33,156</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51"/>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1,841,503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1,546,414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185,288</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195,009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40"/>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1,741,423</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 xml:space="preserve">Net interest spread </w:t>
            </w:r>
            <w:r>
              <w:rPr>
                <w:rFonts w:ascii="Times New Roman" w:cs="Times New Roman" w:eastAsia="Times New Roman" w:hAnsi="Times New Roman"/>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3.23%</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3.03%</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212"/>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12" w:lineRule="exact"/>
        <w:rPr>
          <w:sz w:val="20"/>
          <w:szCs w:val="20"/>
          <w:color w:val="auto"/>
        </w:rPr>
      </w:pPr>
    </w:p>
    <w:p>
      <w:pPr>
        <w:ind w:left="860" w:hanging="197"/>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on total interest-earning assets minus the average rate on total interest-bearing liabilities.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8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9/30/2021</w:t>
            </w:r>
          </w:p>
        </w:tc>
        <w:tc>
          <w:tcPr>
            <w:tcW w:w="20" w:type="dxa"/>
            <w:vAlign w:val="bottom"/>
          </w:tcPr>
          <w:p>
            <w:pPr>
              <w:spacing w:after="0"/>
              <w:rPr>
                <w:sz w:val="12"/>
                <w:szCs w:val="12"/>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Pre-tax pre-provision ("PTPP")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8,681</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1,741,423</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w:t>
            </w: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0" w:type="dxa"/>
            <w:vAlign w:val="bottom"/>
            <w:shd w:val="clear" w:color="auto" w:fill="CCEEFF"/>
          </w:tcPr>
          <w:p>
            <w:pPr>
              <w:spacing w:after="0"/>
              <w:rPr>
                <w:sz w:val="13"/>
                <w:szCs w:val="13"/>
                <w:color w:val="auto"/>
              </w:rPr>
            </w:pPr>
          </w:p>
        </w:tc>
      </w:tr>
      <w:tr>
        <w:trPr>
          <w:trHeight w:val="191"/>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6,646</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PTPP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8,431</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8,681</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w:t>
            </w:r>
          </w:p>
        </w:tc>
      </w:tr>
      <w:tr>
        <w:trPr>
          <w:trHeight w:val="151"/>
        </w:trPr>
        <w:tc>
          <w:tcPr>
            <w:tcW w:w="32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PTPP income</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8,989</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7,366</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PTPP return on 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8,989</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7,366</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8,751</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1,741,423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Operating PTPP return on average assets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6,646</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1,741,423</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Operating return on average assets </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 w:type="dxa"/>
            <w:vAlign w:val="bottom"/>
            <w:shd w:val="clear" w:color="auto" w:fill="CCEEFF"/>
          </w:tcPr>
          <w:p>
            <w:pPr>
              <w:spacing w:after="0"/>
              <w:rPr>
                <w:sz w:val="14"/>
                <w:szCs w:val="14"/>
                <w:color w:val="auto"/>
              </w:rPr>
            </w:pPr>
          </w:p>
        </w:tc>
      </w:tr>
    </w:tbl>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(1)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6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8"/>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0" w:type="dxa"/>
            <w:vAlign w:val="bottom"/>
            <w:tcBorders>
              <w:bottom w:val="single" w:sz="8" w:color="CCEEFF"/>
            </w:tcBorders>
          </w:tcPr>
          <w:p>
            <w:pPr>
              <w:spacing w:after="0"/>
              <w:rPr>
                <w:sz w:val="11"/>
                <w:szCs w:val="11"/>
                <w:color w:val="auto"/>
              </w:rPr>
            </w:pPr>
          </w:p>
        </w:tc>
        <w:tc>
          <w:tcPr>
            <w:tcW w:w="3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bottom w:val="single" w:sz="8" w:color="CCEEFF"/>
            </w:tcBorders>
            <w:shd w:val="clear" w:color="auto" w:fill="CCEEFF"/>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201,918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Class A common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19,991,753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18,767,541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B common shares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1,224,212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19,991,753</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19,991,753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(3)</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net income available to common stockholders: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Preferred dividends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1"/>
                <w:szCs w:val="11"/>
                <w:color w:val="auto"/>
              </w:rPr>
              <w:t>Less: Exchange and redemption of preferred shares</w:t>
            </w:r>
            <w:r>
              <w:rPr>
                <w:rFonts w:ascii="Times New Roman" w:cs="Times New Roman" w:eastAsia="Times New Roman" w:hAnsi="Times New Roman"/>
                <w:sz w:val="14"/>
                <w:szCs w:val="14"/>
                <w:color w:val="auto"/>
                <w:vertAlign w:val="superscript"/>
              </w:rPr>
              <w:t>(2)</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0" w:type="dxa"/>
            <w:vAlign w:val="bottom"/>
            <w:tcBorders>
              <w:top w:val="single" w:sz="8" w:color="CCEEFF"/>
            </w:tcBorders>
            <w:shd w:val="clear" w:color="auto" w:fill="CCEEFF"/>
          </w:tcPr>
          <w:p>
            <w:pPr>
              <w:spacing w:after="0"/>
              <w:rPr>
                <w:sz w:val="10"/>
                <w:szCs w:val="10"/>
                <w:color w:val="auto"/>
              </w:rPr>
            </w:pPr>
          </w:p>
        </w:tc>
        <w:tc>
          <w:tcPr>
            <w:tcW w:w="3120" w:type="dxa"/>
            <w:vAlign w:val="bottom"/>
            <w:tcBorders>
              <w:top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Net income (loss) available to common stockholders</w:t>
            </w: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5,558</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5,295</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4,854</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(83,534)</w:t>
            </w:r>
          </w:p>
        </w:tc>
        <w:tc>
          <w:tcPr>
            <w:tcW w:w="0" w:type="dxa"/>
            <w:vAlign w:val="bottom"/>
          </w:tcPr>
          <w:p>
            <w:pPr>
              <w:spacing w:after="0"/>
              <w:rPr>
                <w:sz w:val="1"/>
                <w:szCs w:val="1"/>
                <w:color w:val="auto"/>
              </w:rPr>
            </w:pPr>
          </w:p>
        </w:tc>
      </w:tr>
      <w:tr>
        <w:trPr>
          <w:trHeight w:val="160"/>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1"/>
                <w:szCs w:val="11"/>
                <w:color w:val="auto"/>
              </w:rPr>
              <w:t>Add back: Exchange and redemption of preferred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89,585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net income avail. to common stock</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6,051</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Allocation of operating net income per common stock class: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3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Class B common stock</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Class A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Basic</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19,994,953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18,913,914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15,121,460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Diluted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20,148,208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20,171,261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20,109,783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19,023,686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15,121,460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B common stock</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Basic</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6,121,052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6,121,052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Diluted EPS: </w:t>
            </w:r>
            <w:r>
              <w:rPr>
                <w:rFonts w:ascii="Times New Roman" w:cs="Times New Roman" w:eastAsia="Times New Roman" w:hAnsi="Times New Roman"/>
                <w:sz w:val="14"/>
                <w:szCs w:val="14"/>
                <w:color w:val="auto"/>
                <w:vertAlign w:val="superscript"/>
              </w:rPr>
              <w:t>(4) (5)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(loss) per diluted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(5.11)</w:t>
            </w:r>
          </w:p>
        </w:tc>
        <w:tc>
          <w:tcPr>
            <w:tcW w:w="0" w:type="dxa"/>
            <w:vAlign w:val="bottom"/>
          </w:tcPr>
          <w:p>
            <w:pPr>
              <w:spacing w:after="0"/>
              <w:rPr>
                <w:sz w:val="1"/>
                <w:szCs w:val="1"/>
                <w:color w:val="auto"/>
              </w:rPr>
            </w:pPr>
          </w:p>
        </w:tc>
      </w:tr>
      <w:tr>
        <w:trPr>
          <w:trHeight w:val="149"/>
        </w:trPr>
        <w:tc>
          <w:tcPr>
            <w:tcW w:w="200" w:type="dxa"/>
            <w:vAlign w:val="bottom"/>
            <w:tcBorders>
              <w:bottom w:val="single" w:sz="8" w:color="CCEEFF"/>
            </w:tcBorders>
            <w:shd w:val="clear" w:color="auto" w:fill="CCEEFF"/>
          </w:tcPr>
          <w:p>
            <w:pPr>
              <w:spacing w:after="0"/>
              <w:rPr>
                <w:sz w:val="12"/>
                <w:szCs w:val="12"/>
                <w:color w:val="auto"/>
              </w:rPr>
            </w:pPr>
          </w:p>
        </w:tc>
        <w:tc>
          <w:tcPr>
            <w:tcW w:w="3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Add back: 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net income per diluted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1"/>
                <w:szCs w:val="11"/>
                <w:color w:val="auto"/>
              </w:rPr>
              <w:t>Class B common stock</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(loss) per diluted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49"/>
        </w:trPr>
        <w:tc>
          <w:tcPr>
            <w:tcW w:w="200" w:type="dxa"/>
            <w:vAlign w:val="bottom"/>
            <w:tcBorders>
              <w:bottom w:val="single" w:sz="8" w:color="CCEEFF"/>
            </w:tcBorders>
            <w:shd w:val="clear" w:color="auto" w:fill="CCEEFF"/>
          </w:tcPr>
          <w:p>
            <w:pPr>
              <w:spacing w:after="0"/>
              <w:rPr>
                <w:sz w:val="12"/>
                <w:szCs w:val="12"/>
                <w:color w:val="auto"/>
              </w:rPr>
            </w:pPr>
          </w:p>
        </w:tc>
        <w:tc>
          <w:tcPr>
            <w:tcW w:w="3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Add back: 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net income per diluted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860" w:hanging="197"/>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22" w:lineRule="exact"/>
        <w:rPr>
          <w:rFonts w:ascii="Times New Roman" w:cs="Times New Roman" w:eastAsia="Times New Roman" w:hAnsi="Times New Roman"/>
          <w:sz w:val="11"/>
          <w:szCs w:val="11"/>
          <w:color w:val="auto"/>
        </w:rPr>
      </w:pPr>
    </w:p>
    <w:p>
      <w:pPr>
        <w:ind w:left="660" w:right="779" w:firstLine="3"/>
        <w:spacing w:after="0" w:line="260" w:lineRule="auto"/>
        <w:tabs>
          <w:tab w:leader="none" w:pos="851"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quarter ended September 30, 2021, 47,473 shares of Class C preferred stock and 11,061,552 shares of Class D preferred stock were converted into 10,278,072 shares of Class A common stock. Additionally, the Bank closed on the initial public offering of its Class A common stock on July 27, 2021, in which it issued 4,600,000 shares of Class A common stock. As such, the total shares issued and outstanding of Class A common stock was 18,767,541 shares at September 30, 2021.</w:t>
      </w:r>
    </w:p>
    <w:p>
      <w:pPr>
        <w:spacing w:after="0" w:line="12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 options.</w:t>
      </w:r>
    </w:p>
    <w:p>
      <w:pPr>
        <w:spacing w:after="0" w:line="9" w:lineRule="exact"/>
        <w:rPr>
          <w:rFonts w:ascii="Times New Roman" w:cs="Times New Roman" w:eastAsia="Times New Roman" w:hAnsi="Times New Roman"/>
          <w:sz w:val="11"/>
          <w:szCs w:val="11"/>
          <w:color w:val="auto"/>
        </w:rPr>
      </w:pPr>
    </w:p>
    <w:p>
      <w:pPr>
        <w:ind w:left="660" w:right="979" w:firstLine="3"/>
        <w:spacing w:after="0" w:line="264" w:lineRule="auto"/>
        <w:tabs>
          <w:tab w:leader="none" w:pos="851"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quarter ended September 30, 2021, basic net loss per share is the same as diluted net loss per share as the inclusion of all potential common shares outstanding would have been antidilutive.</w:t>
      </w:r>
    </w:p>
    <w:p>
      <w:pPr>
        <w:ind w:left="660" w:right="799" w:firstLine="3"/>
        <w:spacing w:after="0" w:line="258" w:lineRule="auto"/>
        <w:tabs>
          <w:tab w:leader="none" w:pos="851"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quarter ended December 31, 2021, the Company entered into agreements with the Class B common shareholders to exchange all outstanding Class B non-voting common stock for Class A voting common stock at a ratio of 1 share of Class A common stock for each 5 shares of Class B non-voting common stock. In calculating net income (loss) per diluted share for the prior quarters presented, the allocation of operating net income available to common stockholders was based on the weighted average shares outstanding per common share class to the total weighted average shares outstanding during each period. The operating net income allocation was calculated using the weighted average shares outstanding of Class B common stock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2022-10-27T15:16:56Z</dcterms:created>
  <dcterms:modified xsi:type="dcterms:W3CDTF">2022-10-27T15:16:56Z</dcterms:modified>
</cp:coreProperties>
</file>