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6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18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311150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USCB Financial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$1.00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90355N101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14,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44" w:hanging="444"/>
        <w:spacing w:after="0" w:line="308" w:lineRule="auto"/>
        <w:tabs>
          <w:tab w:leader="none" w:pos="44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CUSIP No. 90355N101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Endeavour Capital Advisors Inc.</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3"/>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2"/>
              </w:rPr>
              <w:t>Delaware</w:t>
            </w: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3"/>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gridSpan w:val="3"/>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6"/>
              </w:rPr>
              <w:t>995,209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IA</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490"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90355N101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Endeavour Regional Bank Opportunities Fund II LP.</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3"/>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2"/>
              </w:rPr>
              <w:t>Delaware</w:t>
            </w: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3"/>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gridSpan w:val="3"/>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6"/>
              </w:rPr>
              <w:t>995,209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490"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90355N101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Laurence M. Austin</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3"/>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3"/>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tcPr>
          <w:p>
            <w:pPr>
              <w:jc w:val="center"/>
              <w:ind w:right="21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gridSpan w:val="3"/>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6"/>
              </w:rPr>
              <w:t>995,209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IN, HC</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490"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90355N101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8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Mitchell J. Katz</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60" w:type="dxa"/>
            <w:vAlign w:val="bottom"/>
            <w:tcBorders>
              <w:bottom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80" w:type="dxa"/>
            <w:vAlign w:val="bottom"/>
            <w:gridSpan w:val="4"/>
          </w:tcPr>
          <w:p>
            <w:pPr>
              <w:ind w:left="200"/>
              <w:spacing w:after="0"/>
              <w:rPr>
                <w:sz w:val="20"/>
                <w:szCs w:val="20"/>
                <w:color w:val="auto"/>
              </w:rPr>
            </w:pPr>
            <w:r>
              <w:rPr>
                <w:rFonts w:ascii="Arial" w:cs="Arial" w:eastAsia="Arial" w:hAnsi="Arial"/>
                <w:sz w:val="18"/>
                <w:szCs w:val="18"/>
                <w:color w:val="auto"/>
                <w:w w:val="91"/>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3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22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right w:val="single" w:sz="8" w:color="auto"/>
            </w:tcBorders>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tcPr>
          <w:p>
            <w:pPr>
              <w:jc w:val="center"/>
              <w:ind w:right="211"/>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28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2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9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44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93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780" w:type="dxa"/>
            <w:vAlign w:val="bottom"/>
          </w:tcPr>
          <w:p>
            <w:pPr>
              <w:ind w:left="200"/>
              <w:spacing w:after="0"/>
              <w:rPr>
                <w:sz w:val="20"/>
                <w:szCs w:val="20"/>
                <w:color w:val="auto"/>
              </w:rPr>
            </w:pPr>
            <w:r>
              <w:rPr>
                <w:rFonts w:ascii="Arial" w:cs="Arial" w:eastAsia="Arial" w:hAnsi="Arial"/>
                <w:sz w:val="16"/>
                <w:szCs w:val="16"/>
                <w:color w:val="auto"/>
                <w:w w:val="73"/>
              </w:rPr>
              <w:t>Aggregate</w:t>
            </w:r>
          </w:p>
        </w:tc>
        <w:tc>
          <w:tcPr>
            <w:tcW w:w="97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2"/>
              </w:rPr>
              <w:t>995,209</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440" w:type="dxa"/>
            <w:vAlign w:val="bottom"/>
            <w:tcBorders>
              <w:left w:val="single" w:sz="8" w:color="auto"/>
              <w:right w:val="single" w:sz="8" w:color="auto"/>
            </w:tcBorders>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IN, HC</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490"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90355N101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48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w w:val="93"/>
              </w:rPr>
              <w:t>Jonah Marcus</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60" w:type="dxa"/>
            <w:vAlign w:val="bottom"/>
            <w:tcBorders>
              <w:bottom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80" w:type="dxa"/>
            <w:vAlign w:val="bottom"/>
            <w:gridSpan w:val="4"/>
          </w:tcPr>
          <w:p>
            <w:pPr>
              <w:ind w:left="200"/>
              <w:spacing w:after="0"/>
              <w:rPr>
                <w:sz w:val="20"/>
                <w:szCs w:val="20"/>
                <w:color w:val="auto"/>
              </w:rPr>
            </w:pPr>
            <w:r>
              <w:rPr>
                <w:rFonts w:ascii="Arial" w:cs="Arial" w:eastAsia="Arial" w:hAnsi="Arial"/>
                <w:sz w:val="18"/>
                <w:szCs w:val="18"/>
                <w:color w:val="auto"/>
                <w:w w:val="91"/>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Borders>
              <w:left w:val="single" w:sz="8" w:color="auto"/>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3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22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right w:val="single" w:sz="8" w:color="auto"/>
            </w:tcBorders>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78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0"/>
                <w:szCs w:val="20"/>
                <w:color w:val="auto"/>
              </w:rPr>
            </w:pPr>
          </w:p>
        </w:tc>
        <w:tc>
          <w:tcPr>
            <w:tcW w:w="2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Borders>
              <w:left w:val="single" w:sz="8" w:color="auto"/>
            </w:tcBorders>
          </w:tcPr>
          <w:p>
            <w:pPr>
              <w:spacing w:after="0"/>
              <w:rPr>
                <w:sz w:val="15"/>
                <w:szCs w:val="15"/>
                <w:color w:val="auto"/>
              </w:rPr>
            </w:pPr>
          </w:p>
        </w:tc>
        <w:tc>
          <w:tcPr>
            <w:tcW w:w="780" w:type="dxa"/>
            <w:vAlign w:val="bottom"/>
            <w:tcBorders>
              <w:right w:val="single" w:sz="8" w:color="auto"/>
            </w:tcBorders>
          </w:tcPr>
          <w:p>
            <w:pPr>
              <w:jc w:val="center"/>
              <w:ind w:right="211"/>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28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92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780" w:type="dxa"/>
            <w:vAlign w:val="bottom"/>
            <w:tcBorders>
              <w:right w:val="single" w:sz="8" w:color="auto"/>
            </w:tcBorders>
          </w:tcPr>
          <w:p>
            <w:pPr>
              <w:jc w:val="center"/>
              <w:ind w:right="211"/>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780" w:type="dxa"/>
            <w:vAlign w:val="bottom"/>
            <w:tcBorders>
              <w:right w:val="single" w:sz="8" w:color="auto"/>
            </w:tcBorders>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Borders>
              <w:lef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9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440" w:type="dxa"/>
            <w:vAlign w:val="bottom"/>
            <w:tcBorders>
              <w:lef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995,209</w:t>
            </w: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93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780" w:type="dxa"/>
            <w:vAlign w:val="bottom"/>
          </w:tcPr>
          <w:p>
            <w:pPr>
              <w:ind w:left="200"/>
              <w:spacing w:after="0"/>
              <w:rPr>
                <w:sz w:val="20"/>
                <w:szCs w:val="20"/>
                <w:color w:val="auto"/>
              </w:rPr>
            </w:pPr>
            <w:r>
              <w:rPr>
                <w:rFonts w:ascii="Arial" w:cs="Arial" w:eastAsia="Arial" w:hAnsi="Arial"/>
                <w:sz w:val="16"/>
                <w:szCs w:val="16"/>
                <w:color w:val="auto"/>
                <w:w w:val="73"/>
              </w:rPr>
              <w:t>Aggregate</w:t>
            </w:r>
          </w:p>
        </w:tc>
        <w:tc>
          <w:tcPr>
            <w:tcW w:w="97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2"/>
              </w:rPr>
              <w:t>995,209</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440" w:type="dxa"/>
            <w:vAlign w:val="bottom"/>
            <w:tcBorders>
              <w:left w:val="single" w:sz="8" w:color="auto"/>
              <w:right w:val="single" w:sz="8" w:color="auto"/>
            </w:tcBorders>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IN, HC</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490" w:right="559" w:bottom="1440" w:gutter="0" w:footer="0" w:header="0"/>
        </w:sectPr>
      </w:pPr>
    </w:p>
    <w:bookmarkStart w:id="6" w:name="page7"/>
    <w:bookmarkEnd w:id="6"/>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USCB Financial Holdings, Inc. (the “Issuer”)</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1(b)</w:t>
      </w:r>
      <w:r>
        <w:rPr>
          <w:sz w:val="20"/>
          <w:szCs w:val="20"/>
          <w:color w:val="auto"/>
        </w:rPr>
        <w:tab/>
      </w:r>
      <w:r>
        <w:rPr>
          <w:rFonts w:ascii="Arial" w:cs="Arial" w:eastAsia="Arial" w:hAnsi="Arial"/>
          <w:sz w:val="18"/>
          <w:szCs w:val="18"/>
          <w:b w:val="1"/>
          <w:bCs w:val="1"/>
          <w:color w:val="auto"/>
        </w:rPr>
        <w:t>Address of the Issuer’s Principal Executive Offices: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2301 N.W. 87th Avenue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Doral, Florida 33172</w:t>
      </w:r>
    </w:p>
    <w:p>
      <w:pPr>
        <w:spacing w:after="0" w:line="35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This Schedule 13G is being jointly filed by each of the following persons pursuant to Rule 13d-1(k)(1) promulgated by the Securities and Exchange Commission pursuant to Section 13 of the Act: (i) Endeavour Capital Advisors Inc. (“Endeavour”), (ii) Endeavour Regional Bank Opportunities Fund II L.P. (the “Fund”), (iii) Laurence M. Austin, (iv) Mitchell J. Katz and (v) Jonah Marcus.</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2(b)</w:t>
      </w:r>
      <w:r>
        <w:rPr>
          <w:sz w:val="20"/>
          <w:szCs w:val="20"/>
          <w:color w:val="auto"/>
        </w:rPr>
        <w:tab/>
      </w:r>
      <w:r>
        <w:rPr>
          <w:rFonts w:ascii="Arial" w:cs="Arial" w:eastAsia="Arial" w:hAnsi="Arial"/>
          <w:sz w:val="18"/>
          <w:szCs w:val="18"/>
          <w:b w:val="1"/>
          <w:bCs w:val="1"/>
          <w:color w:val="auto"/>
        </w:rPr>
        <w:t>Principal Business Address or, if none, Residence: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Endeavour Capital Advisors Inc.</w:t>
      </w:r>
    </w:p>
    <w:p>
      <w:pPr>
        <w:spacing w:after="0" w:line="23" w:lineRule="exact"/>
        <w:rPr>
          <w:sz w:val="20"/>
          <w:szCs w:val="20"/>
          <w:color w:val="auto"/>
        </w:rPr>
      </w:pPr>
    </w:p>
    <w:p>
      <w:pPr>
        <w:ind w:left="4" w:right="9260" w:hanging="4"/>
        <w:spacing w:after="0" w:line="323"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Greenwich Avenue Greenwich, CT 06830</w:t>
      </w:r>
    </w:p>
    <w:p>
      <w:pPr>
        <w:spacing w:after="0" w:line="28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2(c)</w:t>
      </w:r>
      <w:r>
        <w:rPr>
          <w:sz w:val="20"/>
          <w:szCs w:val="20"/>
          <w:color w:val="auto"/>
        </w:rPr>
        <w:tab/>
      </w:r>
      <w:r>
        <w:rPr>
          <w:rFonts w:ascii="Arial" w:cs="Arial" w:eastAsia="Arial" w:hAnsi="Arial"/>
          <w:sz w:val="18"/>
          <w:szCs w:val="18"/>
          <w:b w:val="1"/>
          <w:bCs w:val="1"/>
          <w:color w:val="auto"/>
        </w:rPr>
        <w:t>Citizenship of Person Filing:</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Endeavour is a Delaware corporation, the Fund is a Delaware limited partnership and Messrs. Austin, Katz and Marcus are citizens of the United States of America.</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2(d)</w:t>
      </w:r>
      <w:r>
        <w:rPr>
          <w:sz w:val="20"/>
          <w:szCs w:val="20"/>
          <w:color w:val="auto"/>
        </w:rPr>
        <w:tab/>
      </w: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Class A Common Stock, $1.00 par value per share (the “Class A Common Stock”)</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2(e)</w:t>
      </w:r>
      <w:r>
        <w:rPr>
          <w:sz w:val="20"/>
          <w:szCs w:val="20"/>
          <w:color w:val="auto"/>
        </w:rPr>
        <w:tab/>
      </w:r>
      <w:r>
        <w:rPr>
          <w:rFonts w:ascii="Arial" w:cs="Arial" w:eastAsia="Arial" w:hAnsi="Arial"/>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90355N101</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76" w:lineRule="exact"/>
        <w:rPr>
          <w:sz w:val="20"/>
          <w:szCs w:val="20"/>
          <w:color w:val="auto"/>
        </w:rPr>
      </w:pPr>
    </w:p>
    <w:p>
      <w:pPr>
        <w:ind w:left="244" w:hanging="244"/>
        <w:spacing w:after="0" w:line="207" w:lineRule="exact"/>
        <w:tabs>
          <w:tab w:leader="none" w:pos="24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244" w:hanging="244"/>
        <w:spacing w:after="0" w:line="207" w:lineRule="exact"/>
        <w:tabs>
          <w:tab w:leader="none" w:pos="24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244" w:hanging="244"/>
        <w:spacing w:after="0" w:line="207" w:lineRule="exact"/>
        <w:tabs>
          <w:tab w:leader="none" w:pos="24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224" w:hanging="224"/>
        <w:spacing w:after="0" w:line="207" w:lineRule="exact"/>
        <w:tabs>
          <w:tab w:leader="none" w:pos="22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264" w:hanging="264"/>
        <w:spacing w:after="0" w:line="207" w:lineRule="exact"/>
        <w:tabs>
          <w:tab w:leader="none" w:pos="26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U.S.C.1813);</w:t>
      </w:r>
    </w:p>
    <w:p>
      <w:pPr>
        <w:spacing w:after="0" w:line="117" w:lineRule="exact"/>
        <w:rPr>
          <w:rFonts w:ascii="Arial" w:cs="Arial" w:eastAsia="Arial" w:hAnsi="Arial"/>
          <w:sz w:val="18"/>
          <w:szCs w:val="18"/>
          <w:color w:val="auto"/>
        </w:rPr>
      </w:pPr>
    </w:p>
    <w:p>
      <w:pPr>
        <w:ind w:left="224" w:hanging="224"/>
        <w:spacing w:after="0" w:line="196" w:lineRule="exact"/>
        <w:tabs>
          <w:tab w:leader="none" w:pos="224" w:val="left"/>
        </w:tabs>
        <w:numPr>
          <w:ilvl w:val="0"/>
          <w:numId w:val="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 of 1940</w:t>
      </w:r>
    </w:p>
    <w:p>
      <w:pPr>
        <w:spacing w:after="0" w:line="8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(15 U.S.C. 80a-3);</w:t>
      </w:r>
    </w:p>
    <w:p>
      <w:pPr>
        <w:spacing w:after="0" w:line="56" w:lineRule="exact"/>
        <w:rPr>
          <w:rFonts w:ascii="Arial" w:cs="Arial" w:eastAsia="Arial" w:hAnsi="Arial"/>
          <w:sz w:val="17"/>
          <w:szCs w:val="17"/>
          <w:color w:val="auto"/>
        </w:rPr>
      </w:pPr>
    </w:p>
    <w:p>
      <w:pPr>
        <w:ind w:left="224" w:hanging="224"/>
        <w:spacing w:after="0" w:line="207" w:lineRule="exact"/>
        <w:tabs>
          <w:tab w:leader="none" w:pos="22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4" w:right="120" w:hanging="4"/>
        <w:spacing w:after="0" w:line="245" w:lineRule="exact"/>
        <w:tabs>
          <w:tab w:leader="none" w:pos="259"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 (1)(ii)(J), please specify the type of institution:</w:t>
      </w:r>
    </w:p>
    <w:p>
      <w:pPr>
        <w:sectPr>
          <w:pgSz w:w="11900" w:h="16838" w:orient="portrait"/>
          <w:cols w:equalWidth="0" w:num="1">
            <w:col w:w="10944"/>
          </w:cols>
          <w:pgMar w:left="436" w:top="486" w:right="51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information in items 1 and 5 through 11 on the cover pages (pp. 2-5) of this Schedule 13G is hereby incorporated by reference. The ownership percentages are based on 19,622,380 shares of Class A Common Stock as reported in the Issuer’s Form 10-Q filed on May 12, 2023.</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700" w:hanging="990"/>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40" w:top="486" w:right="459" w:bottom="1440" w:gutter="0" w:footer="0" w:header="0"/>
        </w:sectPr>
      </w:pPr>
    </w:p>
    <w:bookmarkStart w:id="8" w:name="page9"/>
    <w:bookmarkEnd w:id="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August 11, 2023</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ENDEAVOUR CAPITAL ADVISORS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Glenn Hofsess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44"/>
        <w:spacing w:after="0"/>
        <w:tabs>
          <w:tab w:leader="none" w:pos="9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Glenn Hofsess</w:t>
      </w:r>
    </w:p>
    <w:p>
      <w:pPr>
        <w:spacing w:after="0" w:line="23" w:lineRule="exact"/>
        <w:rPr>
          <w:sz w:val="20"/>
          <w:szCs w:val="20"/>
          <w:color w:val="auto"/>
        </w:rPr>
      </w:pPr>
    </w:p>
    <w:p>
      <w:pPr>
        <w:ind w:left="344"/>
        <w:spacing w:after="0"/>
        <w:tabs>
          <w:tab w:leader="none" w:pos="944"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ENDEAVOUR REGIONAL BANK OPPORTUNITIES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FUND II L.P.*</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Glenn Hofsess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44"/>
        <w:spacing w:after="0"/>
        <w:tabs>
          <w:tab w:leader="none" w:pos="9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Glenn Hofsess</w:t>
      </w:r>
    </w:p>
    <w:p>
      <w:pPr>
        <w:spacing w:after="0" w:line="23" w:lineRule="exact"/>
        <w:rPr>
          <w:sz w:val="20"/>
          <w:szCs w:val="20"/>
          <w:color w:val="auto"/>
        </w:rPr>
      </w:pPr>
    </w:p>
    <w:p>
      <w:pPr>
        <w:jc w:val="center"/>
        <w:ind w:right="6056"/>
        <w:spacing w:after="0"/>
        <w:tabs>
          <w:tab w:leader="none" w:pos="200" w:val="left"/>
        </w:tabs>
        <w:rPr>
          <w:sz w:val="20"/>
          <w:szCs w:val="20"/>
          <w:color w:val="auto"/>
        </w:rPr>
      </w:pPr>
      <w:r>
        <w:rPr>
          <w:rFonts w:ascii="Arial" w:cs="Arial" w:eastAsia="Arial" w:hAnsi="Arial"/>
          <w:sz w:val="18"/>
          <w:szCs w:val="18"/>
          <w:color w:val="auto"/>
        </w:rPr>
        <w:t>Title:</w:t>
        <w:tab/>
        <w:t>Chief Financial Officer of Endeavour Capital</w:t>
      </w:r>
    </w:p>
    <w:p>
      <w:pPr>
        <w:spacing w:after="0" w:line="9" w:lineRule="exact"/>
        <w:rPr>
          <w:sz w:val="20"/>
          <w:szCs w:val="20"/>
          <w:color w:val="auto"/>
        </w:rPr>
      </w:pPr>
    </w:p>
    <w:p>
      <w:pPr>
        <w:jc w:val="center"/>
        <w:ind w:right="6396"/>
        <w:spacing w:after="0"/>
        <w:rPr>
          <w:sz w:val="20"/>
          <w:szCs w:val="20"/>
          <w:color w:val="auto"/>
        </w:rPr>
      </w:pPr>
      <w:r>
        <w:rPr>
          <w:rFonts w:ascii="Arial" w:cs="Arial" w:eastAsia="Arial" w:hAnsi="Arial"/>
          <w:sz w:val="18"/>
          <w:szCs w:val="18"/>
          <w:color w:val="auto"/>
        </w:rPr>
        <w:t>Advisors Inc., its investment advisor</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LAURENCE M. AUSTIN*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Laurence M.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MITCHELL J. KATZ*</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Mitchell J.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JONAH MARCUS*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Jonah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42" w:lineRule="exact"/>
        <w:rPr>
          <w:sz w:val="20"/>
          <w:szCs w:val="20"/>
          <w:color w:val="auto"/>
        </w:rPr>
      </w:pPr>
    </w:p>
    <w:p>
      <w:pPr>
        <w:ind w:left="444" w:hanging="444"/>
        <w:spacing w:after="0" w:line="289" w:lineRule="auto"/>
        <w:tabs>
          <w:tab w:leader="none" w:pos="444"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The Reporting Persons disclaim beneficial ownership in the shares reported herein except to the extent of their pecuniary interest therein, and this report shall not otherwise be deemed an admission that any of them is the beneficial owner of such securities for purposes of Section 13(d) or Section 16 of the Securities Exchange Act of 1934, as amended, or for any other purposes.</w:t>
      </w:r>
    </w:p>
    <w:p>
      <w:pPr>
        <w:sectPr>
          <w:pgSz w:w="11900" w:h="16838" w:orient="portrait"/>
          <w:cols w:equalWidth="0" w:num="1">
            <w:col w:w="10984"/>
          </w:cols>
          <w:pgMar w:left="436" w:top="486"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JOINT FILING</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Endeavour Capital Advisors Inc., Endeavour Regional Bank Opportunities Fund II L.P., Laurence M. Austin, Mitchell J. Katz and Jonah Marcus hereby agree that the Statement on Schedule 13G to which this agreement is attached as an exhibit as well as all future amendments to such Statement, shall be filed jointly on behalf of each of them. This agreement is intended to satisfy the requirements of Rule 13d-1(k)(1)(iii) under the Securities Exchange Act of 1934,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ENDEAVOUR CAPITAL ADVISORS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Glenn Hofsess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Glenn Hofsess</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ENDEAVOUR REGIONAL BANK OPPORTUNITIES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II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Glenn Hofsess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Glenn Hofsess</w:t>
      </w:r>
    </w:p>
    <w:p>
      <w:pPr>
        <w:spacing w:after="0" w:line="23" w:lineRule="exact"/>
        <w:rPr>
          <w:sz w:val="20"/>
          <w:szCs w:val="20"/>
          <w:color w:val="auto"/>
        </w:rPr>
      </w:pPr>
    </w:p>
    <w:p>
      <w:pPr>
        <w:jc w:val="center"/>
        <w:ind w:right="6100"/>
        <w:spacing w:after="0"/>
        <w:tabs>
          <w:tab w:leader="none" w:pos="200" w:val="left"/>
        </w:tabs>
        <w:rPr>
          <w:sz w:val="20"/>
          <w:szCs w:val="20"/>
          <w:color w:val="auto"/>
        </w:rPr>
      </w:pPr>
      <w:r>
        <w:rPr>
          <w:rFonts w:ascii="Arial" w:cs="Arial" w:eastAsia="Arial" w:hAnsi="Arial"/>
          <w:sz w:val="18"/>
          <w:szCs w:val="18"/>
          <w:color w:val="auto"/>
        </w:rPr>
        <w:t>Title:</w:t>
        <w:tab/>
        <w:t>Chief Financial Officer of Endeavour Capital</w:t>
      </w:r>
    </w:p>
    <w:p>
      <w:pPr>
        <w:spacing w:after="0" w:line="9" w:lineRule="exact"/>
        <w:rPr>
          <w:sz w:val="20"/>
          <w:szCs w:val="20"/>
          <w:color w:val="auto"/>
        </w:rPr>
      </w:pPr>
    </w:p>
    <w:p>
      <w:pPr>
        <w:jc w:val="center"/>
        <w:ind w:right="6440"/>
        <w:spacing w:after="0"/>
        <w:rPr>
          <w:sz w:val="20"/>
          <w:szCs w:val="20"/>
          <w:color w:val="auto"/>
        </w:rPr>
      </w:pPr>
      <w:r>
        <w:rPr>
          <w:rFonts w:ascii="Arial" w:cs="Arial" w:eastAsia="Arial" w:hAnsi="Arial"/>
          <w:sz w:val="18"/>
          <w:szCs w:val="18"/>
          <w:color w:val="auto"/>
        </w:rPr>
        <w:t>Advisors Inc., its investment advisor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LAURENCE M. AUSTIN*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Laurence M.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MITCHELL J. KATZ*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Mitchell J.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JONAH MARCUS*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Jonah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410"/>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2023-08-11T15:22:08Z</dcterms:created>
  <dcterms:modified xsi:type="dcterms:W3CDTF">2023-08-11T15:22:08Z</dcterms:modified>
</cp:coreProperties>
</file>