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USCB Financial Holdings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$1.00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90355N101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90355N101</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0" w:type="dxa"/>
            <w:vAlign w:val="bottom"/>
            <w:tcBorders>
              <w:top w:val="single" w:sz="8" w:color="auto"/>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1</w:t>
            </w:r>
          </w:p>
        </w:tc>
        <w:tc>
          <w:tcPr>
            <w:tcW w:w="1036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Endeavour Capital Advisors Inc.</w:t>
            </w:r>
          </w:p>
        </w:tc>
        <w:tc>
          <w:tcPr>
            <w:tcW w:w="0" w:type="dxa"/>
            <w:vAlign w:val="bottom"/>
          </w:tcPr>
          <w:p>
            <w:pPr>
              <w:spacing w:after="0"/>
              <w:rPr>
                <w:sz w:val="1"/>
                <w:szCs w:val="1"/>
                <w:color w:val="auto"/>
              </w:rPr>
            </w:pPr>
          </w:p>
        </w:tc>
      </w:tr>
      <w:tr>
        <w:trPr>
          <w:trHeight w:val="162"/>
        </w:trPr>
        <w:tc>
          <w:tcPr>
            <w:tcW w:w="560" w:type="dxa"/>
            <w:vAlign w:val="bottom"/>
            <w:tcBorders>
              <w:left w:val="single" w:sz="8" w:color="auto"/>
              <w:right w:val="single" w:sz="8" w:color="auto"/>
            </w:tcBorders>
          </w:tcPr>
          <w:p>
            <w:pPr>
              <w:ind w:left="30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5"/>
          </w:tcPr>
          <w:p>
            <w:pPr>
              <w:ind w:left="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560" w:type="dxa"/>
            <w:vAlign w:val="bottom"/>
            <w:tcBorders>
              <w:left w:val="single" w:sz="8" w:color="auto"/>
              <w:right w:val="single" w:sz="8" w:color="auto"/>
            </w:tcBorders>
          </w:tcPr>
          <w:p>
            <w:pPr>
              <w:spacing w:after="0"/>
              <w:rPr>
                <w:sz w:val="24"/>
                <w:szCs w:val="24"/>
                <w:color w:val="auto"/>
              </w:rPr>
            </w:pPr>
          </w:p>
        </w:tc>
        <w:tc>
          <w:tcPr>
            <w:tcW w:w="8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4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w w:val="93"/>
              </w:rPr>
              <w:t xml:space="preserve">b.  </w:t>
            </w:r>
            <w:r>
              <w:rPr>
                <w:rFonts w:ascii="MS PGothic" w:cs="MS PGothic" w:eastAsia="MS PGothic" w:hAnsi="MS PGothic"/>
                <w:sz w:val="18"/>
                <w:szCs w:val="18"/>
                <w:color w:val="auto"/>
                <w:w w:val="93"/>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79"/>
              </w:rPr>
              <w:t>  5</w:t>
            </w:r>
          </w:p>
        </w:tc>
        <w:tc>
          <w:tcPr>
            <w:tcW w:w="9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20"/>
                <w:szCs w:val="20"/>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9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Beneficially  </w:t>
            </w:r>
          </w:p>
        </w:tc>
        <w:tc>
          <w:tcPr>
            <w:tcW w:w="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1,301,840</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4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20" w:type="dxa"/>
            <w:vAlign w:val="bottom"/>
          </w:tcPr>
          <w:p>
            <w:pPr>
              <w:spacing w:after="0"/>
              <w:rPr>
                <w:sz w:val="15"/>
                <w:szCs w:val="15"/>
                <w:color w:val="auto"/>
              </w:rPr>
            </w:pPr>
          </w:p>
        </w:tc>
        <w:tc>
          <w:tcPr>
            <w:tcW w:w="420" w:type="dxa"/>
            <w:vAlign w:val="bottom"/>
            <w:tcBorders>
              <w:right w:val="single" w:sz="8" w:color="auto"/>
            </w:tcBorders>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5"/>
                <w:szCs w:val="15"/>
                <w:color w:val="auto"/>
              </w:rPr>
            </w:pPr>
          </w:p>
        </w:tc>
        <w:tc>
          <w:tcPr>
            <w:tcW w:w="91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114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2"/>
                <w:szCs w:val="12"/>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9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1,301,840</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9</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7"/>
              </w:rPr>
              <w:t>1,301,840</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IA</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90355N101</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0" w:type="dxa"/>
            <w:vAlign w:val="bottom"/>
            <w:tcBorders>
              <w:top w:val="single" w:sz="8" w:color="auto"/>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1</w:t>
            </w:r>
          </w:p>
        </w:tc>
        <w:tc>
          <w:tcPr>
            <w:tcW w:w="1036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Endeavour Regional Bank Opportunities Fund II LP.</w:t>
            </w:r>
          </w:p>
        </w:tc>
        <w:tc>
          <w:tcPr>
            <w:tcW w:w="0" w:type="dxa"/>
            <w:vAlign w:val="bottom"/>
          </w:tcPr>
          <w:p>
            <w:pPr>
              <w:spacing w:after="0"/>
              <w:rPr>
                <w:sz w:val="1"/>
                <w:szCs w:val="1"/>
                <w:color w:val="auto"/>
              </w:rPr>
            </w:pPr>
          </w:p>
        </w:tc>
      </w:tr>
      <w:tr>
        <w:trPr>
          <w:trHeight w:val="162"/>
        </w:trPr>
        <w:tc>
          <w:tcPr>
            <w:tcW w:w="560" w:type="dxa"/>
            <w:vAlign w:val="bottom"/>
            <w:tcBorders>
              <w:left w:val="single" w:sz="8" w:color="auto"/>
              <w:right w:val="single" w:sz="8" w:color="auto"/>
            </w:tcBorders>
          </w:tcPr>
          <w:p>
            <w:pPr>
              <w:ind w:left="30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5"/>
          </w:tcPr>
          <w:p>
            <w:pPr>
              <w:ind w:left="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560" w:type="dxa"/>
            <w:vAlign w:val="bottom"/>
            <w:tcBorders>
              <w:left w:val="single" w:sz="8" w:color="auto"/>
              <w:right w:val="single" w:sz="8" w:color="auto"/>
            </w:tcBorders>
          </w:tcPr>
          <w:p>
            <w:pPr>
              <w:spacing w:after="0"/>
              <w:rPr>
                <w:sz w:val="24"/>
                <w:szCs w:val="24"/>
                <w:color w:val="auto"/>
              </w:rPr>
            </w:pPr>
          </w:p>
        </w:tc>
        <w:tc>
          <w:tcPr>
            <w:tcW w:w="8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4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w w:val="93"/>
              </w:rPr>
              <w:t xml:space="preserve">b.  </w:t>
            </w:r>
            <w:r>
              <w:rPr>
                <w:rFonts w:ascii="MS PGothic" w:cs="MS PGothic" w:eastAsia="MS PGothic" w:hAnsi="MS PGothic"/>
                <w:sz w:val="18"/>
                <w:szCs w:val="18"/>
                <w:color w:val="auto"/>
                <w:w w:val="93"/>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79"/>
              </w:rPr>
              <w:t>  5</w:t>
            </w:r>
          </w:p>
        </w:tc>
        <w:tc>
          <w:tcPr>
            <w:tcW w:w="9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20"/>
                <w:szCs w:val="20"/>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9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Beneficially  </w:t>
            </w:r>
          </w:p>
        </w:tc>
        <w:tc>
          <w:tcPr>
            <w:tcW w:w="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1,301,840</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4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20" w:type="dxa"/>
            <w:vAlign w:val="bottom"/>
          </w:tcPr>
          <w:p>
            <w:pPr>
              <w:spacing w:after="0"/>
              <w:rPr>
                <w:sz w:val="15"/>
                <w:szCs w:val="15"/>
                <w:color w:val="auto"/>
              </w:rPr>
            </w:pPr>
          </w:p>
        </w:tc>
        <w:tc>
          <w:tcPr>
            <w:tcW w:w="420" w:type="dxa"/>
            <w:vAlign w:val="bottom"/>
            <w:tcBorders>
              <w:right w:val="single" w:sz="8" w:color="auto"/>
            </w:tcBorders>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5"/>
                <w:szCs w:val="15"/>
                <w:color w:val="auto"/>
              </w:rPr>
            </w:pPr>
          </w:p>
        </w:tc>
        <w:tc>
          <w:tcPr>
            <w:tcW w:w="91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2"/>
                <w:szCs w:val="12"/>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9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1,301,840</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9</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7"/>
              </w:rPr>
              <w:t>1,301,840</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90355N101</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0" w:type="dxa"/>
            <w:vAlign w:val="bottom"/>
            <w:tcBorders>
              <w:top w:val="single" w:sz="8" w:color="auto"/>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1</w:t>
            </w:r>
          </w:p>
        </w:tc>
        <w:tc>
          <w:tcPr>
            <w:tcW w:w="1036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Laurence M. Austin</w:t>
            </w:r>
          </w:p>
        </w:tc>
        <w:tc>
          <w:tcPr>
            <w:tcW w:w="0" w:type="dxa"/>
            <w:vAlign w:val="bottom"/>
          </w:tcPr>
          <w:p>
            <w:pPr>
              <w:spacing w:after="0"/>
              <w:rPr>
                <w:sz w:val="1"/>
                <w:szCs w:val="1"/>
                <w:color w:val="auto"/>
              </w:rPr>
            </w:pPr>
          </w:p>
        </w:tc>
      </w:tr>
      <w:tr>
        <w:trPr>
          <w:trHeight w:val="162"/>
        </w:trPr>
        <w:tc>
          <w:tcPr>
            <w:tcW w:w="560" w:type="dxa"/>
            <w:vAlign w:val="bottom"/>
            <w:tcBorders>
              <w:left w:val="single" w:sz="8" w:color="auto"/>
              <w:right w:val="single" w:sz="8" w:color="auto"/>
            </w:tcBorders>
          </w:tcPr>
          <w:p>
            <w:pPr>
              <w:ind w:left="30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5"/>
          </w:tcPr>
          <w:p>
            <w:pPr>
              <w:ind w:left="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560" w:type="dxa"/>
            <w:vAlign w:val="bottom"/>
            <w:tcBorders>
              <w:left w:val="single" w:sz="8" w:color="auto"/>
              <w:right w:val="single" w:sz="8" w:color="auto"/>
            </w:tcBorders>
          </w:tcPr>
          <w:p>
            <w:pPr>
              <w:spacing w:after="0"/>
              <w:rPr>
                <w:sz w:val="24"/>
                <w:szCs w:val="24"/>
                <w:color w:val="auto"/>
              </w:rPr>
            </w:pPr>
          </w:p>
        </w:tc>
        <w:tc>
          <w:tcPr>
            <w:tcW w:w="8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4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w w:val="93"/>
              </w:rPr>
              <w:t xml:space="preserve">b.  </w:t>
            </w:r>
            <w:r>
              <w:rPr>
                <w:rFonts w:ascii="MS PGothic" w:cs="MS PGothic" w:eastAsia="MS PGothic" w:hAnsi="MS PGothic"/>
                <w:sz w:val="18"/>
                <w:szCs w:val="18"/>
                <w:color w:val="auto"/>
                <w:w w:val="93"/>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79"/>
              </w:rPr>
              <w:t>  5</w:t>
            </w:r>
          </w:p>
        </w:tc>
        <w:tc>
          <w:tcPr>
            <w:tcW w:w="9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20"/>
                <w:szCs w:val="20"/>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9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Beneficially  </w:t>
            </w:r>
          </w:p>
        </w:tc>
        <w:tc>
          <w:tcPr>
            <w:tcW w:w="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1,301,840</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4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20" w:type="dxa"/>
            <w:vAlign w:val="bottom"/>
          </w:tcPr>
          <w:p>
            <w:pPr>
              <w:spacing w:after="0"/>
              <w:rPr>
                <w:sz w:val="15"/>
                <w:szCs w:val="15"/>
                <w:color w:val="auto"/>
              </w:rPr>
            </w:pPr>
          </w:p>
        </w:tc>
        <w:tc>
          <w:tcPr>
            <w:tcW w:w="420" w:type="dxa"/>
            <w:vAlign w:val="bottom"/>
            <w:tcBorders>
              <w:right w:val="single" w:sz="8" w:color="auto"/>
            </w:tcBorders>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5"/>
                <w:szCs w:val="15"/>
                <w:color w:val="auto"/>
              </w:rPr>
            </w:pPr>
          </w:p>
        </w:tc>
        <w:tc>
          <w:tcPr>
            <w:tcW w:w="91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114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2"/>
                <w:szCs w:val="12"/>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9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1,301,840</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9</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7"/>
              </w:rPr>
              <w:t>1,301,840</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 HC</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90355N101</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0" w:type="dxa"/>
            <w:vAlign w:val="bottom"/>
            <w:tcBorders>
              <w:top w:val="single" w:sz="8" w:color="auto"/>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1</w:t>
            </w:r>
          </w:p>
        </w:tc>
        <w:tc>
          <w:tcPr>
            <w:tcW w:w="1036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Mitchell J. Katz</w:t>
            </w: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0" w:type="dxa"/>
            <w:vAlign w:val="bottom"/>
            <w:tcBorders>
              <w:left w:val="single" w:sz="8" w:color="auto"/>
              <w:right w:val="single" w:sz="8" w:color="auto"/>
            </w:tcBorders>
          </w:tcPr>
          <w:p>
            <w:pPr>
              <w:ind w:left="30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5"/>
          </w:tcPr>
          <w:p>
            <w:pPr>
              <w:ind w:left="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560" w:type="dxa"/>
            <w:vAlign w:val="bottom"/>
            <w:tcBorders>
              <w:left w:val="single" w:sz="8" w:color="auto"/>
              <w:right w:val="single" w:sz="8" w:color="auto"/>
            </w:tcBorders>
          </w:tcPr>
          <w:p>
            <w:pPr>
              <w:spacing w:after="0"/>
              <w:rPr>
                <w:sz w:val="24"/>
                <w:szCs w:val="24"/>
                <w:color w:val="auto"/>
              </w:rPr>
            </w:pPr>
          </w:p>
        </w:tc>
        <w:tc>
          <w:tcPr>
            <w:tcW w:w="8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4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w w:val="93"/>
              </w:rPr>
              <w:t xml:space="preserve">b.  </w:t>
            </w:r>
            <w:r>
              <w:rPr>
                <w:rFonts w:ascii="MS PGothic" w:cs="MS PGothic" w:eastAsia="MS PGothic" w:hAnsi="MS PGothic"/>
                <w:sz w:val="18"/>
                <w:szCs w:val="18"/>
                <w:color w:val="auto"/>
                <w:w w:val="93"/>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79"/>
              </w:rPr>
              <w:t>  5</w:t>
            </w:r>
          </w:p>
        </w:tc>
        <w:tc>
          <w:tcPr>
            <w:tcW w:w="9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20"/>
                <w:szCs w:val="20"/>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9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Beneficially  </w:t>
            </w:r>
          </w:p>
        </w:tc>
        <w:tc>
          <w:tcPr>
            <w:tcW w:w="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1,301,840</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4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20" w:type="dxa"/>
            <w:vAlign w:val="bottom"/>
          </w:tcPr>
          <w:p>
            <w:pPr>
              <w:spacing w:after="0"/>
              <w:rPr>
                <w:sz w:val="15"/>
                <w:szCs w:val="15"/>
                <w:color w:val="auto"/>
              </w:rPr>
            </w:pPr>
          </w:p>
        </w:tc>
        <w:tc>
          <w:tcPr>
            <w:tcW w:w="420" w:type="dxa"/>
            <w:vAlign w:val="bottom"/>
            <w:tcBorders>
              <w:right w:val="single" w:sz="8" w:color="auto"/>
            </w:tcBorders>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5"/>
                <w:szCs w:val="15"/>
                <w:color w:val="auto"/>
              </w:rPr>
            </w:pPr>
          </w:p>
        </w:tc>
        <w:tc>
          <w:tcPr>
            <w:tcW w:w="91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2"/>
                <w:szCs w:val="12"/>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9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1,301,840</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9</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7"/>
              </w:rPr>
              <w:t>1,301,840</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 HC</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90355N101</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0" w:type="dxa"/>
            <w:vAlign w:val="bottom"/>
            <w:tcBorders>
              <w:top w:val="single" w:sz="8" w:color="auto"/>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1</w:t>
            </w:r>
          </w:p>
        </w:tc>
        <w:tc>
          <w:tcPr>
            <w:tcW w:w="1036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Jonah Marcus</w:t>
            </w: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0" w:type="dxa"/>
            <w:vAlign w:val="bottom"/>
            <w:tcBorders>
              <w:left w:val="single" w:sz="8" w:color="auto"/>
              <w:right w:val="single" w:sz="8" w:color="auto"/>
            </w:tcBorders>
          </w:tcPr>
          <w:p>
            <w:pPr>
              <w:ind w:left="30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5"/>
          </w:tcPr>
          <w:p>
            <w:pPr>
              <w:ind w:left="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560" w:type="dxa"/>
            <w:vAlign w:val="bottom"/>
            <w:tcBorders>
              <w:left w:val="single" w:sz="8" w:color="auto"/>
              <w:right w:val="single" w:sz="8" w:color="auto"/>
            </w:tcBorders>
          </w:tcPr>
          <w:p>
            <w:pPr>
              <w:spacing w:after="0"/>
              <w:rPr>
                <w:sz w:val="24"/>
                <w:szCs w:val="24"/>
                <w:color w:val="auto"/>
              </w:rPr>
            </w:pPr>
          </w:p>
        </w:tc>
        <w:tc>
          <w:tcPr>
            <w:tcW w:w="8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4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w w:val="93"/>
              </w:rPr>
              <w:t xml:space="preserve">b.  </w:t>
            </w:r>
            <w:r>
              <w:rPr>
                <w:rFonts w:ascii="MS PGothic" w:cs="MS PGothic" w:eastAsia="MS PGothic" w:hAnsi="MS PGothic"/>
                <w:sz w:val="18"/>
                <w:szCs w:val="18"/>
                <w:color w:val="auto"/>
                <w:w w:val="93"/>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79"/>
              </w:rPr>
              <w:t>  5</w:t>
            </w:r>
          </w:p>
        </w:tc>
        <w:tc>
          <w:tcPr>
            <w:tcW w:w="9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20"/>
                <w:szCs w:val="20"/>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9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Beneficially  </w:t>
            </w:r>
          </w:p>
        </w:tc>
        <w:tc>
          <w:tcPr>
            <w:tcW w:w="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1,301,840</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Owned By</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4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20" w:type="dxa"/>
            <w:vAlign w:val="bottom"/>
          </w:tcPr>
          <w:p>
            <w:pPr>
              <w:spacing w:after="0"/>
              <w:rPr>
                <w:sz w:val="15"/>
                <w:szCs w:val="15"/>
                <w:color w:val="auto"/>
              </w:rPr>
            </w:pPr>
          </w:p>
        </w:tc>
        <w:tc>
          <w:tcPr>
            <w:tcW w:w="420" w:type="dxa"/>
            <w:vAlign w:val="bottom"/>
            <w:tcBorders>
              <w:right w:val="single" w:sz="8" w:color="auto"/>
            </w:tcBorders>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5"/>
                <w:szCs w:val="15"/>
                <w:color w:val="auto"/>
              </w:rPr>
            </w:pPr>
          </w:p>
        </w:tc>
        <w:tc>
          <w:tcPr>
            <w:tcW w:w="91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2"/>
                <w:szCs w:val="12"/>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9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1,301,840</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9</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7"/>
              </w:rPr>
              <w:t>1,301,840</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 HC</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-203835</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704" w:space="380"/>
            <w:col w:w="9920"/>
          </w:cols>
          <w:pgMar w:left="436" w:top="266" w:right="45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USCB Financial Holdings, Inc. (the “Issuer”)</w:t>
      </w:r>
    </w:p>
    <w:p>
      <w:pPr>
        <w:sectPr>
          <w:pgSz w:w="11900" w:h="16838" w:orient="portrait"/>
          <w:cols w:equalWidth="0" w:num="1">
            <w:col w:w="11004"/>
          </w:cols>
          <w:pgMar w:left="436" w:top="266" w:right="45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1(b)</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of the Issuer’s Principal Executive Offices:</w:t>
      </w:r>
    </w:p>
    <w:p>
      <w:pPr>
        <w:spacing w:after="0" w:line="121" w:lineRule="exact"/>
        <w:rPr>
          <w:sz w:val="20"/>
          <w:szCs w:val="20"/>
          <w:color w:val="auto"/>
        </w:rPr>
      </w:pPr>
    </w:p>
    <w:p>
      <w:pPr>
        <w:sectPr>
          <w:pgSz w:w="11900" w:h="16838" w:orient="portrait"/>
          <w:cols w:equalWidth="0" w:num="2">
            <w:col w:w="364" w:space="720"/>
            <w:col w:w="9920"/>
          </w:cols>
          <w:pgMar w:left="436" w:top="266"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2301 N.W. 87th Avenue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Doral, Florida 33172</w:t>
      </w:r>
    </w:p>
    <w:p>
      <w:pPr>
        <w:spacing w:after="0" w:line="35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12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This Schedule 13G is being jointly filed by each of the following persons pursuant to Rule 13d-1(k)(1) promulgated by the Securities and Exchange Commission pursuant to Section 13 of the Act: (i) Endeavour Capital Advisors Inc. (“Endeavour”), (ii) Endeavour Regional Bank Opportunities Fund II L.P. (the “Fund”), (iii) Laurence M. Austin, (iv) Mitchell J. Katz and (v) Jonah Marcus.</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2(b)</w:t>
      </w:r>
      <w:r>
        <w:rPr>
          <w:sz w:val="20"/>
          <w:szCs w:val="20"/>
          <w:color w:val="auto"/>
        </w:rPr>
        <w:tab/>
      </w:r>
      <w:r>
        <w:rPr>
          <w:rFonts w:ascii="Times New Roman" w:cs="Times New Roman" w:eastAsia="Times New Roman" w:hAnsi="Times New Roman"/>
          <w:sz w:val="18"/>
          <w:szCs w:val="18"/>
          <w:b w:val="1"/>
          <w:bCs w:val="1"/>
          <w:color w:val="auto"/>
        </w:rPr>
        <w:t>Principal Business Address or, if none, Residence: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Endeavour Capital Advisors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410 Greenwich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35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2(c)</w:t>
      </w:r>
      <w:r>
        <w:rPr>
          <w:sz w:val="20"/>
          <w:szCs w:val="20"/>
          <w:color w:val="auto"/>
        </w:rPr>
        <w:tab/>
      </w:r>
      <w:r>
        <w:rPr>
          <w:rFonts w:ascii="Times New Roman" w:cs="Times New Roman" w:eastAsia="Times New Roman" w:hAnsi="Times New Roman"/>
          <w:sz w:val="18"/>
          <w:szCs w:val="18"/>
          <w:b w:val="1"/>
          <w:bCs w:val="1"/>
          <w:color w:val="auto"/>
        </w:rPr>
        <w:t>Citizenship of Person Filing:</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Endeavour is a Delaware corporation, the Fund is a Delaware limited partnership and Messrs. Austin, Katz and Marcus are citizens of the United States of America.</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2(d)</w:t>
      </w:r>
      <w:r>
        <w:rPr>
          <w:sz w:val="20"/>
          <w:szCs w:val="20"/>
          <w:color w:val="auto"/>
        </w:rPr>
        <w:tab/>
      </w:r>
      <w:r>
        <w:rPr>
          <w:rFonts w:ascii="Times New Roman" w:cs="Times New Roman" w:eastAsia="Times New Roman" w:hAnsi="Times New Roman"/>
          <w:sz w:val="18"/>
          <w:szCs w:val="18"/>
          <w:b w:val="1"/>
          <w:bCs w:val="1"/>
          <w:color w:val="auto"/>
        </w:rPr>
        <w:t>Title of Class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Class A Common Stock, $1.00 par value per share (the “Class A Common Stock”)</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2(e)</w:t>
      </w:r>
      <w:r>
        <w:rPr>
          <w:sz w:val="20"/>
          <w:szCs w:val="20"/>
          <w:color w:val="auto"/>
        </w:rPr>
        <w:tab/>
      </w: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90355N101</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§§240.13d-1(b) or 240.13d-2(b), or (c), check whether the person filing is a</w:t>
      </w:r>
    </w:p>
    <w:p>
      <w:pPr>
        <w:spacing w:after="0" w:line="94" w:lineRule="exact"/>
        <w:rPr>
          <w:sz w:val="20"/>
          <w:szCs w:val="20"/>
          <w:color w:val="auto"/>
        </w:rPr>
      </w:pPr>
    </w:p>
    <w:p>
      <w:pPr>
        <w:ind w:left="344" w:hanging="344"/>
        <w:spacing w:after="0" w:line="207" w:lineRule="exact"/>
        <w:tabs>
          <w:tab w:leader="none" w:pos="344"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U.S.C.1813);</w:t>
      </w:r>
    </w:p>
    <w:p>
      <w:pPr>
        <w:spacing w:after="0" w:line="117" w:lineRule="exact"/>
        <w:rPr>
          <w:rFonts w:ascii="Times New Roman" w:cs="Times New Roman" w:eastAsia="Times New Roman" w:hAnsi="Times New Roman"/>
          <w:sz w:val="18"/>
          <w:szCs w:val="18"/>
          <w:color w:val="auto"/>
        </w:rPr>
      </w:pPr>
    </w:p>
    <w:p>
      <w:pPr>
        <w:ind w:left="664" w:right="200" w:hanging="664"/>
        <w:spacing w:after="0" w:line="245"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664" w:hanging="664"/>
        <w:spacing w:after="0" w:line="245"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 If filing as a non-U.S. institution in accordance with §240.13d-1(b) (1)(ii)(J), please specify the type of institution:</w:t>
      </w:r>
    </w:p>
    <w:p>
      <w:pPr>
        <w:sectPr>
          <w:pgSz w:w="11900" w:h="16838" w:orient="portrait"/>
          <w:cols w:equalWidth="0" w:num="1">
            <w:col w:w="11004"/>
          </w:cols>
          <w:pgMar w:left="436" w:top="266" w:right="459" w:bottom="1440" w:gutter="0" w:footer="0" w:header="0"/>
          <w:type w:val="continuous"/>
        </w:sectPr>
      </w:pPr>
    </w:p>
    <w:bookmarkStart w:id="7" w:name="page8"/>
    <w:bookmarkEnd w:id="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The information in items 1 and 5 through 11 on the cover pages (pp. 2-5) of this Schedule 13G is hereby incorporated by reference. The ownership percentages are based on 19,542,290 shares of Class A Common Stock as reported in the Issuer’s Form 10-Q filed on November 9, 2023.</w:t>
      </w:r>
    </w:p>
    <w:p>
      <w:pPr>
        <w:sectPr>
          <w:pgSz w:w="11900" w:h="16838" w:orient="portrait"/>
          <w:cols w:equalWidth="0" w:num="1">
            <w:col w:w="11000"/>
          </w:cols>
          <w:pgMar w:left="440" w:top="266" w:right="459" w:bottom="1440" w:gutter="0" w:footer="0" w:header="0"/>
        </w:sect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520" w:space="560"/>
            <w:col w:w="992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66"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ectPr>
          <w:pgSz w:w="11900" w:h="16838" w:orient="portrait"/>
          <w:cols w:equalWidth="0" w:num="2">
            <w:col w:w="520" w:space="560"/>
            <w:col w:w="992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66"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sectPr>
          <w:pgSz w:w="11900" w:h="16838" w:orient="portrait"/>
          <w:cols w:equalWidth="0" w:num="2">
            <w:col w:w="520" w:space="560"/>
            <w:col w:w="992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66"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560"/>
            <w:col w:w="992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66"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520" w:space="560"/>
            <w:col w:w="992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40" w:top="266" w:right="459" w:bottom="1440" w:gutter="0" w:footer="0" w:header="0"/>
          <w:type w:val="continuous"/>
        </w:sectPr>
      </w:pPr>
    </w:p>
    <w:bookmarkStart w:id="8" w:name="page9"/>
    <w:bookmarkEnd w:id="8"/>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ENDEAVOUR CAPITAL ADVISORS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Glenn Hofsess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17145</wp:posOffset>
            </wp:positionV>
            <wp:extent cx="2606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4"/>
        <w:spacing w:after="0"/>
        <w:tabs>
          <w:tab w:leader="none" w:pos="944" w:val="left"/>
        </w:tabs>
        <w:rPr>
          <w:sz w:val="20"/>
          <w:szCs w:val="20"/>
          <w:color w:val="auto"/>
        </w:rPr>
      </w:pPr>
      <w:r>
        <w:rPr>
          <w:rFonts w:ascii="Times New Roman" w:cs="Times New Roman" w:eastAsia="Times New Roman" w:hAnsi="Times New Roman"/>
          <w:sz w:val="18"/>
          <w:szCs w:val="18"/>
          <w:color w:val="auto"/>
        </w:rPr>
        <w:t>Name:</w:t>
        <w:tab/>
        <w:t>Glenn Hofsess</w:t>
      </w:r>
    </w:p>
    <w:p>
      <w:pPr>
        <w:spacing w:after="0" w:line="23" w:lineRule="exact"/>
        <w:rPr>
          <w:sz w:val="20"/>
          <w:szCs w:val="20"/>
          <w:color w:val="auto"/>
        </w:rPr>
      </w:pPr>
    </w:p>
    <w:p>
      <w:pPr>
        <w:ind w:left="344"/>
        <w:spacing w:after="0"/>
        <w:tabs>
          <w:tab w:leader="none" w:pos="944"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ENDEAVOUR REGIONAL BANK OPPORTUNITIES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FUND II L.P.*</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Glenn Hofsess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17145</wp:posOffset>
            </wp:positionV>
            <wp:extent cx="26060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4"/>
        <w:spacing w:after="0"/>
        <w:tabs>
          <w:tab w:leader="none" w:pos="944" w:val="left"/>
        </w:tabs>
        <w:rPr>
          <w:sz w:val="20"/>
          <w:szCs w:val="20"/>
          <w:color w:val="auto"/>
        </w:rPr>
      </w:pPr>
      <w:r>
        <w:rPr>
          <w:rFonts w:ascii="Times New Roman" w:cs="Times New Roman" w:eastAsia="Times New Roman" w:hAnsi="Times New Roman"/>
          <w:sz w:val="18"/>
          <w:szCs w:val="18"/>
          <w:color w:val="auto"/>
        </w:rPr>
        <w:t>Name:</w:t>
        <w:tab/>
        <w:t>Glenn Hofsess</w:t>
      </w:r>
    </w:p>
    <w:p>
      <w:pPr>
        <w:spacing w:after="0" w:line="23" w:lineRule="exact"/>
        <w:rPr>
          <w:sz w:val="20"/>
          <w:szCs w:val="20"/>
          <w:color w:val="auto"/>
        </w:rPr>
      </w:pPr>
    </w:p>
    <w:p>
      <w:pPr>
        <w:jc w:val="center"/>
        <w:ind w:right="6056"/>
        <w:spacing w:after="0"/>
        <w:tabs>
          <w:tab w:leader="none" w:pos="200" w:val="left"/>
        </w:tabs>
        <w:rPr>
          <w:sz w:val="20"/>
          <w:szCs w:val="20"/>
          <w:color w:val="auto"/>
        </w:rPr>
      </w:pPr>
      <w:r>
        <w:rPr>
          <w:rFonts w:ascii="Times New Roman" w:cs="Times New Roman" w:eastAsia="Times New Roman" w:hAnsi="Times New Roman"/>
          <w:sz w:val="18"/>
          <w:szCs w:val="18"/>
          <w:color w:val="auto"/>
        </w:rPr>
        <w:t>Title:</w:t>
        <w:tab/>
        <w:t>Chief Financial Officer of Endeavour Capital</w:t>
      </w:r>
    </w:p>
    <w:p>
      <w:pPr>
        <w:spacing w:after="0" w:line="9" w:lineRule="exact"/>
        <w:rPr>
          <w:sz w:val="20"/>
          <w:szCs w:val="20"/>
          <w:color w:val="auto"/>
        </w:rPr>
      </w:pPr>
    </w:p>
    <w:p>
      <w:pPr>
        <w:jc w:val="center"/>
        <w:ind w:right="6396"/>
        <w:spacing w:after="0"/>
        <w:rPr>
          <w:sz w:val="20"/>
          <w:szCs w:val="20"/>
          <w:color w:val="auto"/>
        </w:rPr>
      </w:pPr>
      <w:r>
        <w:rPr>
          <w:rFonts w:ascii="Times New Roman" w:cs="Times New Roman" w:eastAsia="Times New Roman" w:hAnsi="Times New Roman"/>
          <w:sz w:val="18"/>
          <w:szCs w:val="18"/>
          <w:color w:val="auto"/>
        </w:rPr>
        <w:t>Advisors Inc., its investment advisor</w:t>
      </w: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LAURENCE M. AUSTIN*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Laurence M.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MITCHELL J. KATZ*</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Mitchell J.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JONAH MARCUS*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Jonah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42" w:lineRule="exact"/>
        <w:rPr>
          <w:sz w:val="20"/>
          <w:szCs w:val="20"/>
          <w:color w:val="auto"/>
        </w:rPr>
      </w:pPr>
    </w:p>
    <w:p>
      <w:pPr>
        <w:ind w:left="424" w:hanging="424"/>
        <w:spacing w:after="0" w:line="268"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Reporting Persons disclaim beneficial ownership in the shares reported herein except to the extent of their pecuniary interest therein, and this report shall not otherwise be deemed an admission that any of them is the beneficial owner of such securities for purposes of Section 13(d) or Section 16 of the Securities Exchange Act of 1934, as amended, or for any other purposes.</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2024-02-14T18:57:27Z</dcterms:created>
  <dcterms:modified xsi:type="dcterms:W3CDTF">2024-02-14T18:57:27Z</dcterms:modified>
</cp:coreProperties>
</file>