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35" w:lineRule="exact"/>
        <w:rPr>
          <w:sz w:val="24"/>
          <w:szCs w:val="24"/>
          <w:color w:val="auto"/>
        </w:rPr>
      </w:pPr>
    </w:p>
    <w:p>
      <w:pPr>
        <w:ind w:left="1660" w:hanging="54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2022</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87" w:lineRule="exact"/>
        <w:rPr>
          <w:sz w:val="24"/>
          <w:szCs w:val="24"/>
          <w:color w:val="auto"/>
        </w:rPr>
      </w:pPr>
    </w:p>
    <w:p>
      <w:pPr>
        <w:ind w:left="1600" w:hanging="521"/>
        <w:spacing w:after="0"/>
        <w:tabs>
          <w:tab w:leader="none" w:pos="160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15(d)OF THE SECURITIES EXCHANGE ACT OF 1934</w:t>
      </w:r>
    </w:p>
    <w:p>
      <w:pPr>
        <w:spacing w:after="0" w:line="130" w:lineRule="exact"/>
        <w:rPr>
          <w:sz w:val="24"/>
          <w:szCs w:val="24"/>
          <w:color w:val="auto"/>
        </w:rPr>
      </w:pPr>
    </w:p>
    <w:tbl>
      <w:tblPr>
        <w:tblLayout w:type="fixed"/>
        <w:tblInd w:w="820" w:type="dxa"/>
        <w:tblCellMar>
          <w:top w:w="0" w:type="dxa"/>
          <w:left w:w="0" w:type="dxa"/>
          <w:bottom w:w="0" w:type="dxa"/>
          <w:right w:w="0" w:type="dxa"/>
        </w:tblCellMar>
      </w:tblPr>
      <w:tr>
        <w:trPr>
          <w:trHeight w:val="152"/>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For the transition period from _____to_____</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Commission File Number: 001-41196</w:t>
            </w: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USCB Financial Holdings, Inc.</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1680" w:type="dxa"/>
            <w:vAlign w:val="bottom"/>
            <w:gridSpan w:val="2"/>
          </w:tcPr>
          <w:p>
            <w:pPr>
              <w:jc w:val="center"/>
              <w:ind w:right="683"/>
              <w:spacing w:after="0"/>
              <w:rPr>
                <w:sz w:val="20"/>
                <w:szCs w:val="20"/>
                <w:color w:val="auto"/>
              </w:rPr>
            </w:pPr>
            <w:r>
              <w:rPr>
                <w:rFonts w:ascii="Arial" w:cs="Arial" w:eastAsia="Arial" w:hAnsi="Arial"/>
                <w:sz w:val="11"/>
                <w:szCs w:val="11"/>
                <w:b w:val="1"/>
                <w:bCs w:val="1"/>
                <w:color w:val="auto"/>
              </w:rPr>
              <w:t>Florida</w:t>
            </w: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4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rPr>
              <w:t>87-4070846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320" w:type="dxa"/>
            <w:vAlign w:val="bottom"/>
            <w:gridSpan w:val="3"/>
          </w:tcPr>
          <w:p>
            <w:pPr>
              <w:jc w:val="center"/>
              <w:ind w:right="43"/>
              <w:spacing w:after="0"/>
              <w:rPr>
                <w:sz w:val="20"/>
                <w:szCs w:val="20"/>
                <w:color w:val="auto"/>
              </w:rPr>
            </w:pPr>
            <w:r>
              <w:rPr>
                <w:rFonts w:ascii="Arial" w:cs="Arial" w:eastAsia="Arial" w:hAnsi="Arial"/>
                <w:sz w:val="11"/>
                <w:szCs w:val="11"/>
                <w:i w:val="1"/>
                <w:iCs w:val="1"/>
                <w:color w:val="auto"/>
              </w:rPr>
              <w:t>(State or other jurisdiction of</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2320" w:type="dxa"/>
            <w:vAlign w:val="bottom"/>
            <w:gridSpan w:val="3"/>
          </w:tcPr>
          <w:p>
            <w:pPr>
              <w:jc w:val="center"/>
              <w:ind w:right="23"/>
              <w:spacing w:after="0"/>
              <w:rPr>
                <w:sz w:val="20"/>
                <w:szCs w:val="20"/>
                <w:color w:val="auto"/>
              </w:rPr>
            </w:pPr>
            <w:r>
              <w:rPr>
                <w:rFonts w:ascii="Arial" w:cs="Arial" w:eastAsia="Arial" w:hAnsi="Arial"/>
                <w:sz w:val="11"/>
                <w:szCs w:val="11"/>
                <w:i w:val="1"/>
                <w:iCs w:val="1"/>
                <w:color w:val="auto"/>
              </w:rPr>
              <w:t>incorporation or organization)</w:t>
            </w:r>
          </w:p>
        </w:tc>
        <w:tc>
          <w:tcPr>
            <w:tcW w:w="26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2301 NW 87th Avenue, Doral, FL 33172</w:t>
            </w: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(Address of principal executive offices) (zip code)</w:t>
            </w: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20" w:type="dxa"/>
            <w:vAlign w:val="bottom"/>
            <w:gridSpan w:val="6"/>
          </w:tcPr>
          <w:p>
            <w:pPr>
              <w:jc w:val="center"/>
              <w:ind w:right="54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23"/>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gridSpan w:val="4"/>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20" w:type="dxa"/>
            <w:vAlign w:val="bottom"/>
            <w:gridSpan w:val="3"/>
          </w:tcPr>
          <w:p>
            <w:pPr>
              <w:spacing w:after="0"/>
              <w:rPr>
                <w:sz w:val="20"/>
                <w:szCs w:val="20"/>
                <w:color w:val="auto"/>
              </w:rPr>
            </w:pPr>
            <w:r>
              <w:rPr>
                <w:rFonts w:ascii="Arial" w:cs="Arial" w:eastAsia="Arial" w:hAnsi="Arial"/>
                <w:sz w:val="11"/>
                <w:szCs w:val="11"/>
                <w:color w:val="auto"/>
              </w:rPr>
              <w:t>Class A Common Stock, $1.00 par value per</w:t>
            </w:r>
          </w:p>
        </w:tc>
        <w:tc>
          <w:tcPr>
            <w:tcW w:w="86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color w:val="auto"/>
              </w:rPr>
              <w:t>USCB</w:t>
            </w:r>
          </w:p>
        </w:tc>
        <w:tc>
          <w:tcPr>
            <w:tcW w:w="40" w:type="dxa"/>
            <w:vAlign w:val="bottom"/>
          </w:tcPr>
          <w:p>
            <w:pPr>
              <w:spacing w:after="0"/>
              <w:rPr>
                <w:sz w:val="15"/>
                <w:szCs w:val="15"/>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680" w:type="dxa"/>
            <w:vAlign w:val="bottom"/>
            <w:gridSpan w:val="2"/>
          </w:tcPr>
          <w:p>
            <w:pPr>
              <w:jc w:val="center"/>
              <w:ind w:right="643"/>
              <w:spacing w:after="0"/>
              <w:rPr>
                <w:sz w:val="20"/>
                <w:szCs w:val="20"/>
                <w:color w:val="auto"/>
              </w:rPr>
            </w:pPr>
            <w:r>
              <w:rPr>
                <w:rFonts w:ascii="Arial" w:cs="Arial" w:eastAsia="Arial" w:hAnsi="Arial"/>
                <w:sz w:val="11"/>
                <w:szCs w:val="11"/>
                <w:color w:val="auto"/>
              </w:rPr>
              <w:t>share</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000" w:type="dxa"/>
            <w:vAlign w:val="bottom"/>
            <w:gridSpan w:val="6"/>
          </w:tcPr>
          <w:p>
            <w:pPr>
              <w:ind w:left="1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40" w:type="dxa"/>
            <w:vAlign w:val="bottom"/>
            <w:gridSpan w:val="8"/>
          </w:tcPr>
          <w:p>
            <w:pPr>
              <w:ind w:left="100"/>
              <w:spacing w:after="0" w:line="218" w:lineRule="exact"/>
              <w:rPr>
                <w:sz w:val="20"/>
                <w:szCs w:val="20"/>
                <w:color w:val="auto"/>
              </w:rPr>
            </w:pPr>
            <w:r>
              <w:rPr>
                <w:rFonts w:ascii="Arial" w:cs="Arial" w:eastAsia="Arial" w:hAnsi="Arial"/>
                <w:sz w:val="11"/>
                <w:szCs w:val="11"/>
                <w:color w:val="auto"/>
              </w:rPr>
              <w:t xml:space="preserve">Indicate by check mark if the registrant is a well-knownseasoned issuer, as defined in Rule 405 of the Securities Act.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Yes</w:t>
            </w:r>
          </w:p>
        </w:tc>
        <w:tc>
          <w:tcPr>
            <w:tcW w:w="1120" w:type="dxa"/>
            <w:vAlign w:val="bottom"/>
            <w:gridSpan w:val="2"/>
          </w:tcPr>
          <w:p>
            <w:pPr>
              <w:jc w:val="center"/>
              <w:ind w:right="720"/>
              <w:spacing w:after="0" w:line="218" w:lineRule="exact"/>
              <w:rPr>
                <w:sz w:val="20"/>
                <w:szCs w:val="20"/>
                <w:color w:val="auto"/>
              </w:rPr>
            </w:pPr>
            <w:r>
              <w:rPr>
                <w:rFonts w:ascii="Arial" w:cs="Arial" w:eastAsia="Arial" w:hAnsi="Arial"/>
                <w:sz w:val="11"/>
                <w:szCs w:val="11"/>
                <w:color w:val="auto"/>
                <w:w w:val="87"/>
              </w:rPr>
              <w:t xml:space="preserve">No </w:t>
            </w:r>
            <w:r>
              <w:rPr>
                <w:rFonts w:ascii="MS PGothic" w:cs="MS PGothic" w:eastAsia="MS PGothic" w:hAnsi="MS PGothic"/>
                <w:sz w:val="22"/>
                <w:szCs w:val="22"/>
                <w:color w:val="auto"/>
                <w:w w:val="87"/>
                <w:vertAlign w:val="superscript"/>
              </w:rPr>
              <w:t>☒</w:t>
            </w:r>
          </w:p>
        </w:tc>
        <w:tc>
          <w:tcPr>
            <w:tcW w:w="0" w:type="dxa"/>
            <w:vAlign w:val="bottom"/>
          </w:tcPr>
          <w:p>
            <w:pPr>
              <w:spacing w:after="0"/>
              <w:rPr>
                <w:sz w:val="1"/>
                <w:szCs w:val="1"/>
                <w:color w:val="auto"/>
              </w:rPr>
            </w:pPr>
          </w:p>
        </w:tc>
      </w:tr>
      <w:tr>
        <w:trPr>
          <w:trHeight w:val="253"/>
        </w:trPr>
        <w:tc>
          <w:tcPr>
            <w:tcW w:w="6340" w:type="dxa"/>
            <w:vAlign w:val="bottom"/>
            <w:gridSpan w:val="8"/>
          </w:tcPr>
          <w:p>
            <w:pPr>
              <w:ind w:left="100"/>
              <w:spacing w:after="0"/>
              <w:rPr>
                <w:sz w:val="20"/>
                <w:szCs w:val="20"/>
                <w:color w:val="auto"/>
              </w:rPr>
            </w:pPr>
            <w:r>
              <w:rPr>
                <w:rFonts w:ascii="Arial" w:cs="Arial" w:eastAsia="Arial" w:hAnsi="Arial"/>
                <w:sz w:val="11"/>
                <w:szCs w:val="11"/>
                <w:color w:val="auto"/>
              </w:rPr>
              <w:t>Indicate by check mark if the registrant is not requiredto file reports pursuant to Section 13 or Section15(d) of the Act. Yes</w:t>
            </w:r>
          </w:p>
        </w:tc>
        <w:tc>
          <w:tcPr>
            <w:tcW w:w="1120" w:type="dxa"/>
            <w:vAlign w:val="bottom"/>
            <w:gridSpan w:val="2"/>
          </w:tcPr>
          <w:p>
            <w:pPr>
              <w:jc w:val="center"/>
              <w:ind w:right="700"/>
              <w:spacing w:after="0" w:line="253" w:lineRule="exact"/>
              <w:rPr>
                <w:sz w:val="20"/>
                <w:szCs w:val="20"/>
                <w:color w:val="auto"/>
              </w:rPr>
            </w:pPr>
            <w:r>
              <w:rPr>
                <w:rFonts w:ascii="MS PGothic" w:cs="MS PGothic" w:eastAsia="MS PGothic" w:hAnsi="MS PGothic"/>
                <w:sz w:val="22"/>
                <w:szCs w:val="22"/>
                <w:color w:val="auto"/>
                <w:w w:val="84"/>
                <w:vertAlign w:val="superscript"/>
              </w:rPr>
              <w:t>☐</w:t>
            </w:r>
            <w:r>
              <w:rPr>
                <w:rFonts w:ascii="Arial" w:cs="Arial" w:eastAsia="Arial" w:hAnsi="Arial"/>
                <w:sz w:val="11"/>
                <w:szCs w:val="11"/>
                <w:color w:val="auto"/>
                <w:w w:val="84"/>
              </w:rPr>
              <w:t xml:space="preserve"> No </w:t>
            </w:r>
            <w:r>
              <w:rPr>
                <w:rFonts w:ascii="MS PGothic" w:cs="MS PGothic" w:eastAsia="MS PGothic" w:hAnsi="MS PGothic"/>
                <w:sz w:val="22"/>
                <w:szCs w:val="22"/>
                <w:color w:val="auto"/>
                <w:w w:val="84"/>
                <w:vertAlign w:val="superscript"/>
              </w:rPr>
              <w:t>☒</w:t>
            </w:r>
          </w:p>
        </w:tc>
        <w:tc>
          <w:tcPr>
            <w:tcW w:w="0" w:type="dxa"/>
            <w:vAlign w:val="bottom"/>
          </w:tcPr>
          <w:p>
            <w:pPr>
              <w:spacing w:after="0"/>
              <w:rPr>
                <w:sz w:val="1"/>
                <w:szCs w:val="1"/>
                <w:color w:val="auto"/>
              </w:rPr>
            </w:pPr>
          </w:p>
        </w:tc>
      </w:tr>
    </w:tbl>
    <w:p>
      <w:pPr>
        <w:jc w:val="both"/>
        <w:ind w:left="920" w:right="659"/>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5" w:lineRule="exact"/>
        <w:rPr>
          <w:sz w:val="24"/>
          <w:szCs w:val="24"/>
          <w:color w:val="auto"/>
        </w:rPr>
      </w:pPr>
    </w:p>
    <w:p>
      <w:pPr>
        <w:jc w:val="both"/>
        <w:ind w:left="920" w:right="659"/>
        <w:spacing w:after="0" w:line="156"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53" w:lineRule="auto"/>
        <w:rPr>
          <w:sz w:val="20"/>
          <w:szCs w:val="20"/>
          <w:color w:val="auto"/>
        </w:rPr>
      </w:pPr>
      <w:r>
        <w:rPr>
          <w:rFonts w:ascii="Arial" w:cs="Arial" w:eastAsia="Arial" w:hAnsi="Arial"/>
          <w:sz w:val="11"/>
          <w:szCs w:val="11"/>
          <w:color w:val="auto"/>
        </w:rPr>
        <w:t>Indicate by check mark whetherthe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9" w:lineRule="exact"/>
        <w:rPr>
          <w:sz w:val="24"/>
          <w:szCs w:val="24"/>
          <w:color w:val="auto"/>
        </w:rPr>
      </w:pPr>
    </w:p>
    <w:p>
      <w:pPr>
        <w:ind w:left="920"/>
        <w:spacing w:after="0" w:line="253"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ab/>
        <w:t xml:space="preserve">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Non-accelerated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Smaller reporting company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Emerging growth company </w:t>
      </w:r>
      <w:r>
        <w:rPr>
          <w:rFonts w:ascii="MS PGothic" w:cs="MS PGothic" w:eastAsia="MS PGothic" w:hAnsi="MS PGothic"/>
          <w:sz w:val="22"/>
          <w:szCs w:val="22"/>
          <w:color w:val="auto"/>
          <w:vertAlign w:val="superscript"/>
        </w:rPr>
        <w:t>☒</w:t>
      </w:r>
    </w:p>
    <w:p>
      <w:pPr>
        <w:ind w:left="920" w:right="679"/>
        <w:spacing w:after="0" w:line="134" w:lineRule="exact"/>
        <w:rPr>
          <w:sz w:val="20"/>
          <w:szCs w:val="20"/>
          <w:color w:val="auto"/>
        </w:rPr>
      </w:pPr>
      <w:r>
        <w:rPr>
          <w:rFonts w:ascii="Arial" w:cs="Arial" w:eastAsia="Arial" w:hAnsi="Arial"/>
          <w:sz w:val="11"/>
          <w:szCs w:val="11"/>
          <w:color w:val="auto"/>
        </w:rPr>
        <w:t xml:space="preserve">If an emerging growth company, indicate by check mark if the registranthas elected not to use the extendedtransition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4" w:lineRule="exact"/>
        <w:rPr>
          <w:sz w:val="24"/>
          <w:szCs w:val="24"/>
          <w:color w:val="auto"/>
        </w:rPr>
      </w:pPr>
    </w:p>
    <w:p>
      <w:pPr>
        <w:jc w:val="both"/>
        <w:ind w:left="920" w:right="659"/>
        <w:spacing w:after="0" w:line="156" w:lineRule="exact"/>
        <w:rPr>
          <w:sz w:val="20"/>
          <w:szCs w:val="20"/>
          <w:color w:val="auto"/>
        </w:rPr>
      </w:pPr>
      <w:r>
        <w:rPr>
          <w:rFonts w:ascii="Arial" w:cs="Arial" w:eastAsia="Arial" w:hAnsi="Arial"/>
          <w:sz w:val="11"/>
          <w:szCs w:val="11"/>
          <w:color w:val="auto"/>
        </w:rPr>
        <w:t xml:space="preserve">Indicate by check mark whether the registrant hasfiled a report on and attestation to itsmanagement’s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66" w:lineRule="exact"/>
        <w:rPr>
          <w:sz w:val="20"/>
          <w:szCs w:val="20"/>
          <w:color w:val="auto"/>
        </w:rPr>
      </w:pPr>
      <w:r>
        <w:rPr>
          <w:rFonts w:ascii="Arial" w:cs="Arial" w:eastAsia="Arial" w:hAnsi="Arial"/>
          <w:sz w:val="11"/>
          <w:szCs w:val="11"/>
          <w:color w:val="auto"/>
        </w:rPr>
        <w:t xml:space="preserve">If securities are registered pursuant to Section 12(b) of the Act, indicateby check mark whether the financial statements of the registrant included in the filing reflect the correction of an error to previously issued financial statements. </w:t>
      </w:r>
      <w:r>
        <w:rPr>
          <w:rFonts w:ascii="MS PGothic" w:cs="MS PGothic" w:eastAsia="MS PGothic" w:hAnsi="MS PGothic"/>
          <w:sz w:val="22"/>
          <w:szCs w:val="22"/>
          <w:color w:val="auto"/>
          <w:vertAlign w:val="superscript"/>
        </w:rPr>
        <w:t>☐</w:t>
      </w:r>
    </w:p>
    <w:p>
      <w:pPr>
        <w:ind w:left="920" w:right="679"/>
        <w:spacing w:after="0" w:line="154"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relevantrecovery period pursuant to §240.10D-1(b). </w:t>
      </w:r>
      <w:r>
        <w:rPr>
          <w:rFonts w:ascii="MS PGothic" w:cs="MS PGothic" w:eastAsia="MS PGothic" w:hAnsi="MS PGothic"/>
          <w:sz w:val="22"/>
          <w:szCs w:val="22"/>
          <w:color w:val="auto"/>
          <w:vertAlign w:val="superscript"/>
        </w:rPr>
        <w:t>☐</w:t>
      </w:r>
    </w:p>
    <w:p>
      <w:pPr>
        <w:ind w:left="920"/>
        <w:spacing w:after="0" w:line="2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ind w:left="920" w:right="819"/>
        <w:spacing w:after="0" w:line="256" w:lineRule="auto"/>
        <w:rPr>
          <w:sz w:val="20"/>
          <w:szCs w:val="20"/>
          <w:color w:val="auto"/>
        </w:rPr>
      </w:pPr>
      <w:r>
        <w:rPr>
          <w:rFonts w:ascii="Arial" w:cs="Arial" w:eastAsia="Arial" w:hAnsi="Arial"/>
          <w:sz w:val="11"/>
          <w:szCs w:val="11"/>
          <w:color w:val="auto"/>
        </w:rPr>
        <w:t>The aggregate market value of the voting stock held by non-affiliates of the registrant based on the closing price of $ 11.54 per share on June 30, 2022, the last business day of the registrant’s second quarter, was approximately $125.4 million (20,000,753 shares issued and outstanding at such date less shares held by affiliates). Although directors and executive officers and their affiliates of the Registrant wereassumed to be “affiliates” of the Registrant for purposes of the calculation, the classification is not to be interpreted as an admissionof such status.</w:t>
      </w:r>
    </w:p>
    <w:p>
      <w:pPr>
        <w:spacing w:after="0" w:line="58" w:lineRule="exact"/>
        <w:rPr>
          <w:sz w:val="24"/>
          <w:szCs w:val="24"/>
          <w:color w:val="auto"/>
        </w:rPr>
      </w:pPr>
    </w:p>
    <w:p>
      <w:pPr>
        <w:ind w:left="920"/>
        <w:spacing w:after="0"/>
        <w:rPr>
          <w:sz w:val="20"/>
          <w:szCs w:val="20"/>
          <w:color w:val="auto"/>
        </w:rPr>
      </w:pPr>
      <w:r>
        <w:rPr>
          <w:rFonts w:ascii="Arial" w:cs="Arial" w:eastAsia="Arial" w:hAnsi="Arial"/>
          <w:sz w:val="11"/>
          <w:szCs w:val="11"/>
          <w:color w:val="auto"/>
        </w:rPr>
        <w:t>As of March 15, 2023, the registrant had had 19,622,380 shares of Class A Common Stock outstanding.</w:t>
      </w:r>
    </w:p>
    <w:p>
      <w:pPr>
        <w:spacing w:after="0" w:line="62" w:lineRule="exact"/>
        <w:rPr>
          <w:sz w:val="24"/>
          <w:szCs w:val="24"/>
          <w:color w:val="auto"/>
        </w:rPr>
      </w:pPr>
    </w:p>
    <w:p>
      <w:pPr>
        <w:ind w:left="920"/>
        <w:spacing w:after="0"/>
        <w:rPr>
          <w:sz w:val="20"/>
          <w:szCs w:val="20"/>
          <w:color w:val="auto"/>
        </w:rPr>
      </w:pPr>
      <w:r>
        <w:rPr>
          <w:rFonts w:ascii="Arial" w:cs="Arial" w:eastAsia="Arial" w:hAnsi="Arial"/>
          <w:sz w:val="11"/>
          <w:szCs w:val="11"/>
          <w:b w:val="1"/>
          <w:bCs w:val="1"/>
          <w:color w:val="auto"/>
        </w:rPr>
        <w:t>DOCUMENTS INCORPORATED BY REFERENCE</w:t>
      </w:r>
    </w:p>
    <w:p>
      <w:pPr>
        <w:spacing w:after="0" w:line="90" w:lineRule="exact"/>
        <w:rPr>
          <w:sz w:val="24"/>
          <w:szCs w:val="24"/>
          <w:color w:val="auto"/>
        </w:rPr>
      </w:pPr>
    </w:p>
    <w:p>
      <w:pPr>
        <w:ind w:left="900" w:right="699"/>
        <w:spacing w:after="0" w:line="263" w:lineRule="auto"/>
        <w:rPr>
          <w:sz w:val="20"/>
          <w:szCs w:val="20"/>
          <w:color w:val="auto"/>
        </w:rPr>
      </w:pPr>
      <w:r>
        <w:rPr>
          <w:rFonts w:ascii="Arial" w:cs="Arial" w:eastAsia="Arial" w:hAnsi="Arial"/>
          <w:sz w:val="11"/>
          <w:szCs w:val="11"/>
          <w:color w:val="auto"/>
        </w:rPr>
        <w:t>Certain portions of the registrant’s Proxy Statement for the 2023 Annual Meeting of Shareholders (the “2023 Proxy Statement”) are incorporated by reference into Part III of this report.</w:t>
      </w:r>
    </w:p>
    <w:p>
      <w:pPr>
        <w:sectPr>
          <w:pgSz w:w="11900" w:h="16838" w:orient="portrait"/>
          <w:cols w:equalWidth="0" w:num="1">
            <w:col w:w="9019"/>
          </w:cols>
          <w:pgMar w:left="1440" w:top="797" w:right="1440"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gridSpan w:val="11"/>
          </w:tcPr>
          <w:p>
            <w:pPr>
              <w:jc w:val="center"/>
              <w:ind w:right="2460"/>
              <w:spacing w:after="0"/>
              <w:rPr>
                <w:sz w:val="20"/>
                <w:szCs w:val="20"/>
                <w:color w:val="auto"/>
              </w:rPr>
            </w:pPr>
            <w:r>
              <w:rPr>
                <w:rFonts w:ascii="Arial" w:cs="Arial" w:eastAsia="Arial" w:hAnsi="Arial"/>
                <w:sz w:val="14"/>
                <w:szCs w:val="14"/>
                <w:b w:val="1"/>
                <w:bCs w:val="1"/>
                <w:color w:val="auto"/>
              </w:rPr>
              <w:t>FORM 10-K</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DECEMBER 31, 2022</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3"/>
          </w:tcPr>
          <w:p>
            <w:pPr>
              <w:spacing w:after="0"/>
              <w:rPr>
                <w:sz w:val="20"/>
                <w:szCs w:val="20"/>
                <w:color w:val="auto"/>
              </w:rPr>
            </w:pPr>
            <w:r>
              <w:rPr>
                <w:rFonts w:ascii="Arial" w:cs="Arial" w:eastAsia="Arial" w:hAnsi="Arial"/>
                <w:sz w:val="13"/>
                <w:szCs w:val="13"/>
                <w:color w:val="0000FF"/>
              </w:rPr>
              <w:t>Cautionary Note Regarding Forward-Looking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28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280" w:type="dxa"/>
            <w:vAlign w:val="bottom"/>
            <w:gridSpan w:val="2"/>
          </w:tcPr>
          <w:p>
            <w:pPr>
              <w:spacing w:after="0"/>
              <w:rPr>
                <w:sz w:val="23"/>
                <w:szCs w:val="23"/>
                <w:color w:val="auto"/>
              </w:rPr>
            </w:pPr>
          </w:p>
        </w:tc>
        <w:tc>
          <w:tcPr>
            <w:tcW w:w="6320" w:type="dxa"/>
            <w:vAlign w:val="bottom"/>
            <w:gridSpan w:val="23"/>
          </w:tcPr>
          <w:p>
            <w:pPr>
              <w:spacing w:after="0"/>
              <w:rPr>
                <w:sz w:val="20"/>
                <w:szCs w:val="20"/>
                <w:color w:val="auto"/>
              </w:rPr>
            </w:pPr>
            <w:r>
              <w:rPr>
                <w:rFonts w:ascii="Arial" w:cs="Arial" w:eastAsia="Arial" w:hAnsi="Arial"/>
                <w:sz w:val="13"/>
                <w:szCs w:val="13"/>
                <w:color w:val="0000FF"/>
              </w:rPr>
              <w:t>Business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3"/>
                <w:szCs w:val="2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6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86"/>
              </w:rPr>
              <w:t>Item 1A.</w:t>
            </w:r>
          </w:p>
        </w:tc>
        <w:tc>
          <w:tcPr>
            <w:tcW w:w="22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Risk Factors</w:t>
            </w:r>
          </w:p>
        </w:tc>
        <w:tc>
          <w:tcPr>
            <w:tcW w:w="5580" w:type="dxa"/>
            <w:vAlign w:val="bottom"/>
            <w:gridSpan w:val="20"/>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18</w:t>
            </w: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6"/>
              </w:rPr>
              <w:t>Item 1B.</w:t>
            </w:r>
          </w:p>
        </w:tc>
        <w:tc>
          <w:tcPr>
            <w:tcW w:w="220" w:type="dxa"/>
            <w:vAlign w:val="bottom"/>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Unresolved Staff Comments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41</w:t>
            </w:r>
          </w:p>
        </w:tc>
      </w:tr>
      <w:tr>
        <w:trPr>
          <w:trHeight w:val="129"/>
        </w:trPr>
        <w:tc>
          <w:tcPr>
            <w:tcW w:w="400" w:type="dxa"/>
            <w:vAlign w:val="bottom"/>
            <w:tcBorders>
              <w:top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3"/>
                <w:szCs w:val="13"/>
                <w:color w:val="0000FF"/>
              </w:rPr>
              <w:t>Properties</w:t>
            </w:r>
          </w:p>
        </w:tc>
        <w:tc>
          <w:tcPr>
            <w:tcW w:w="4720" w:type="dxa"/>
            <w:vAlign w:val="bottom"/>
            <w:gridSpan w:val="16"/>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41</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3.</w:t>
            </w:r>
          </w:p>
        </w:tc>
        <w:tc>
          <w:tcPr>
            <w:tcW w:w="280" w:type="dxa"/>
            <w:vAlign w:val="bottom"/>
            <w:gridSpan w:val="2"/>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Legal Proceedings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41</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19"/>
        </w:trPr>
        <w:tc>
          <w:tcPr>
            <w:tcW w:w="400" w:type="dxa"/>
            <w:vAlign w:val="bottom"/>
            <w:tcBorders>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4.</w:t>
            </w:r>
          </w:p>
        </w:tc>
        <w:tc>
          <w:tcPr>
            <w:tcW w:w="280" w:type="dxa"/>
            <w:vAlign w:val="bottom"/>
            <w:gridSpan w:val="2"/>
          </w:tcPr>
          <w:p>
            <w:pPr>
              <w:spacing w:after="0"/>
              <w:rPr>
                <w:sz w:val="10"/>
                <w:szCs w:val="10"/>
                <w:color w:val="auto"/>
              </w:rPr>
            </w:pPr>
          </w:p>
        </w:tc>
        <w:tc>
          <w:tcPr>
            <w:tcW w:w="1380" w:type="dxa"/>
            <w:vAlign w:val="bottom"/>
            <w:tcBorders>
              <w:bottom w:val="single" w:sz="8" w:color="0000FF"/>
            </w:tcBorders>
            <w:gridSpan w:val="5"/>
          </w:tcPr>
          <w:p>
            <w:pPr>
              <w:spacing w:after="0" w:line="119" w:lineRule="exact"/>
              <w:rPr>
                <w:sz w:val="20"/>
                <w:szCs w:val="20"/>
                <w:color w:val="auto"/>
              </w:rPr>
            </w:pPr>
            <w:r>
              <w:rPr>
                <w:rFonts w:ascii="Arial" w:cs="Arial" w:eastAsia="Arial" w:hAnsi="Arial"/>
                <w:sz w:val="13"/>
                <w:szCs w:val="13"/>
                <w:color w:val="0000FF"/>
                <w:w w:val="97"/>
              </w:rPr>
              <w:t>Mine Safety Disclosures</w:t>
            </w:r>
          </w:p>
        </w:tc>
        <w:tc>
          <w:tcPr>
            <w:tcW w:w="4940" w:type="dxa"/>
            <w:vAlign w:val="bottom"/>
            <w:gridSpan w:val="18"/>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bottom w:val="single" w:sz="8" w:color="0000FF"/>
            </w:tcBorders>
            <w:gridSpan w:val="2"/>
          </w:tcPr>
          <w:p>
            <w:pPr>
              <w:jc w:val="right"/>
              <w:ind w:right="20"/>
              <w:spacing w:after="0" w:line="119" w:lineRule="exact"/>
              <w:rPr>
                <w:sz w:val="20"/>
                <w:szCs w:val="20"/>
                <w:color w:val="auto"/>
              </w:rPr>
            </w:pPr>
            <w:r>
              <w:rPr>
                <w:rFonts w:ascii="Arial" w:cs="Arial" w:eastAsia="Arial" w:hAnsi="Arial"/>
                <w:sz w:val="13"/>
                <w:szCs w:val="13"/>
                <w:color w:val="0000FF"/>
                <w:w w:val="82"/>
              </w:rPr>
              <w:t>41</w:t>
            </w:r>
          </w:p>
        </w:tc>
      </w:tr>
      <w:tr>
        <w:trPr>
          <w:trHeight w:val="279"/>
        </w:trPr>
        <w:tc>
          <w:tcPr>
            <w:tcW w:w="680" w:type="dxa"/>
            <w:vAlign w:val="bottom"/>
            <w:gridSpan w:val="3"/>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0000FF"/>
              </w:rPr>
              <w:t>42</w:t>
            </w:r>
          </w:p>
        </w:tc>
      </w:tr>
      <w:tr>
        <w:trPr>
          <w:trHeight w:val="279"/>
        </w:trPr>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color w:val="0000FF"/>
                <w:w w:val="90"/>
              </w:rPr>
              <w:t>Item 5.</w:t>
            </w: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Borders>
              <w:bottom w:val="single" w:sz="8" w:color="0000FF"/>
            </w:tcBorders>
            <w:gridSpan w:val="23"/>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 Equity Securities</w:t>
            </w:r>
          </w:p>
        </w:tc>
        <w:tc>
          <w:tcPr>
            <w:tcW w:w="54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ind w:right="20"/>
              <w:spacing w:after="0"/>
              <w:rPr>
                <w:sz w:val="20"/>
                <w:szCs w:val="20"/>
                <w:color w:val="auto"/>
              </w:rPr>
            </w:pPr>
            <w:r>
              <w:rPr>
                <w:rFonts w:ascii="Arial" w:cs="Arial" w:eastAsia="Arial" w:hAnsi="Arial"/>
                <w:sz w:val="13"/>
                <w:szCs w:val="13"/>
                <w:color w:val="0000FF"/>
                <w:w w:val="82"/>
              </w:rPr>
              <w:t>42</w:t>
            </w:r>
          </w:p>
        </w:tc>
      </w:tr>
      <w:tr>
        <w:trPr>
          <w:trHeight w:val="119"/>
        </w:trPr>
        <w:tc>
          <w:tcPr>
            <w:tcW w:w="400" w:type="dxa"/>
            <w:vAlign w:val="bottom"/>
            <w:tcBorders>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6.</w:t>
            </w:r>
          </w:p>
        </w:tc>
        <w:tc>
          <w:tcPr>
            <w:tcW w:w="280" w:type="dxa"/>
            <w:vAlign w:val="bottom"/>
            <w:gridSpan w:val="2"/>
          </w:tcPr>
          <w:p>
            <w:pPr>
              <w:spacing w:after="0"/>
              <w:rPr>
                <w:sz w:val="10"/>
                <w:szCs w:val="10"/>
                <w:color w:val="auto"/>
              </w:rPr>
            </w:pPr>
          </w:p>
        </w:tc>
        <w:tc>
          <w:tcPr>
            <w:tcW w:w="58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96"/>
              </w:rPr>
              <w:t>Reserved</w:t>
            </w:r>
          </w:p>
        </w:tc>
        <w:tc>
          <w:tcPr>
            <w:tcW w:w="5740" w:type="dxa"/>
            <w:vAlign w:val="bottom"/>
            <w:gridSpan w:val="21"/>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bottom w:val="single" w:sz="8" w:color="0000FF"/>
            </w:tcBorders>
            <w:gridSpan w:val="2"/>
          </w:tcPr>
          <w:p>
            <w:pPr>
              <w:jc w:val="right"/>
              <w:ind w:right="20"/>
              <w:spacing w:after="0" w:line="119" w:lineRule="exact"/>
              <w:rPr>
                <w:sz w:val="20"/>
                <w:szCs w:val="20"/>
                <w:color w:val="auto"/>
              </w:rPr>
            </w:pPr>
            <w:r>
              <w:rPr>
                <w:rFonts w:ascii="Arial" w:cs="Arial" w:eastAsia="Arial" w:hAnsi="Arial"/>
                <w:sz w:val="13"/>
                <w:szCs w:val="13"/>
                <w:color w:val="0000FF"/>
                <w:w w:val="82"/>
              </w:rPr>
              <w:t>43</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7.</w:t>
            </w:r>
          </w:p>
        </w:tc>
        <w:tc>
          <w:tcPr>
            <w:tcW w:w="280" w:type="dxa"/>
            <w:vAlign w:val="bottom"/>
            <w:gridSpan w:val="2"/>
          </w:tcPr>
          <w:p>
            <w:pPr>
              <w:spacing w:after="0"/>
              <w:rPr>
                <w:sz w:val="11"/>
                <w:szCs w:val="11"/>
                <w:color w:val="auto"/>
              </w:rPr>
            </w:pPr>
          </w:p>
        </w:tc>
        <w:tc>
          <w:tcPr>
            <w:tcW w:w="5040" w:type="dxa"/>
            <w:vAlign w:val="bottom"/>
            <w:tcBorders>
              <w:bottom w:val="single" w:sz="8" w:color="0000FF"/>
            </w:tcBorders>
            <w:gridSpan w:val="20"/>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28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44</w:t>
            </w:r>
          </w:p>
        </w:tc>
      </w:tr>
      <w:tr>
        <w:trPr>
          <w:trHeight w:val="129"/>
        </w:trPr>
        <w:tc>
          <w:tcPr>
            <w:tcW w:w="46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86"/>
              </w:rPr>
              <w:t>Item 7A.</w:t>
            </w:r>
          </w:p>
        </w:tc>
        <w:tc>
          <w:tcPr>
            <w:tcW w:w="220" w:type="dxa"/>
            <w:vAlign w:val="bottom"/>
          </w:tcPr>
          <w:p>
            <w:pPr>
              <w:spacing w:after="0"/>
              <w:rPr>
                <w:sz w:val="11"/>
                <w:szCs w:val="11"/>
                <w:color w:val="auto"/>
              </w:rPr>
            </w:pPr>
          </w:p>
        </w:tc>
        <w:tc>
          <w:tcPr>
            <w:tcW w:w="3360" w:type="dxa"/>
            <w:vAlign w:val="bottom"/>
            <w:tcBorders>
              <w:bottom w:val="single" w:sz="8" w:color="0000FF"/>
            </w:tcBorders>
            <w:gridSpan w:val="16"/>
          </w:tcPr>
          <w:p>
            <w:pPr>
              <w:spacing w:after="0" w:line="12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2960" w:type="dxa"/>
            <w:vAlign w:val="bottom"/>
            <w:gridSpan w:val="7"/>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65</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8.</w:t>
            </w:r>
          </w:p>
        </w:tc>
        <w:tc>
          <w:tcPr>
            <w:tcW w:w="280" w:type="dxa"/>
            <w:vAlign w:val="bottom"/>
            <w:gridSpan w:val="2"/>
          </w:tcPr>
          <w:p>
            <w:pPr>
              <w:spacing w:after="0"/>
              <w:rPr>
                <w:sz w:val="11"/>
                <w:szCs w:val="11"/>
                <w:color w:val="auto"/>
              </w:rPr>
            </w:pPr>
          </w:p>
        </w:tc>
        <w:tc>
          <w:tcPr>
            <w:tcW w:w="266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8"/>
              </w:rPr>
              <w:t>Financial Statements and Supplementary Data</w:t>
            </w:r>
          </w:p>
        </w:tc>
        <w:tc>
          <w:tcPr>
            <w:tcW w:w="3660" w:type="dxa"/>
            <w:vAlign w:val="bottom"/>
            <w:gridSpan w:val="12"/>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68</w:t>
            </w: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Consolidated Balance Sheets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68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Consolidated Statements of Operations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69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320" w:type="dxa"/>
            <w:vAlign w:val="bottom"/>
            <w:gridSpan w:val="23"/>
          </w:tcPr>
          <w:p>
            <w:pPr>
              <w:spacing w:after="0" w:line="119" w:lineRule="exact"/>
              <w:rPr>
                <w:sz w:val="20"/>
                <w:szCs w:val="20"/>
                <w:color w:val="auto"/>
              </w:rPr>
            </w:pPr>
            <w:r>
              <w:rPr>
                <w:rFonts w:ascii="Arial" w:cs="Arial" w:eastAsia="Arial" w:hAnsi="Arial"/>
                <w:sz w:val="13"/>
                <w:szCs w:val="13"/>
                <w:color w:val="0000FF"/>
              </w:rPr>
              <w:t>Consolidated Statements of Comprehensive Income (Loss)</w:t>
            </w:r>
          </w:p>
        </w:tc>
        <w:tc>
          <w:tcPr>
            <w:tcW w:w="700" w:type="dxa"/>
            <w:vAlign w:val="bottom"/>
            <w:gridSpan w:val="3"/>
          </w:tcPr>
          <w:p>
            <w:pPr>
              <w:jc w:val="right"/>
              <w:ind w:right="20"/>
              <w:spacing w:after="0" w:line="119" w:lineRule="exact"/>
              <w:rPr>
                <w:sz w:val="20"/>
                <w:szCs w:val="20"/>
                <w:color w:val="auto"/>
              </w:rPr>
            </w:pPr>
            <w:r>
              <w:rPr>
                <w:rFonts w:ascii="Arial" w:cs="Arial" w:eastAsia="Arial" w:hAnsi="Arial"/>
                <w:sz w:val="13"/>
                <w:szCs w:val="13"/>
                <w:color w:val="0000FF"/>
              </w:rPr>
              <w:t>70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Borders>
              <w:bottom w:val="single" w:sz="8" w:color="0000FF"/>
            </w:tcBorders>
            <w:gridSpan w:val="17"/>
          </w:tcPr>
          <w:p>
            <w:pPr>
              <w:spacing w:after="0" w:line="129" w:lineRule="exact"/>
              <w:rPr>
                <w:sz w:val="20"/>
                <w:szCs w:val="20"/>
                <w:color w:val="auto"/>
              </w:rPr>
            </w:pPr>
            <w:r>
              <w:rPr>
                <w:rFonts w:ascii="Arial" w:cs="Arial" w:eastAsia="Arial" w:hAnsi="Arial"/>
                <w:sz w:val="13"/>
                <w:szCs w:val="13"/>
                <w:color w:val="0000FF"/>
                <w:w w:val="98"/>
              </w:rPr>
              <w:t>Consolidated Statements of Changes in Stockholders’ Equity</w:t>
            </w:r>
          </w:p>
        </w:tc>
        <w:tc>
          <w:tcPr>
            <w:tcW w:w="2860" w:type="dxa"/>
            <w:vAlign w:val="bottom"/>
            <w:gridSpan w:val="6"/>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71</w:t>
            </w: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Consolidated Statements of Cash Flows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20" w:type="dxa"/>
            <w:vAlign w:val="bottom"/>
            <w:tcBorders>
              <w:bottom w:val="single" w:sz="8" w:color="0000FF"/>
            </w:tcBorders>
            <w:gridSpan w:val="12"/>
          </w:tcPr>
          <w:p>
            <w:pPr>
              <w:spacing w:after="0" w:line="129" w:lineRule="exact"/>
              <w:rPr>
                <w:sz w:val="20"/>
                <w:szCs w:val="20"/>
                <w:color w:val="auto"/>
              </w:rPr>
            </w:pPr>
            <w:r>
              <w:rPr>
                <w:rFonts w:ascii="Arial" w:cs="Arial" w:eastAsia="Arial" w:hAnsi="Arial"/>
                <w:sz w:val="13"/>
                <w:szCs w:val="13"/>
                <w:color w:val="0000FF"/>
                <w:w w:val="98"/>
              </w:rPr>
              <w:t>Notes to the Consolidated Financial Statements</w:t>
            </w:r>
          </w:p>
        </w:tc>
        <w:tc>
          <w:tcPr>
            <w:tcW w:w="3600" w:type="dxa"/>
            <w:vAlign w:val="bottom"/>
            <w:gridSpan w:val="11"/>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74</w:t>
            </w: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9.</w:t>
            </w:r>
          </w:p>
        </w:tc>
        <w:tc>
          <w:tcPr>
            <w:tcW w:w="280" w:type="dxa"/>
            <w:vAlign w:val="bottom"/>
            <w:gridSpan w:val="2"/>
          </w:tcPr>
          <w:p>
            <w:pPr>
              <w:spacing w:after="0"/>
              <w:rPr>
                <w:sz w:val="11"/>
                <w:szCs w:val="11"/>
                <w:color w:val="auto"/>
              </w:rPr>
            </w:pP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680" w:type="dxa"/>
            <w:vAlign w:val="bottom"/>
            <w:gridSpan w:val="2"/>
          </w:tcPr>
          <w:p>
            <w:pPr>
              <w:ind w:left="480"/>
              <w:spacing w:after="0" w:line="129" w:lineRule="exact"/>
              <w:rPr>
                <w:sz w:val="20"/>
                <w:szCs w:val="20"/>
                <w:color w:val="auto"/>
              </w:rPr>
            </w:pPr>
            <w:r>
              <w:rPr>
                <w:rFonts w:ascii="Arial" w:cs="Arial" w:eastAsia="Arial" w:hAnsi="Arial"/>
                <w:sz w:val="13"/>
                <w:szCs w:val="13"/>
                <w:color w:val="0000FF"/>
                <w:w w:val="73"/>
              </w:rPr>
              <w:t>110</w:t>
            </w:r>
          </w:p>
        </w:tc>
        <w:tc>
          <w:tcPr>
            <w:tcW w:w="20" w:type="dxa"/>
            <w:vAlign w:val="bottom"/>
          </w:tcPr>
          <w:p>
            <w:pPr>
              <w:spacing w:after="0"/>
              <w:rPr>
                <w:sz w:val="11"/>
                <w:szCs w:val="1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9"/>
        </w:trPr>
        <w:tc>
          <w:tcPr>
            <w:tcW w:w="460" w:type="dxa"/>
            <w:vAlign w:val="bottom"/>
            <w:gridSpan w:val="2"/>
          </w:tcPr>
          <w:p>
            <w:pPr>
              <w:spacing w:after="0" w:line="119" w:lineRule="exact"/>
              <w:rPr>
                <w:sz w:val="20"/>
                <w:szCs w:val="20"/>
                <w:color w:val="auto"/>
              </w:rPr>
            </w:pPr>
            <w:r>
              <w:rPr>
                <w:rFonts w:ascii="Arial" w:cs="Arial" w:eastAsia="Arial" w:hAnsi="Arial"/>
                <w:sz w:val="13"/>
                <w:szCs w:val="13"/>
                <w:color w:val="0000FF"/>
                <w:w w:val="86"/>
              </w:rPr>
              <w:t>Item 9A.</w:t>
            </w:r>
          </w:p>
        </w:tc>
        <w:tc>
          <w:tcPr>
            <w:tcW w:w="220" w:type="dxa"/>
            <w:vAlign w:val="bottom"/>
          </w:tcPr>
          <w:p>
            <w:pPr>
              <w:spacing w:after="0"/>
              <w:rPr>
                <w:sz w:val="10"/>
                <w:szCs w:val="10"/>
                <w:color w:val="auto"/>
              </w:rPr>
            </w:pPr>
          </w:p>
        </w:tc>
        <w:tc>
          <w:tcPr>
            <w:tcW w:w="6320" w:type="dxa"/>
            <w:vAlign w:val="bottom"/>
            <w:gridSpan w:val="23"/>
          </w:tcPr>
          <w:p>
            <w:pPr>
              <w:spacing w:after="0" w:line="119" w:lineRule="exact"/>
              <w:rPr>
                <w:sz w:val="20"/>
                <w:szCs w:val="20"/>
                <w:color w:val="auto"/>
              </w:rPr>
            </w:pPr>
            <w:r>
              <w:rPr>
                <w:rFonts w:ascii="Arial" w:cs="Arial" w:eastAsia="Arial" w:hAnsi="Arial"/>
                <w:sz w:val="13"/>
                <w:szCs w:val="13"/>
                <w:color w:val="0000FF"/>
              </w:rPr>
              <w:t>Controls and Procedures</w:t>
            </w:r>
          </w:p>
        </w:tc>
        <w:tc>
          <w:tcPr>
            <w:tcW w:w="680" w:type="dxa"/>
            <w:vAlign w:val="bottom"/>
            <w:gridSpan w:val="2"/>
          </w:tcPr>
          <w:p>
            <w:pPr>
              <w:ind w:left="480"/>
              <w:spacing w:after="0" w:line="119" w:lineRule="exact"/>
              <w:rPr>
                <w:sz w:val="20"/>
                <w:szCs w:val="20"/>
                <w:color w:val="auto"/>
              </w:rPr>
            </w:pPr>
            <w:r>
              <w:rPr>
                <w:rFonts w:ascii="Arial" w:cs="Arial" w:eastAsia="Arial" w:hAnsi="Arial"/>
                <w:sz w:val="13"/>
                <w:szCs w:val="13"/>
                <w:color w:val="0000FF"/>
                <w:w w:val="73"/>
              </w:rPr>
              <w:t>110</w:t>
            </w:r>
          </w:p>
        </w:tc>
        <w:tc>
          <w:tcPr>
            <w:tcW w:w="20" w:type="dxa"/>
            <w:vAlign w:val="bottom"/>
          </w:tcPr>
          <w:p>
            <w:pPr>
              <w:spacing w:after="0"/>
              <w:rPr>
                <w:sz w:val="10"/>
                <w:szCs w:val="10"/>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6"/>
              </w:rPr>
              <w:t>Item 9B.</w:t>
            </w:r>
          </w:p>
        </w:tc>
        <w:tc>
          <w:tcPr>
            <w:tcW w:w="220" w:type="dxa"/>
            <w:vAlign w:val="bottom"/>
          </w:tcPr>
          <w:p>
            <w:pPr>
              <w:spacing w:after="0"/>
              <w:rPr>
                <w:sz w:val="11"/>
                <w:szCs w:val="11"/>
                <w:color w:val="auto"/>
              </w:rPr>
            </w:pPr>
          </w:p>
        </w:tc>
        <w:tc>
          <w:tcPr>
            <w:tcW w:w="1420" w:type="dxa"/>
            <w:vAlign w:val="bottom"/>
            <w:gridSpan w:val="6"/>
          </w:tcPr>
          <w:p>
            <w:pPr>
              <w:spacing w:after="0" w:line="129" w:lineRule="exact"/>
              <w:rPr>
                <w:sz w:val="20"/>
                <w:szCs w:val="20"/>
                <w:color w:val="auto"/>
              </w:rPr>
            </w:pPr>
            <w:r>
              <w:rPr>
                <w:rFonts w:ascii="Arial" w:cs="Arial" w:eastAsia="Arial" w:hAnsi="Arial"/>
                <w:sz w:val="13"/>
                <w:szCs w:val="13"/>
                <w:color w:val="0000FF"/>
              </w:rPr>
              <w:t>Other Information</w:t>
            </w:r>
          </w:p>
        </w:tc>
        <w:tc>
          <w:tcPr>
            <w:tcW w:w="4900" w:type="dxa"/>
            <w:vAlign w:val="bottom"/>
            <w:gridSpan w:val="17"/>
          </w:tcPr>
          <w:p>
            <w:pPr>
              <w:spacing w:after="0"/>
              <w:rPr>
                <w:sz w:val="11"/>
                <w:szCs w:val="11"/>
                <w:color w:val="auto"/>
              </w:rPr>
            </w:pPr>
          </w:p>
        </w:tc>
        <w:tc>
          <w:tcPr>
            <w:tcW w:w="680" w:type="dxa"/>
            <w:vAlign w:val="bottom"/>
            <w:gridSpan w:val="2"/>
          </w:tcPr>
          <w:p>
            <w:pPr>
              <w:ind w:left="480"/>
              <w:spacing w:after="0" w:line="129" w:lineRule="exact"/>
              <w:rPr>
                <w:sz w:val="20"/>
                <w:szCs w:val="20"/>
                <w:color w:val="auto"/>
              </w:rPr>
            </w:pPr>
            <w:r>
              <w:rPr>
                <w:rFonts w:ascii="Arial" w:cs="Arial" w:eastAsia="Arial" w:hAnsi="Arial"/>
                <w:sz w:val="13"/>
                <w:szCs w:val="13"/>
                <w:color w:val="0000FF"/>
                <w:w w:val="73"/>
              </w:rPr>
              <w:t>110</w:t>
            </w:r>
          </w:p>
        </w:tc>
        <w:tc>
          <w:tcPr>
            <w:tcW w:w="20" w:type="dxa"/>
            <w:vAlign w:val="bottom"/>
          </w:tcPr>
          <w:p>
            <w:pPr>
              <w:spacing w:after="0"/>
              <w:rPr>
                <w:sz w:val="11"/>
                <w:szCs w:val="1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9C.</w:t>
            </w: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Disclosure Regarding Foreign Jurisdictions That Prevent Inspections</w:t>
            </w:r>
          </w:p>
        </w:tc>
        <w:tc>
          <w:tcPr>
            <w:tcW w:w="680" w:type="dxa"/>
            <w:vAlign w:val="bottom"/>
            <w:gridSpan w:val="2"/>
          </w:tcPr>
          <w:p>
            <w:pPr>
              <w:ind w:left="480"/>
              <w:spacing w:after="0" w:line="129" w:lineRule="exact"/>
              <w:rPr>
                <w:sz w:val="20"/>
                <w:szCs w:val="20"/>
                <w:color w:val="auto"/>
              </w:rPr>
            </w:pPr>
            <w:r>
              <w:rPr>
                <w:rFonts w:ascii="Arial" w:cs="Arial" w:eastAsia="Arial" w:hAnsi="Arial"/>
                <w:sz w:val="13"/>
                <w:szCs w:val="13"/>
                <w:color w:val="0000FF"/>
                <w:w w:val="73"/>
              </w:rPr>
              <w:t>110</w:t>
            </w:r>
          </w:p>
        </w:tc>
        <w:tc>
          <w:tcPr>
            <w:tcW w:w="20" w:type="dxa"/>
            <w:vAlign w:val="bottom"/>
          </w:tcPr>
          <w:p>
            <w:pPr>
              <w:spacing w:after="0"/>
              <w:rPr>
                <w:sz w:val="11"/>
                <w:szCs w:val="1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4"/>
              </w:rPr>
              <w:t>PART III</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gridSpan w:val="3"/>
          </w:tcPr>
          <w:p>
            <w:pPr>
              <w:ind w:left="480"/>
              <w:spacing w:after="0"/>
              <w:rPr>
                <w:sz w:val="20"/>
                <w:szCs w:val="20"/>
                <w:color w:val="auto"/>
              </w:rPr>
            </w:pPr>
            <w:r>
              <w:rPr>
                <w:rFonts w:ascii="Arial" w:cs="Arial" w:eastAsia="Arial" w:hAnsi="Arial"/>
                <w:sz w:val="13"/>
                <w:szCs w:val="13"/>
                <w:color w:val="0000FF"/>
                <w:w w:val="92"/>
              </w:rPr>
              <w:t>111</w:t>
            </w:r>
          </w:p>
        </w:tc>
      </w:tr>
      <w:tr>
        <w:trPr>
          <w:trHeight w:val="21"/>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10.</w:t>
            </w:r>
          </w:p>
        </w:tc>
        <w:tc>
          <w:tcPr>
            <w:tcW w:w="220" w:type="dxa"/>
            <w:vAlign w:val="bottom"/>
          </w:tcPr>
          <w:p>
            <w:pPr>
              <w:spacing w:after="0"/>
              <w:rPr>
                <w:sz w:val="24"/>
                <w:szCs w:val="24"/>
                <w:color w:val="auto"/>
              </w:rPr>
            </w:pPr>
          </w:p>
        </w:tc>
        <w:tc>
          <w:tcPr>
            <w:tcW w:w="6320" w:type="dxa"/>
            <w:vAlign w:val="bottom"/>
            <w:gridSpan w:val="23"/>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700" w:type="dxa"/>
            <w:vAlign w:val="bottom"/>
            <w:gridSpan w:val="3"/>
          </w:tcPr>
          <w:p>
            <w:pPr>
              <w:ind w:left="480"/>
              <w:spacing w:after="0"/>
              <w:rPr>
                <w:sz w:val="20"/>
                <w:szCs w:val="20"/>
                <w:color w:val="auto"/>
              </w:rPr>
            </w:pPr>
            <w:r>
              <w:rPr>
                <w:rFonts w:ascii="Arial" w:cs="Arial" w:eastAsia="Arial" w:hAnsi="Arial"/>
                <w:sz w:val="13"/>
                <w:szCs w:val="13"/>
                <w:color w:val="0000FF"/>
                <w:w w:val="92"/>
              </w:rPr>
              <w:t>111</w:t>
            </w: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11.</w:t>
            </w: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Executive Compensation</w:t>
            </w:r>
          </w:p>
        </w:tc>
        <w:tc>
          <w:tcPr>
            <w:tcW w:w="700" w:type="dxa"/>
            <w:vAlign w:val="bottom"/>
            <w:gridSpan w:val="3"/>
          </w:tcPr>
          <w:p>
            <w:pPr>
              <w:ind w:left="480"/>
              <w:spacing w:after="0" w:line="129" w:lineRule="exact"/>
              <w:rPr>
                <w:sz w:val="20"/>
                <w:szCs w:val="20"/>
                <w:color w:val="auto"/>
              </w:rPr>
            </w:pPr>
            <w:r>
              <w:rPr>
                <w:rFonts w:ascii="Arial" w:cs="Arial" w:eastAsia="Arial" w:hAnsi="Arial"/>
                <w:sz w:val="13"/>
                <w:szCs w:val="13"/>
                <w:color w:val="0000FF"/>
                <w:w w:val="92"/>
              </w:rPr>
              <w:t>111</w:t>
            </w: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12.</w:t>
            </w: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700" w:type="dxa"/>
            <w:vAlign w:val="bottom"/>
            <w:gridSpan w:val="3"/>
          </w:tcPr>
          <w:p>
            <w:pPr>
              <w:ind w:left="480"/>
              <w:spacing w:after="0" w:line="129" w:lineRule="exact"/>
              <w:rPr>
                <w:sz w:val="20"/>
                <w:szCs w:val="20"/>
                <w:color w:val="auto"/>
              </w:rPr>
            </w:pPr>
            <w:r>
              <w:rPr>
                <w:rFonts w:ascii="Arial" w:cs="Arial" w:eastAsia="Arial" w:hAnsi="Arial"/>
                <w:sz w:val="13"/>
                <w:szCs w:val="13"/>
                <w:color w:val="0000FF"/>
                <w:w w:val="92"/>
              </w:rPr>
              <w:t>111</w:t>
            </w: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13.</w:t>
            </w:r>
          </w:p>
        </w:tc>
        <w:tc>
          <w:tcPr>
            <w:tcW w:w="6320" w:type="dxa"/>
            <w:vAlign w:val="bottom"/>
            <w:gridSpan w:val="23"/>
          </w:tcPr>
          <w:p>
            <w:pPr>
              <w:spacing w:after="0" w:line="129" w:lineRule="exact"/>
              <w:rPr>
                <w:sz w:val="20"/>
                <w:szCs w:val="20"/>
                <w:color w:val="auto"/>
              </w:rPr>
            </w:pPr>
            <w:r>
              <w:rPr>
                <w:rFonts w:ascii="Arial" w:cs="Arial" w:eastAsia="Arial" w:hAnsi="Arial"/>
                <w:sz w:val="13"/>
                <w:szCs w:val="13"/>
                <w:color w:val="0000FF"/>
              </w:rPr>
              <w:t>Certain Relationships and Related Transactions, and Director Independence</w:t>
            </w:r>
          </w:p>
        </w:tc>
        <w:tc>
          <w:tcPr>
            <w:tcW w:w="700" w:type="dxa"/>
            <w:vAlign w:val="bottom"/>
            <w:gridSpan w:val="3"/>
          </w:tcPr>
          <w:p>
            <w:pPr>
              <w:ind w:left="480"/>
              <w:spacing w:after="0" w:line="129" w:lineRule="exact"/>
              <w:rPr>
                <w:sz w:val="20"/>
                <w:szCs w:val="20"/>
                <w:color w:val="auto"/>
              </w:rPr>
            </w:pPr>
            <w:r>
              <w:rPr>
                <w:rFonts w:ascii="Arial" w:cs="Arial" w:eastAsia="Arial" w:hAnsi="Arial"/>
                <w:sz w:val="13"/>
                <w:szCs w:val="13"/>
                <w:color w:val="0000FF"/>
                <w:w w:val="92"/>
              </w:rPr>
              <w:t>111</w:t>
            </w: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19"/>
        </w:trPr>
        <w:tc>
          <w:tcPr>
            <w:tcW w:w="680" w:type="dxa"/>
            <w:vAlign w:val="bottom"/>
            <w:gridSpan w:val="3"/>
          </w:tcPr>
          <w:p>
            <w:pPr>
              <w:spacing w:after="0" w:line="119" w:lineRule="exact"/>
              <w:rPr>
                <w:sz w:val="20"/>
                <w:szCs w:val="20"/>
                <w:color w:val="auto"/>
              </w:rPr>
            </w:pPr>
            <w:r>
              <w:rPr>
                <w:rFonts w:ascii="Arial" w:cs="Arial" w:eastAsia="Arial" w:hAnsi="Arial"/>
                <w:sz w:val="13"/>
                <w:szCs w:val="13"/>
                <w:color w:val="0000FF"/>
              </w:rPr>
              <w:t>Item 14.</w:t>
            </w:r>
          </w:p>
        </w:tc>
        <w:tc>
          <w:tcPr>
            <w:tcW w:w="6320" w:type="dxa"/>
            <w:vAlign w:val="bottom"/>
            <w:gridSpan w:val="23"/>
          </w:tcPr>
          <w:p>
            <w:pPr>
              <w:spacing w:after="0" w:line="119" w:lineRule="exact"/>
              <w:rPr>
                <w:sz w:val="20"/>
                <w:szCs w:val="20"/>
                <w:color w:val="auto"/>
              </w:rPr>
            </w:pPr>
            <w:r>
              <w:rPr>
                <w:rFonts w:ascii="Arial" w:cs="Arial" w:eastAsia="Arial" w:hAnsi="Arial"/>
                <w:sz w:val="13"/>
                <w:szCs w:val="13"/>
                <w:color w:val="0000FF"/>
              </w:rPr>
              <w:t>Principal Accountant Fees and Services</w:t>
            </w:r>
          </w:p>
        </w:tc>
        <w:tc>
          <w:tcPr>
            <w:tcW w:w="700" w:type="dxa"/>
            <w:vAlign w:val="bottom"/>
            <w:gridSpan w:val="3"/>
          </w:tcPr>
          <w:p>
            <w:pPr>
              <w:ind w:left="480"/>
              <w:spacing w:after="0" w:line="119" w:lineRule="exact"/>
              <w:rPr>
                <w:sz w:val="20"/>
                <w:szCs w:val="20"/>
                <w:color w:val="auto"/>
              </w:rPr>
            </w:pPr>
            <w:r>
              <w:rPr>
                <w:rFonts w:ascii="Arial" w:cs="Arial" w:eastAsia="Arial" w:hAnsi="Arial"/>
                <w:sz w:val="13"/>
                <w:szCs w:val="13"/>
                <w:color w:val="0000FF"/>
                <w:w w:val="92"/>
              </w:rPr>
              <w:t>111</w:t>
            </w: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1"/>
              </w:rPr>
              <w:t>PART IV</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ind w:left="480"/>
              <w:spacing w:after="0"/>
              <w:rPr>
                <w:sz w:val="20"/>
                <w:szCs w:val="20"/>
                <w:color w:val="auto"/>
              </w:rPr>
            </w:pPr>
            <w:r>
              <w:rPr>
                <w:rFonts w:ascii="Arial" w:cs="Arial" w:eastAsia="Arial" w:hAnsi="Arial"/>
                <w:sz w:val="13"/>
                <w:szCs w:val="13"/>
                <w:color w:val="0000FF"/>
                <w:w w:val="73"/>
              </w:rPr>
              <w:t>112</w:t>
            </w:r>
          </w:p>
        </w:tc>
        <w:tc>
          <w:tcPr>
            <w:tcW w:w="20" w:type="dxa"/>
            <w:vAlign w:val="bottom"/>
          </w:tcPr>
          <w:p>
            <w:pPr>
              <w:spacing w:after="0"/>
              <w:rPr>
                <w:sz w:val="24"/>
                <w:szCs w:val="24"/>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15.</w:t>
            </w:r>
          </w:p>
        </w:tc>
        <w:tc>
          <w:tcPr>
            <w:tcW w:w="220" w:type="dxa"/>
            <w:vAlign w:val="bottom"/>
          </w:tcPr>
          <w:p>
            <w:pPr>
              <w:spacing w:after="0"/>
              <w:rPr>
                <w:sz w:val="23"/>
                <w:szCs w:val="23"/>
                <w:color w:val="auto"/>
              </w:rPr>
            </w:pPr>
          </w:p>
        </w:tc>
        <w:tc>
          <w:tcPr>
            <w:tcW w:w="6320" w:type="dxa"/>
            <w:vAlign w:val="bottom"/>
            <w:gridSpan w:val="23"/>
          </w:tcPr>
          <w:p>
            <w:pPr>
              <w:spacing w:after="0"/>
              <w:rPr>
                <w:sz w:val="20"/>
                <w:szCs w:val="20"/>
                <w:color w:val="auto"/>
              </w:rPr>
            </w:pPr>
            <w:r>
              <w:rPr>
                <w:rFonts w:ascii="Arial" w:cs="Arial" w:eastAsia="Arial" w:hAnsi="Arial"/>
                <w:sz w:val="13"/>
                <w:szCs w:val="13"/>
                <w:color w:val="0000FF"/>
              </w:rPr>
              <w:t>Exhibit and Financial Statement Schedules</w:t>
            </w:r>
          </w:p>
        </w:tc>
        <w:tc>
          <w:tcPr>
            <w:tcW w:w="680" w:type="dxa"/>
            <w:vAlign w:val="bottom"/>
            <w:gridSpan w:val="2"/>
          </w:tcPr>
          <w:p>
            <w:pPr>
              <w:ind w:left="480"/>
              <w:spacing w:after="0"/>
              <w:rPr>
                <w:sz w:val="20"/>
                <w:szCs w:val="20"/>
                <w:color w:val="auto"/>
              </w:rPr>
            </w:pPr>
            <w:r>
              <w:rPr>
                <w:rFonts w:ascii="Arial" w:cs="Arial" w:eastAsia="Arial" w:hAnsi="Arial"/>
                <w:sz w:val="13"/>
                <w:szCs w:val="13"/>
                <w:color w:val="0000FF"/>
                <w:w w:val="73"/>
              </w:rPr>
              <w:t>112</w:t>
            </w:r>
          </w:p>
        </w:tc>
        <w:tc>
          <w:tcPr>
            <w:tcW w:w="20" w:type="dxa"/>
            <w:vAlign w:val="bottom"/>
          </w:tcPr>
          <w:p>
            <w:pPr>
              <w:spacing w:after="0"/>
              <w:rPr>
                <w:sz w:val="23"/>
                <w:szCs w:val="2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3"/>
                <w:szCs w:val="13"/>
                <w:color w:val="0000FF"/>
                <w:w w:val="93"/>
              </w:rPr>
              <w:t>Exhibit Index</w:t>
            </w:r>
          </w:p>
        </w:tc>
        <w:tc>
          <w:tcPr>
            <w:tcW w:w="1700" w:type="dxa"/>
            <w:vAlign w:val="bottom"/>
            <w:gridSpan w:val="7"/>
          </w:tcPr>
          <w:p>
            <w:pPr>
              <w:spacing w:after="0"/>
              <w:rPr>
                <w:sz w:val="11"/>
                <w:szCs w:val="11"/>
                <w:color w:val="auto"/>
              </w:rPr>
            </w:pPr>
          </w:p>
        </w:tc>
        <w:tc>
          <w:tcPr>
            <w:tcW w:w="3880" w:type="dxa"/>
            <w:vAlign w:val="bottom"/>
            <w:gridSpan w:val="13"/>
          </w:tcPr>
          <w:p>
            <w:pPr>
              <w:spacing w:after="0"/>
              <w:rPr>
                <w:sz w:val="11"/>
                <w:szCs w:val="11"/>
                <w:color w:val="auto"/>
              </w:rPr>
            </w:pPr>
          </w:p>
        </w:tc>
        <w:tc>
          <w:tcPr>
            <w:tcW w:w="680" w:type="dxa"/>
            <w:vAlign w:val="bottom"/>
            <w:gridSpan w:val="2"/>
          </w:tcPr>
          <w:p>
            <w:pPr>
              <w:ind w:left="480"/>
              <w:spacing w:after="0" w:line="129" w:lineRule="exact"/>
              <w:rPr>
                <w:sz w:val="20"/>
                <w:szCs w:val="20"/>
                <w:color w:val="auto"/>
              </w:rPr>
            </w:pPr>
            <w:r>
              <w:rPr>
                <w:rFonts w:ascii="Arial" w:cs="Arial" w:eastAsia="Arial" w:hAnsi="Arial"/>
                <w:sz w:val="13"/>
                <w:szCs w:val="13"/>
                <w:color w:val="0000FF"/>
                <w:w w:val="73"/>
              </w:rPr>
              <w:t>113</w:t>
            </w:r>
          </w:p>
        </w:tc>
        <w:tc>
          <w:tcPr>
            <w:tcW w:w="2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CAUTIONARY NOTE REGARDING FORWARD -LOOKING STATEMENTS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5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3" w:lineRule="exact"/>
        <w:rPr>
          <w:sz w:val="20"/>
          <w:szCs w:val="20"/>
          <w:color w:val="auto"/>
        </w:rPr>
      </w:pPr>
    </w:p>
    <w:p>
      <w:pPr>
        <w:ind w:left="1180" w:right="699" w:hanging="261"/>
        <w:spacing w:after="0" w:line="246" w:lineRule="auto"/>
        <w:tabs>
          <w:tab w:leader="none" w:pos="117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1180" w:right="699" w:hanging="261"/>
        <w:spacing w:after="0" w:line="238" w:lineRule="auto"/>
        <w:tabs>
          <w:tab w:leader="none" w:pos="117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and its impact on us, our employees, customers and third-party service providers, and the ultimate extent of the impacts of the pandemic and related government stimulus programs;</w:t>
      </w:r>
    </w:p>
    <w:p>
      <w:pPr>
        <w:spacing w:after="0" w:line="1" w:lineRule="exact"/>
        <w:rPr>
          <w:sz w:val="20"/>
          <w:szCs w:val="20"/>
          <w:color w:val="auto"/>
        </w:rPr>
      </w:pP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spacing w:after="0" w:line="10" w:lineRule="exact"/>
        <w:rPr>
          <w:sz w:val="20"/>
          <w:szCs w:val="20"/>
          <w:color w:val="auto"/>
        </w:rPr>
      </w:pPr>
    </w:p>
    <w:p>
      <w:pPr>
        <w:ind w:left="1180" w:right="67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46"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implementation of the Current Expected Credit Losses (“CECL”) standard on January 1, 2023;</w:t>
      </w:r>
    </w:p>
    <w:p>
      <w:pPr>
        <w:jc w:val="both"/>
        <w:ind w:left="1180" w:right="719" w:hanging="261"/>
        <w:spacing w:after="0" w:line="243"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and its effect on pricing of our products and services as well as our margins;</w:t>
      </w:r>
    </w:p>
    <w:p>
      <w:pPr>
        <w:ind w:left="1180" w:right="699" w:hanging="261"/>
        <w:spacing w:after="0" w:line="246"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right="699" w:hanging="261"/>
        <w:spacing w:after="0" w:line="252"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described this Annual Report on Form 10-K and other filings we make with the Securities and Exchange Commission (“SEC”).</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presentation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the Bank filed with the Federal Deposit Insurance Corporation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719"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USCB Financial Holdings, Inc., a Florida corporation (the “Company”), was formed on December 17, 2021, to serve as the holding company for U.S. Century Bank, a Florida state-chartered bank (the “Bank”), and is a bank holding company (a “BHC”) registered with the Board of Governors of the Federal Reserve System (the “Federal Reserve”) under the Bank Holding Company Act of 1956, as amended (the “BHC Act”). The Company is headquartered in Miami, Florida, and, through the Bank, its sole subsidiary, operates 10 banking centers in South Florida providing a wide range of personal and business banking products and services. As of December 31, 2022, the Company had total consolidated assets of $2.1 billion.</w:t>
      </w:r>
    </w:p>
    <w:p>
      <w:pPr>
        <w:spacing w:after="0" w:line="14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Bank commenced operations on October 28,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42"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5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Prior the Effective Date, the Bank’s Class A common stock was registered under Section 12(b) of the Securities Exchange Act of 1934 (the “Exchange Act”), and the Bank was subject to the information requirements of the Exchange Act and, in accordance with Section 12(i) thereof, filed quarterly reports, proxy statements and other information with theFederal Deposit Insurance Corporation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U. S. Securities and Exchange Commission (“SEC”). The trading symbol for the Company’s Class A Common Stock is “USCB”, which is the same as the Bank’s former trading symbol.</w:t>
      </w:r>
    </w:p>
    <w:p>
      <w:pPr>
        <w:spacing w:after="0" w:line="147"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Prior to the Reorganization, the Company had no material assets and had not conducted any business or operations except for activities related to its incorporation and the Reorganization.</w:t>
      </w:r>
    </w:p>
    <w:p>
      <w:pPr>
        <w:spacing w:after="0" w:line="131"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Our strategy in becoming a publicly traded company and forming a BHC was to continue pursuing organic growth as well as strategic acquisitions if the opportunity arises, which efforts will be further facilitated by access to public capital and the added flexibility provided by a holding company structure.</w:t>
      </w:r>
    </w:p>
    <w:p>
      <w:pPr>
        <w:spacing w:after="0" w:line="152"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Products and Services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Lending Services</w:t>
      </w:r>
    </w:p>
    <w:p>
      <w:pPr>
        <w:spacing w:after="0" w:line="17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mission is to provide high value, relationship-based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48"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5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27" w:lineRule="exact"/>
        <w:rPr>
          <w:sz w:val="20"/>
          <w:szCs w:val="20"/>
          <w:color w:val="auto"/>
        </w:rPr>
      </w:pP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Small Business Administration (“SBA”) lending: </w:t>
      </w:r>
      <w:r>
        <w:rPr>
          <w:rFonts w:ascii="Arial" w:cs="Arial" w:eastAsia="Arial" w:hAnsi="Arial"/>
          <w:sz w:val="14"/>
          <w:szCs w:val="14"/>
          <w:color w:val="auto"/>
        </w:rPr>
        <w:t>Our SBA platform originates loans under Sections 7(a)</w:t>
      </w:r>
      <w:r>
        <w:rPr>
          <w:rFonts w:ascii="Arial" w:cs="Arial" w:eastAsia="Arial" w:hAnsi="Arial"/>
          <w:sz w:val="14"/>
          <w:szCs w:val="14"/>
          <w:b w:val="1"/>
          <w:bCs w:val="1"/>
          <w:color w:val="auto"/>
        </w:rPr>
        <w:t xml:space="preserve"> </w:t>
      </w:r>
      <w:r>
        <w:rPr>
          <w:rFonts w:ascii="Arial" w:cs="Arial" w:eastAsia="Arial" w:hAnsi="Arial"/>
          <w:sz w:val="14"/>
          <w:szCs w:val="14"/>
          <w:color w:val="auto"/>
        </w:rPr>
        <w:t>and 504 of the SBA program. The 7(a) loan program, SBA's most common loan program, includes financial help for small businesses with special requirements while the 504 loan program provides long-term, fixed 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2022, the Bank is a Preferred Lending Partner with the SBA which allows us to offer the full range of SBA loan products and to exercise lending authority at the local bank level, allowing us to make timely credit decisions for prospective clients.</w:t>
      </w:r>
    </w:p>
    <w:p>
      <w:pPr>
        <w:spacing w:after="0" w:line="5" w:lineRule="exact"/>
        <w:rPr>
          <w:rFonts w:ascii="Arial" w:cs="Arial" w:eastAsia="Arial" w:hAnsi="Arial"/>
          <w:sz w:val="14"/>
          <w:szCs w:val="14"/>
          <w:color w:val="auto"/>
        </w:rPr>
      </w:pP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Yacht lending: </w:t>
      </w:r>
      <w:r>
        <w:rPr>
          <w:rFonts w:ascii="Arial" w:cs="Arial" w:eastAsia="Arial" w:hAnsi="Arial"/>
          <w:sz w:val="14"/>
          <w:szCs w:val="14"/>
          <w:color w:val="auto"/>
        </w:rPr>
        <w:t>Our yacht lending vertical provides yacht financing for larger vessels, transactions range from</w:t>
      </w:r>
      <w:r>
        <w:rPr>
          <w:rFonts w:ascii="Arial" w:cs="Arial" w:eastAsia="Arial" w:hAnsi="Arial"/>
          <w:sz w:val="14"/>
          <w:szCs w:val="14"/>
          <w:b w:val="1"/>
          <w:bCs w:val="1"/>
          <w:color w:val="auto"/>
        </w:rPr>
        <w:t xml:space="preserve"> </w:t>
      </w:r>
      <w:r>
        <w:rPr>
          <w:rFonts w:ascii="Arial" w:cs="Arial" w:eastAsia="Arial" w:hAnsi="Arial"/>
          <w:sz w:val="14"/>
          <w:szCs w:val="14"/>
          <w:color w:val="auto"/>
        </w:rPr>
        <w:t>$750 thousand to $7.5 million. We target high net-worth clients, in one of the most active yacht markets in the country. In 2021, two portfolios of yacht loans were purchased as part of our strategic initiative to launch this new business vertical and diversify our portfolio.</w:t>
      </w:r>
    </w:p>
    <w:p>
      <w:pPr>
        <w:spacing w:after="0" w:line="1" w:lineRule="exact"/>
        <w:rPr>
          <w:rFonts w:ascii="Arial" w:cs="Arial" w:eastAsia="Arial" w:hAnsi="Arial"/>
          <w:sz w:val="14"/>
          <w:szCs w:val="14"/>
          <w:color w:val="auto"/>
        </w:rPr>
      </w:pPr>
    </w:p>
    <w:p>
      <w:pPr>
        <w:jc w:val="both"/>
        <w:ind w:left="1440" w:right="679" w:hanging="265"/>
        <w:spacing w:after="0" w:line="242"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Homeowner Association (“HOA”) services: </w:t>
      </w:r>
      <w:r>
        <w:rPr>
          <w:rFonts w:ascii="Arial" w:cs="Arial" w:eastAsia="Arial" w:hAnsi="Arial"/>
          <w:sz w:val="14"/>
          <w:szCs w:val="14"/>
          <w:color w:val="auto"/>
        </w:rPr>
        <w:t>We provide banking services to HOAs and property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1" w:lineRule="exact"/>
        <w:rPr>
          <w:rFonts w:ascii="Arial" w:cs="Arial" w:eastAsia="Arial" w:hAnsi="Arial"/>
          <w:sz w:val="14"/>
          <w:szCs w:val="14"/>
          <w:color w:val="auto"/>
        </w:rPr>
      </w:pPr>
    </w:p>
    <w:p>
      <w:pPr>
        <w:jc w:val="both"/>
        <w:ind w:left="1440" w:right="679" w:hanging="265"/>
        <w:spacing w:after="0" w:line="262"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Jurist Advantage and Private Client Group services: </w:t>
      </w:r>
      <w:r>
        <w:rPr>
          <w:rFonts w:ascii="Arial" w:cs="Arial" w:eastAsia="Arial" w:hAnsi="Arial"/>
          <w:sz w:val="13"/>
          <w:szCs w:val="13"/>
          <w:color w:val="auto"/>
        </w:rPr>
        <w:t>Our Jurist Advantage and Private Client Group vertical</w:t>
      </w:r>
      <w:r>
        <w:rPr>
          <w:rFonts w:ascii="Arial" w:cs="Arial" w:eastAsia="Arial" w:hAnsi="Arial"/>
          <w:sz w:val="13"/>
          <w:szCs w:val="13"/>
          <w:b w:val="1"/>
          <w:bCs w:val="1"/>
          <w:color w:val="auto"/>
        </w:rPr>
        <w:t xml:space="preserve"> </w:t>
      </w:r>
      <w:r>
        <w:rPr>
          <w:rFonts w:ascii="Arial" w:cs="Arial" w:eastAsia="Arial" w:hAnsi="Arial"/>
          <w:sz w:val="13"/>
          <w:szCs w:val="13"/>
          <w:color w:val="auto"/>
        </w:rPr>
        <w:t>provides customized banking solutions for law firms as well as their partners, associates, staff, and high net worth clients. We also leverage our relationships with our law firm clients to generate personal deposit accounts.</w:t>
      </w:r>
    </w:p>
    <w:p>
      <w:pPr>
        <w:spacing w:after="0" w:line="1" w:lineRule="exact"/>
        <w:rPr>
          <w:rFonts w:ascii="Arial" w:cs="Arial" w:eastAsia="Arial" w:hAnsi="Arial"/>
          <w:sz w:val="13"/>
          <w:szCs w:val="13"/>
          <w:color w:val="auto"/>
        </w:rPr>
      </w:pPr>
    </w:p>
    <w:p>
      <w:pPr>
        <w:jc w:val="both"/>
        <w:ind w:left="1440" w:right="699" w:hanging="265"/>
        <w:spacing w:after="0" w:line="249"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Global Banking services: </w:t>
      </w:r>
      <w:r>
        <w:rPr>
          <w:rFonts w:ascii="Arial" w:cs="Arial" w:eastAsia="Arial" w:hAnsi="Arial"/>
          <w:sz w:val="14"/>
          <w:szCs w:val="14"/>
          <w:color w:val="auto"/>
        </w:rPr>
        <w:t>Our Global Banking vertical provides correspondent banking services for banks</w:t>
      </w:r>
      <w:r>
        <w:rPr>
          <w:rFonts w:ascii="Arial" w:cs="Arial" w:eastAsia="Arial" w:hAnsi="Arial"/>
          <w:sz w:val="14"/>
          <w:szCs w:val="14"/>
          <w:b w:val="1"/>
          <w:bCs w:val="1"/>
          <w:color w:val="auto"/>
        </w:rPr>
        <w:t xml:space="preserve"> </w:t>
      </w:r>
      <w:r>
        <w:rPr>
          <w:rFonts w:ascii="Arial" w:cs="Arial" w:eastAsia="Arial" w:hAnsi="Arial"/>
          <w:sz w:val="14"/>
          <w:szCs w:val="14"/>
          <w:color w:val="auto"/>
        </w:rPr>
        <w:t>headquartered in certain Latin America and the Caribbean countries. We also cross-sell our correspondent banking relationships to generate international personal banking clients for our Bank. Our compliance team is experienced in issues related to foreign banking, and we have frequent and regular open communication with our foreign bank clients to ensure proper compliance controls are maintained at such institutions.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Credit Practices</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manage our credit risk by analyzing metrics related to our different lines of business, which allows us to maintain a conservative and well-diversified loan portfolio reflective of our assessment of various industry sectors. Based upon our aggregate exposure to any given borrower relationship, we undertake a scaled review of loan originations that may involve senior credit officers, our Chief Credit Officer, our Credit Committee or, ultimately, our Board of Directors (“Board”).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 Products</w:t>
      </w:r>
    </w:p>
    <w:p>
      <w:pPr>
        <w:spacing w:after="0" w:line="175"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deposit products for municipalities and other public entities. Our deposit products are mainly offered across our primary geographic footprint.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Title Services</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Florida Peninsula Title LLC is a subsidiary of the Bank that offers our clients title insurance policies for real estate transactions closed at the Bank. Licensed in the State of Florida and approved by the Department of Insurance Regulation, Florida Peninsula Title LLC began operations in 2021. Our title service business not only provides diversification for non-interest income but also provides our clients with access to tile insurance services.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Seasonality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We do not believe our business to be seasonal in nature.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Markets</w:t>
      </w:r>
    </w:p>
    <w:p>
      <w:pPr>
        <w:spacing w:after="0" w:line="18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primary banking market is South Florida. Due to the recent acceptance and expected ongoing emphasis on remote work, coupled with a low tax environment, warm weather and a strong real estate market has encouraged companies to relocate some or all of their operations to South Florida. We believe this trend is further demonstrated by recent relocation initiatives undertaken by large financial institutions such as Blackstone Group Inc., Goldman Sachs Group Inc., and Citadel Advisors LLC, all of which have established operations in South Florida.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According to the 2020 United States Census Bureau, Florida was the third most populous state in the country and the three largest population centers were in Miami-Dade, Broward, and Palm Beach counties, all located in South Florida. According to estimates from the United States Census Bureau, from 2010 to 2021, Florida’s population increased to 21.8 million residents, an increase of 3.0 million new residents. The percentage change in Florida’s population between April 2020 and July 2021 alone was 1.1% according to the United States Census Bureau.</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Competition</w:t>
      </w:r>
    </w:p>
    <w:p>
      <w:pPr>
        <w:spacing w:after="0" w:line="18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5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Emerging Growth Company</w:t>
      </w:r>
    </w:p>
    <w:p>
      <w:pPr>
        <w:spacing w:after="0" w:line="18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Human Capital Resources</w:t>
      </w:r>
    </w:p>
    <w:p>
      <w:pPr>
        <w:spacing w:after="0" w:line="18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respect the values and diversity throughout our organization and the community. Diversity and inclusion are integral parts of our organization’s culture. We seek the active engagement and participation of people with diverse backgrounds and ethnicities. We are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At December 31, 2022, we had 191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and Supervision</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Bank holding companies, banks, and their affiliates are extensively regulated under federal and state law. These regulations have a material effect on the operations of USCB Financial Holdings, Inc. and its direct and indirect subsidiaries, including U.S. Century Bank.</w:t>
      </w:r>
    </w:p>
    <w:p>
      <w:pPr>
        <w:spacing w:after="0" w:line="15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Federal Deposit Insurance Corporation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our Bank and Company.</w:t>
      </w:r>
    </w:p>
    <w:p>
      <w:pPr>
        <w:spacing w:after="0" w:line="15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material statutory and regulatory requirements that are applicable to us are summarized below. The description below is not intended to summarize all laws and regulations applicable to us. These summary descriptions are not complete, and you should refer to the full text of the statutes, regulations, and corresponding guidance for more information.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Bank and Bank Holding Company Regulation</w:t>
      </w:r>
    </w:p>
    <w:p>
      <w:pPr>
        <w:spacing w:after="0" w:line="18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As a Florida state bank, U.S. Century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administered by the FDIC to the maximum extent permitted by law, and the FDIC has certain supervisory and enforcement powers over us.</w:t>
      </w:r>
    </w:p>
    <w:p>
      <w:pPr>
        <w:spacing w:after="0" w:line="157"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Any entity that directly or indirectly controls a bank must be approved by the Federal Reserve Board under the Bank Holding Company Act of 1956 (the “BHC Act”) to become a bank holding company. BHCs are subject to regulation, inspection, examination, supervision and enforcement by the Federal Reserve Board under the BHC Act. The Federal Reserve Board's jurisdiction also extends to any company that is directly or indirectly controlled by a BHC.</w:t>
      </w:r>
    </w:p>
    <w:p>
      <w:pPr>
        <w:spacing w:after="0" w:line="145"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USCB Financial Holdings, Inc, which controls U.S. Century Bank, is a BHC and, as such, is subject to ongoing and comprehensive supervision, regulation, examination and enforcement by the Federal Reserve Board.</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Notice and Approval Requirements Related to Control</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Banking laws impose notice, approval, and ongoing regulatory requirements on any shareholder or other party that seeks to acquire direct or indirect "control" of an FDIC-insured depository institution. These laws include the BHC Act and the Change in Bank Control Act. Among other things, these laws require regulatory filings by individuals or companies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BHCs are prohibited from acquiring, without prior approval, control of any other bank or BHC or substantially all the assets thereof or more than 5% of the voting shares of a bank or BHC which is not already a subsidiary.</w:t>
      </w: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Source of Strength</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companies, including BHCs, that directly or indirectly control an insured depository institution, are required to serve as a source of strength for the institution. Under this requirement, USCB Financial Holdings, Inc. in the future could be required to provide financial assistance to U.S. Century Bank should it experience financial distress. Such support may be required at times when, absent this statutory and Federal Reserve Policy requirement, a BHC may not be inclined to provide it.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Safety and Soundness Regulation</w:t>
      </w:r>
    </w:p>
    <w:p>
      <w:pPr>
        <w:spacing w:after="0" w:line="17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FOFR.</w:t>
      </w:r>
    </w:p>
    <w:p>
      <w:pPr>
        <w:spacing w:after="0" w:line="14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federal banking agencies have also adopted guidelines establishing safety and soundness standards for all insured depository institutions including the Bank. The safety and soundness guidelines relate to, among other things, our internal controls, information systems, internal audit systems,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16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Permissible Activities and Investments</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Banking laws generally restrict the ability of USCB Financial Holdings, Inc. to engage in activities other than those determined by the Federal Reserve Board to be so closely related to banking as to be a proper incident thereto. The Gramm-Leach-Bliley Act (the “GLB Act”) expanded the scope of permissible activities for a BHC that qualifies as a financial holding company. Under the regulations implementing the GLB Act, a financial holding company may engage in additional activities that are financial in nature or incidental or complementary to a financial activity. USCB Financial Holdings, Inc., is not a financial holding company.</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as a general matter, the establishment or acquisition by USCB Financial Holdings, Inc., of a non-bank entity, or the initiation of a non-banking activity, requires prior regulatory approval. In approving acquisitions or the addition of activities, the Federal Reserve Board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25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federal banking regulators have adopted risk-based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63"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computing total risk-weighted assets, bank and bank holding company assets are given risk-weights of 0%, 20%, 50%, 100% and 150%. In addition, certain off-balance sheet items are given similar credit conversion factors to convert them to asset equivalent amounts to which an appropriate risk-weight will apply. Most loans will be assigned to the 100% risk category, except for performing first mortgage loans fully secured by 1-to-4 family or certain multi-family residential properties, which carry a 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4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Risk-Weighted Assets is less than 7.0% — then capital distributions and discretionary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6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capital regulations may also impact the treatment of accumulated other comprehensive income, or, AOCI, for regulatory capital purposes. Under the rules, AOCI generally flows through to regulatory capital, however, community banks and their holding companies (if any) were allowed to make a one-time irrevocable opt-out election to continue to treat AOCI the same as under the old regulations for regulatory capital purposes. This election was required to be made on the first call report filed after January 1, 2015. We made the opt-out election. Additionally, the rules also permit community banks with less than $15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w:t>
      </w:r>
    </w:p>
    <w:p>
      <w:pPr>
        <w:spacing w:after="0" w:line="147"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On September 17,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elsewhere in this Form 10-K and will not be required to report or calculate risk-based capital. In order to qualify for the CBLR framework, a community banking organization must have a tier 1 leverage ratio of greater than 9%, less than $10 billion in total consolidated assets, off-balance sheet exposures of 25% or less of total</w:t>
      </w:r>
    </w:p>
    <w:p>
      <w:pPr>
        <w:spacing w:after="0" w:line="242"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45" w:lineRule="auto"/>
        <w:rPr>
          <w:sz w:val="20"/>
          <w:szCs w:val="20"/>
          <w:color w:val="auto"/>
        </w:rPr>
      </w:pPr>
      <w:r>
        <w:rPr>
          <w:rFonts w:ascii="Arial" w:cs="Arial" w:eastAsia="Arial" w:hAnsi="Arial"/>
          <w:sz w:val="14"/>
          <w:szCs w:val="14"/>
          <w:color w:val="auto"/>
        </w:rPr>
        <w:t>consolidated assets, and trading assets and liabilities of 5% or less of total consolidated assets. However, Section 4012 of the Coronavirus Aid, Relief and Economic Security Act (the “CARES Act”) required that the CBLR be temporarily lowered to 8%. The federal regulators issued a rule implementing the lower CBLR effective April 23, 2020. The rule also established a two-quarter grace period for a qualifying institution whose leverage ratio falls below the 8% CBLR requirement so long as the bank maintains a leverage ratio of 7% or greater. Another rule was issued to transition back to the 9% CBLR by increasing the ratio to 8.5% for calendar year 2021 and 9% thereafter. Although the Bank is a qualifying community banking organization, the Bank has elected not to opt in to the CBLR framework at this time and will continue to follow the Basel III capital requirements as described above.</w:t>
      </w:r>
    </w:p>
    <w:p>
      <w:pPr>
        <w:spacing w:after="0" w:line="15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As of December 31, 2022 and 2021, the Bank qualified as a “well capitalized” institution. See Note 15 “Regulatory Matters” of the Consolidated Financial Statements included in this Annual Report Form 10-K for further details.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Prompt Corrective Action</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60"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As of December 31, 2021, a depository institution was deemed to be "well capitalized" if the banking institution had a total risk-based capital ratio of 10.0% or greater, a tier 1 risk-based capital ratio of 8.0% or greater, a CET1 risk-based capital ratio of 6.5% and a leverage ratio of 5.0% or greater, and the institution was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Commercial Real Estate Concentration Guidelines</w:t>
      </w:r>
    </w:p>
    <w:p>
      <w:pPr>
        <w:spacing w:after="0" w:line="175"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157" w:lineRule="exact"/>
        <w:rPr>
          <w:sz w:val="20"/>
          <w:szCs w:val="20"/>
          <w:color w:val="auto"/>
        </w:rPr>
      </w:pPr>
    </w:p>
    <w:p>
      <w:pPr>
        <w:jc w:val="both"/>
        <w:ind w:left="660" w:right="679" w:firstLine="256"/>
        <w:spacing w:after="0" w:line="242" w:lineRule="auto"/>
        <w:rPr>
          <w:sz w:val="20"/>
          <w:szCs w:val="20"/>
          <w:color w:val="auto"/>
        </w:rPr>
      </w:pPr>
      <w:r>
        <w:rPr>
          <w:rFonts w:ascii="Arial" w:cs="Arial" w:eastAsia="Arial" w:hAnsi="Arial"/>
          <w:sz w:val="14"/>
          <w:szCs w:val="14"/>
          <w:color w:val="auto"/>
        </w:rPr>
        <w:t>As of December 31, 2022, our ratio of construction loans to total risk-based capital was 27%, and therefore, we were under the 100% threshold set forth in clause (iii) in the paragraph above. However, with respect to clause (iv) in the paragraph above, as of December 31, 2022, our ratio of total commercial real estate loans to total risk-based capital was 390% and the outstanding balance of the institution’s commercial real estate portfolio increased by 50% or more in the prior</w:t>
      </w:r>
    </w:p>
    <w:p>
      <w:pPr>
        <w:spacing w:after="0" w:line="1" w:lineRule="exact"/>
        <w:rPr>
          <w:sz w:val="20"/>
          <w:szCs w:val="20"/>
          <w:color w:val="auto"/>
        </w:rPr>
      </w:pPr>
    </w:p>
    <w:p>
      <w:pPr>
        <w:ind w:left="660" w:right="699" w:firstLine="3"/>
        <w:spacing w:after="0" w:line="252" w:lineRule="auto"/>
        <w:tabs>
          <w:tab w:leader="none" w:pos="857" w:val="left"/>
        </w:tabs>
        <w:numPr>
          <w:ilvl w:val="0"/>
          <w:numId w:val="6"/>
        </w:numPr>
        <w:rPr>
          <w:rFonts w:ascii="Arial" w:cs="Arial" w:eastAsia="Arial" w:hAnsi="Arial"/>
          <w:sz w:val="14"/>
          <w:szCs w:val="14"/>
          <w:color w:val="auto"/>
        </w:rPr>
      </w:pPr>
      <w:r>
        <w:rPr>
          <w:rFonts w:ascii="Arial" w:cs="Arial" w:eastAsia="Arial" w:hAnsi="Arial"/>
          <w:sz w:val="14"/>
          <w:szCs w:val="14"/>
          <w:color w:val="auto"/>
        </w:rPr>
        <w:t>months. As a result, we are deemed to have a concentration in commercial real estate lending under applicable regulatory guidelines.</w:t>
      </w:r>
    </w:p>
    <w:p>
      <w:pPr>
        <w:spacing w:after="0" w:line="153"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USCB Financial Holdings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Payment of Dividends</w:t>
      </w:r>
    </w:p>
    <w:p>
      <w:pPr>
        <w:spacing w:after="0" w:line="186" w:lineRule="exact"/>
        <w:rPr>
          <w:sz w:val="20"/>
          <w:szCs w:val="20"/>
          <w:color w:val="auto"/>
        </w:rPr>
      </w:pPr>
    </w:p>
    <w:p>
      <w:pPr>
        <w:ind w:left="660" w:right="659" w:firstLine="256"/>
        <w:spacing w:after="0" w:line="244" w:lineRule="auto"/>
        <w:rPr>
          <w:sz w:val="20"/>
          <w:szCs w:val="20"/>
          <w:color w:val="auto"/>
        </w:rPr>
      </w:pPr>
      <w:r>
        <w:rPr>
          <w:rFonts w:ascii="Arial" w:cs="Arial" w:eastAsia="Arial" w:hAnsi="Arial"/>
          <w:sz w:val="14"/>
          <w:szCs w:val="14"/>
          <w:color w:val="auto"/>
        </w:rPr>
        <w:t>The ability of the board of directors of an insured depository institution to declare a cash dividend or other distribution with respect to capital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w:t>
      </w:r>
    </w:p>
    <w:p>
      <w:pPr>
        <w:spacing w:after="0" w:line="15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because we are a BHC, we are dependent upon the payment of dividends by the Bank as our principal source of funds to pay dividends in the future, if any, and to make other payments. It is the policy of the Federal Reserve Board that BHCs should pay cash dividends on common stock only out of income available over the past year and only if prospective earnings retention is consistent with the organization’s expected future needs and financial condition. The policy provides that BHCs should not maintain a level of cash dividends that undermines the BHC’s ability to serve as a source of strength to its banking subsidiaries.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Incentive Compensation</w:t>
      </w:r>
    </w:p>
    <w:p>
      <w:pPr>
        <w:spacing w:after="0" w:line="186"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Guidelines adopted bythe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4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June 2010, the federal banking agencies jointly adopted the Guidance on Sound Incentive Compensation Policies, or GSICP.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spacing w:after="0" w:line="158"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 billion in average total consolidated assets.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of such policies is not known at this time.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Limits on Transactions with Affiliates and Insiders</w:t>
      </w:r>
    </w:p>
    <w:p>
      <w:pPr>
        <w:spacing w:after="0" w:line="186"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Insured depository institutions are subject to restrictions on their ability to conduct transactions with affiliates and other related parties. Section 23A of the Federal Reserve Act imposes quantitative limits, qualitative requirements, and collateral requirements on certain transactions by an insured depository institution with, or for the benefit of, its affiliates. Transactions covered by Section 23A include loans, extensions of credit, investment in securities issued by an affiliate, and acquisitions of assets from an affiliate. Section 23B of the Federal Reserve Act requires that most types of transactions by an insured depository institution with, or for the benefit of, an affiliate be on terms at least as favorable to the insured depository institution as if the transaction were conducted with an unaffiliated third party.</w:t>
      </w: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280" w:val="left"/>
          <w:tab w:leader="none" w:pos="16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An affiliate of a bank is any company or entity that controls, is controlled by or is under common control with the bank. In a holding company context, the parent bank holding company, such as USCB Financial Holdings, Inc., and any companies that are controlled by such parent holding company (excluding subsidiaries of the bank) are affiliates of the bank.</w:t>
      </w:r>
    </w:p>
    <w:p>
      <w:pPr>
        <w:spacing w:after="0" w:line="142"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Loans to executive officers and directors of an insured depository institution or any of its affiliates or to any person who directly or indirectly, or acting through or in concert with one or more persons, owns, controls or has the power to vote more than 10% of any class of voting securities of a bank, which we refer to as 10% shareholders, or to any political or campaign committee the funds or services of which will benefit those executive officers, directors, or 10% shareholders or which is controlled by those executive officers, directors or 10% shareholders, are subject to Sections 22(g) and 22(h) of the Federal Reserve Act and the corresponding regulations (Regulation O) and Section 13(k) of the Exchange Act relating to the prohibition on personal loans to executives (which exempts financial institutions in compliance with the insider lending restrictions of Section 22(h) of the Federal Reserve Act).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FDIC Deposit Insurance</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are insured by the FDIC up to applicable limits. As a general matter, the maximum deposit insurance amount is $250 thousand per depositor.</w:t>
      </w:r>
    </w:p>
    <w:p>
      <w:pPr>
        <w:spacing w:after="0" w:line="15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59"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In October 2022, the FDIC finalized a rule that will increase the initial base deposit insurance assessment rates by 2 basis points, beginning with the first quarterly assessment period of 2023 (January 1, 2023 through March 31, 2023). The FDIC, as required under the Federal Deposit Insurance Act, established a plan in September 2020 to restore the Deposit Insurance Fund (“DIF”) reserve ratio to meet or exceed the statutory minimum of 1.35 percent within eight years. This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also concurrently maintained the Designated Reserve Ratio (“DDR”) for the DIF at 2 percent for 2023. The new assessment rate schedules will remain in effect unless and until the reserve ratio meets or exceeds 2 percent in order to support growth in the DIF in progressing toward the FDIC’s long-term goal of a 2 percent DRR. Progressively lower assessment rate schedules will take effect when the reserve ratio reaches 2 percent, and again when it reaches 2.5 percent. The revised assessment rate schedule will remain in effect unless and until the reserve ratio meets or exceeds 2 percent, absent further action by the FDIC.</w:t>
      </w:r>
    </w:p>
    <w:p>
      <w:pPr>
        <w:spacing w:after="0" w:line="162"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Depositor Preference</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U.S. Century Bank, with respect to any extensions of credit they have made to such insured depository institution.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Overdraft Fee Regulation</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Reserve System and Federal Home Loan Bank System</w:t>
      </w:r>
    </w:p>
    <w:p>
      <w:pPr>
        <w:spacing w:after="0" w:line="186"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We are a member of the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156"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As a member of the FHLB of Atlanta, we are required to own capital stock in the FHLB in an amount at least equal to 0.05% (or 5 basis points), which is subject to annual adjustments, of the Bank’s total assets at the end of each calendar year (up to a maximum of $15 million), plus 4.25% of our outstanding advances (borrowings) from the FHLB of Atlanta under the activity-based stock ownership requirement.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Anti-Money Laundering Regulation</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FDIC Rule 326.8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transactions that meet certain dollar amount thresholds as well as any suspicious transactions. Recent laws, such as the USA PATRIOT Act, enacted in 2001 and renewed through 2019, as described below, provide law enforcement authorities with increased access to financial information maintained by banks.</w:t>
      </w:r>
    </w:p>
    <w:p>
      <w:pPr>
        <w:spacing w:after="0" w:line="163"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USA PATRIOT Act</w:t>
      </w:r>
    </w:p>
    <w:p>
      <w:pPr>
        <w:spacing w:after="0" w:line="186"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USA PATRIOT Act became effective on October 26, 2001 and amended the BSA. The USA PATRIOT Act requires banks to establish anti-money laundering programs that include, at a minimum:</w:t>
      </w:r>
    </w:p>
    <w:p>
      <w:pPr>
        <w:spacing w:after="0" w:line="153" w:lineRule="exact"/>
        <w:rPr>
          <w:sz w:val="20"/>
          <w:szCs w:val="20"/>
          <w:color w:val="auto"/>
        </w:rPr>
      </w:pPr>
    </w:p>
    <w:p>
      <w:pPr>
        <w:jc w:val="both"/>
        <w:ind w:left="1180" w:right="699" w:hanging="261"/>
        <w:spacing w:after="0" w:line="242"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designated compliance officer;</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employee training for bank employees;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independent audit function to test the efficacy of the bank’s anti-money laundering program;</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procedures to verify the identity of each bank customer upon the opening of accounts;</w:t>
      </w:r>
    </w:p>
    <w:p>
      <w:pPr>
        <w:ind w:left="1180" w:right="699" w:hanging="261"/>
        <w:spacing w:after="0" w:line="268"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heightened due diligence policies, procedures and controls applicable to certain foreign accounts and relationships; and</w:t>
      </w:r>
    </w:p>
    <w:p>
      <w:pPr>
        <w:spacing w:after="0" w:line="39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79" w:hanging="261"/>
        <w:spacing w:after="0" w:line="252"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required reports to law enforcement and/or financial regulators to assist in the deterrence and prevention of money laundering activities.</w:t>
      </w:r>
    </w:p>
    <w:p>
      <w:pPr>
        <w:spacing w:after="0" w:line="153"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On May 11, 2018, the U.S. Treasury’s Financial Crimes Enforcement Network, or FinCEN, issued a final rule under the BSA requiring banks to identify and verify the identity of the natural persons behind their customers that are legal entities—the beneficial owners. We and our affiliates have adopted policies, procedures and controls designed to comply with the BSA and the USA PATRIOT Act.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Office of Foreign Assets Control</w:t>
      </w:r>
    </w:p>
    <w:p>
      <w:pPr>
        <w:spacing w:after="0" w:line="17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Such persons are referred to as “sanctioned” persons.</w:t>
      </w:r>
    </w:p>
    <w:p>
      <w:pPr>
        <w:spacing w:after="0" w:line="146"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Laws and Regulations</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56" w:lineRule="exact"/>
        <w:rPr>
          <w:sz w:val="20"/>
          <w:szCs w:val="20"/>
          <w:color w:val="auto"/>
        </w:rPr>
      </w:pPr>
    </w:p>
    <w:p>
      <w:pPr>
        <w:jc w:val="both"/>
        <w:ind w:left="1180" w:right="679" w:hanging="261"/>
        <w:spacing w:after="0" w:line="243"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Truth-In-Lending Act, or TILA, and Regulation Z, governing disclosures of credit and servicing terms to consumer borrowers and including substantial new requirements for mortgage lending and servicing, as mandated by the Dodd-Frank Act</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219"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Equal Credit Opportunity Act and Regulation B, prohibiting discrimination on the basis of race, color, religion, or other prohibited factors in extending credit;</w:t>
      </w:r>
    </w:p>
    <w:p>
      <w:pPr>
        <w:jc w:val="both"/>
        <w:ind w:left="1180" w:right="679" w:hanging="261"/>
        <w:spacing w:after="0" w:line="243"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Fair Debt Collection Practices Act and Regulation F, governing the manner in which consumer debts may be collected by collection agencies; and</w:t>
      </w:r>
    </w:p>
    <w:p>
      <w:pPr>
        <w:ind w:left="1180" w:right="679" w:hanging="261"/>
        <w:spacing w:after="0" w:line="268"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Real Estate Settlement Procedures Act, or RESPA, and Regulation X, which governs aspects of the settlement process for residential mortgage loans.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deposit operations are also subject to federal laws, such as:</w:t>
      </w:r>
    </w:p>
    <w:p>
      <w:pPr>
        <w:spacing w:after="0" w:line="170" w:lineRule="exact"/>
        <w:rPr>
          <w:sz w:val="20"/>
          <w:szCs w:val="20"/>
          <w:color w:val="auto"/>
        </w:rPr>
      </w:pPr>
    </w:p>
    <w:p>
      <w:pPr>
        <w:ind w:left="1180" w:right="679" w:hanging="261"/>
        <w:spacing w:after="0" w:line="246" w:lineRule="auto"/>
        <w:tabs>
          <w:tab w:leader="none" w:pos="11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FDIA, which, among other things, limits the amount of deposit insurance available per account to $250,000 and imposes other limits on deposit-taking;</w:t>
      </w:r>
    </w:p>
    <w:p>
      <w:pPr>
        <w:ind w:left="1180" w:right="699" w:hanging="261"/>
        <w:spacing w:after="0" w:line="238" w:lineRule="auto"/>
        <w:tabs>
          <w:tab w:leader="none" w:pos="11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Right to Financial Privacy Act, which imposes a duty to maintain the confidentiality of consumer financial records and prescribes procedures for complying with administrative subpoenas of financial records;</w:t>
      </w:r>
    </w:p>
    <w:p>
      <w:pPr>
        <w:jc w:val="both"/>
        <w:ind w:left="1180" w:right="679" w:hanging="261"/>
        <w:spacing w:after="0" w:line="253" w:lineRule="auto"/>
        <w:tabs>
          <w:tab w:leader="none" w:pos="11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79" w:hanging="261"/>
        <w:spacing w:after="0" w:line="252" w:lineRule="auto"/>
        <w:tabs>
          <w:tab w:leader="none" w:pos="11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Truth in Savings Act and Regulation DD, which requires depository institutions to provide disclosures so that consumers can make meaningful comparisons about depository institutions and accounts.</w:t>
      </w:r>
    </w:p>
    <w:p>
      <w:pPr>
        <w:spacing w:after="0" w:line="15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Financial Privacy and Cybersecurity</w:t>
      </w:r>
    </w:p>
    <w:p>
      <w:pPr>
        <w:spacing w:after="0" w:line="175"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Banking organizations are subject to many federal and state laws and regulations governing the collection, use and protection of customer information. Under the privacy protection provisions of the Gramm-Leach-Bliley Act of 1999 and related regulations, we are limited in our ability to disclose non-public information about consumers to nonaffiliated third parties. These limitations require disclosure of privacy policies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These guidelines, along with related regulatory materials, increasingly focus on risk management and processes related to information technology and the use of third parties in the provision of financial services.</w:t>
      </w:r>
    </w:p>
    <w:p>
      <w:pPr>
        <w:spacing w:after="0" w:line="15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Financial Protection Bureau</w:t>
      </w:r>
    </w:p>
    <w:p>
      <w:pPr>
        <w:spacing w:after="0" w:line="18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3"/>
          <w:szCs w:val="13"/>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 billion in assets for compliance with federal consumer laws. The authority to supervise and examine depository institutions with $10 billion or less in assets, such as the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Volcker Rule</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2022, we are not subject to the Volcker Rule because of our asset size, which is below the $10.0 billion Volcker Rule threshold.</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Community Reinvestment Act and Fair Lending Requirements</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6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Accordingly, the CRA generally requires federal banking agencies to evaluate the record of a financial institution in meeting applicable CRA requirements. The CRA further requires the agencies to take into account our record of meeting</w:t>
      </w:r>
    </w:p>
    <w:p>
      <w:pPr>
        <w:spacing w:after="0" w:line="2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4" w:lineRule="auto"/>
        <w:rPr>
          <w:sz w:val="20"/>
          <w:szCs w:val="20"/>
          <w:color w:val="auto"/>
        </w:rPr>
      </w:pPr>
      <w:r>
        <w:rPr>
          <w:rFonts w:ascii="Arial" w:cs="Arial" w:eastAsia="Arial" w:hAnsi="Arial"/>
          <w:sz w:val="14"/>
          <w:szCs w:val="14"/>
          <w:color w:val="auto"/>
        </w:rPr>
        <w:t>community credit needs when evaluating applications for, among other things, new branches or mergers. We are also 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addition to substantive penalties and corrective measures that may be required for a violation of certain fair lending laws, the federal banking agencies may take 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 block any such transaction. The regulatory agency's assessment of the institution's record is made available to the public at www.ffiec.gov/craratings. Following its most recent CRA performance evaluation in March 2020, U.S. Century Bank received an overall rating of "Satisfactory."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Call Reports and Examination Cycle</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 billion that do not engage in certain complex or international activities to file the most streamlined version of the quarterly call report, and to reduce data reportable on certain streamlined call report submissions.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Effect of Governmental Monetary Policies</w:t>
      </w:r>
    </w:p>
    <w:p>
      <w:pPr>
        <w:spacing w:after="0" w:line="17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commercial banking business is affected not only by general economic conditions, but also by the monetary policies of the Federal Reserve Board. Changes in the discount rate on member bank borrowing, availability of borrowing at the “discount 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Board. These monetary policies are used in varying combinations to influence overall growth and distributions of bank loans, investments and deposits, which may affect interest rates charged on loans or paid on deposits. The monetary policies of the Federal Reserve Board have had a significant effect on the operating results of commercial banks and are expected to continue to do so in the future. The Federal Reserve Board’s policies are primarily influenced by the dual mandate of price stability and full employment, and to a lesser degree by short-term and long-term changes in the international trade balance and in the fiscal policies of the U.S. government. Future changes in monetary policy and the effect of such changes on our business and earnings in the future cannot be predicted.</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Future Legislation and Regulation</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CARES Act and Initiatives Related to COVID-19</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On March 27, 2020, the CARES Act was signed into law and provided for approximately $2.2 trillion in direct economic relief in response to the public health and economic impacts of COVID-19. Many of the CARES Act’s programs are, and remain, dependent upon the direct involvement of financial institutions like us. These programs have been implemented through rules and guidance adopted by federal departments and agencies, including the U.S. Department of Treasury, the Federal Reserve and other federal bank regulatory authorities, including those with direct supervisory jurisdiction over us. Furthermore, as the COVID-19 pandemic evolves, federal regulatory authorities continue to issue additional guidance with respect to the implementation, life cycle, and eligibility requirements for the various CARES Act programs, as well as industry-specific recovery procedures for COVID-19. In addition, it is possible that Congress will enact supplementary COVID-19 response legislation, including amendments to the CARES Act or new bills comparable in scope to the CARES Act. We continue to assess the impact of the CARES Act, the Consolidated Appropriations Act, 2021 and the potential</w:t>
      </w: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impact of new COVID-19 legislation and other statutes, regulations and supervisory guidance related to the COVID-19 pandemic.</w:t>
      </w:r>
    </w:p>
    <w:p>
      <w:pPr>
        <w:spacing w:after="0" w:line="153" w:lineRule="exact"/>
        <w:rPr>
          <w:sz w:val="20"/>
          <w:szCs w:val="20"/>
          <w:color w:val="auto"/>
        </w:rPr>
      </w:pPr>
    </w:p>
    <w:p>
      <w:pPr>
        <w:jc w:val="both"/>
        <w:ind w:left="660" w:right="679" w:firstLine="256"/>
        <w:spacing w:after="0" w:line="242" w:lineRule="auto"/>
        <w:rPr>
          <w:sz w:val="20"/>
          <w:szCs w:val="20"/>
          <w:color w:val="auto"/>
        </w:rPr>
      </w:pPr>
      <w:r>
        <w:rPr>
          <w:rFonts w:ascii="Arial" w:cs="Arial" w:eastAsia="Arial" w:hAnsi="Arial"/>
          <w:sz w:val="14"/>
          <w:szCs w:val="14"/>
          <w:color w:val="auto"/>
        </w:rPr>
        <w:t>A principal provision of the CARES Act amended the SBA’s loan program to create a guaranteed, unsecured loan program, the Paycheck Protection Program, or PPP, to fund operational costs of eligible businesses, organizations and self-employed persons impacted by COVID-19. These loans are eligible to be forgiven if certain conditions are satisfied and are fully guaranteed by the SBA. Additionally, loan payments will also be deferred for the first six months of the loan term. The</w:t>
      </w:r>
    </w:p>
    <w:p>
      <w:pPr>
        <w:spacing w:after="0" w:line="1" w:lineRule="exact"/>
        <w:rPr>
          <w:sz w:val="20"/>
          <w:szCs w:val="20"/>
          <w:color w:val="auto"/>
        </w:rPr>
      </w:pPr>
    </w:p>
    <w:p>
      <w:pPr>
        <w:jc w:val="both"/>
        <w:ind w:left="660" w:right="679" w:firstLine="3"/>
        <w:spacing w:after="0" w:line="246" w:lineRule="auto"/>
        <w:tabs>
          <w:tab w:leader="none" w:pos="98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commenced on April 3, 2020 and was available to qualified borrowers through August 8, 2020. No collateral or personal guarantees were required. On December 27, 2020, President Trump signed the Consolidated Appropriations Act, 2021 into law which included the Economic Aid to Hard-Hit Small Businesses, Nonprofits, and Venues Act, or the HHSB Act. Among other things, the HHSB Act renewed the PPP, allocating $284.45 billion for both new first time PPP loans under the existing PPP and the expansion of existing PPP loans for certain qualified, existing PPP borrowers. In addition to extending and amending the PPP, the HHSB Act also creates a new grant program for “shuttered venue operators.” As of December 31, 2022, we had 6 active PPP loans remaining totaling $1.3 million.</w:t>
      </w:r>
    </w:p>
    <w:p>
      <w:pPr>
        <w:spacing w:after="0" w:line="157"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CARES Act, as extended by certain provisions of the Consolidated Appropriations Act, 2021, permits banks to suspend requirements under GAAP for loan modifications to borrowers affected by COVID-19 that may otherwise be characterized as troubled debt restructurings and suspend any determination related thereto if (i) the borrower was not more than 30 days past due as of December 31, 2019, (ii) the modifications are related to COVID-19, and (iii) the modification occurs between March 1, 2020 and the earlier of 60 days after the date of termination of the national emergency or January 1, 2022. Federal bank regulatory authorities also issued guidance to encourage banks to make loan modifications for borrowers affected by COVID-19. As of December 31, 2022, there were no loans in our portfolio in deferral status associated with the COVID-19 pandemic.</w:t>
      </w:r>
    </w:p>
    <w:p>
      <w:pPr>
        <w:spacing w:after="0" w:line="158" w:lineRule="exact"/>
        <w:rPr>
          <w:sz w:val="20"/>
          <w:szCs w:val="20"/>
          <w:color w:val="auto"/>
        </w:rPr>
      </w:pPr>
    </w:p>
    <w:p>
      <w:pPr>
        <w:ind w:left="660" w:right="739" w:firstLine="256"/>
        <w:spacing w:after="0" w:line="252" w:lineRule="auto"/>
        <w:rPr>
          <w:sz w:val="20"/>
          <w:szCs w:val="20"/>
          <w:color w:val="auto"/>
        </w:rPr>
      </w:pPr>
      <w:r>
        <w:rPr>
          <w:rFonts w:ascii="Arial" w:cs="Arial" w:eastAsia="Arial" w:hAnsi="Arial"/>
          <w:sz w:val="14"/>
          <w:szCs w:val="14"/>
          <w:color w:val="auto"/>
        </w:rPr>
        <w:t>See Note 3 “Loans” of the Consolidated Financial Statements included in this Annual Report Form 10-K for further details.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Available Information</w:t>
      </w:r>
    </w:p>
    <w:p>
      <w:pPr>
        <w:spacing w:after="0" w:line="17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website address is www.uscentury.com. Our electronic filings with the FDIC and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maintains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Business and Operations</w:t>
      </w:r>
    </w:p>
    <w:p>
      <w:pPr>
        <w:spacing w:after="0" w:line="186" w:lineRule="exact"/>
        <w:rPr>
          <w:sz w:val="20"/>
          <w:szCs w:val="20"/>
          <w:color w:val="auto"/>
        </w:rPr>
      </w:pPr>
    </w:p>
    <w:p>
      <w:pPr>
        <w:ind w:left="1180" w:right="699" w:hanging="261"/>
        <w:spacing w:after="0" w:line="252"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operations and lending activities are concentrated in South Florida, and we are more sensitive to adverse changes in the local economy than our more geographically diversified competitors.</w:t>
      </w:r>
    </w:p>
    <w:p>
      <w:pPr>
        <w:spacing w:after="0" w:line="142"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small- to medium-sized businesses to which we lend may have fewer resources to weather adverse business developments, which may impair a borrower's ability to repay a loan.</w:t>
      </w:r>
    </w:p>
    <w:p>
      <w:pPr>
        <w:spacing w:after="0" w:line="141"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continuing COVID-19 pandemic has, and may continue to, adversely affect our business, financial condition, liquidity, capital and results of operations.</w:t>
      </w:r>
    </w:p>
    <w:p>
      <w:pPr>
        <w:spacing w:after="0" w:line="142"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Inflationary pressures and rising prices may affect our results of operations and financial condition.</w:t>
      </w:r>
    </w:p>
    <w:p>
      <w:pPr>
        <w:spacing w:after="0" w:line="169"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Financial challenges at other banking institutions could lead to depositor concerns that spread within the banking industry causing disruptive deposit outflows and other destabilizing results.</w:t>
      </w:r>
    </w:p>
    <w:p>
      <w:pPr>
        <w:spacing w:after="0" w:line="131"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U.S. trade policies and other global political factors beyond our control may adversely impact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lending business is subject to credit risk, which could lead to unexpected losses.</w:t>
      </w:r>
    </w:p>
    <w:p>
      <w:pPr>
        <w:spacing w:after="0" w:line="169"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potential for the replacement or discontinuation of London Inter-bank Offered Rate, or LIBOR, as a benchmark interest rate could present operational problems and result in market disruption.</w:t>
      </w:r>
    </w:p>
    <w:p>
      <w:pPr>
        <w:spacing w:after="0" w:line="142"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Natural disasters and severe weather events in Florida could have a material adverse impact on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is subject to interest rate risk.</w:t>
      </w:r>
    </w:p>
    <w:p>
      <w:pPr>
        <w:spacing w:after="0" w:line="169" w:lineRule="exact"/>
        <w:rPr>
          <w:rFonts w:ascii="Arial" w:cs="Arial" w:eastAsia="Arial" w:hAnsi="Arial"/>
          <w:sz w:val="14"/>
          <w:szCs w:val="14"/>
          <w:color w:val="auto"/>
        </w:rPr>
      </w:pPr>
    </w:p>
    <w:p>
      <w:pPr>
        <w:ind w:left="1180" w:right="719" w:hanging="261"/>
        <w:spacing w:after="0" w:line="252"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failure or the perceived risk of a failure to raise the statutory debt limit of the U.S. could have a material adverse effect on our business, financial condition and results of operations.</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allowance for credit losses may not be sufficient to absorb potential losses in our loan portfolio.</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commercial loan portfolio may expose us to increased credit risk.</w:t>
      </w:r>
    </w:p>
    <w:p>
      <w:pPr>
        <w:spacing w:after="0" w:line="159"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imposition of limits by the bank regulators on commercial real estate lending activities could curtail our growth and adversely affect our earnings.</w:t>
      </w:r>
    </w:p>
    <w:p>
      <w:pPr>
        <w:spacing w:after="0" w:line="131" w:lineRule="exact"/>
        <w:rPr>
          <w:rFonts w:ascii="Arial" w:cs="Arial" w:eastAsia="Arial" w:hAnsi="Arial"/>
          <w:sz w:val="14"/>
          <w:szCs w:val="14"/>
          <w:color w:val="auto"/>
        </w:rPr>
      </w:pPr>
    </w:p>
    <w:p>
      <w:pPr>
        <w:ind w:left="1180" w:right="679" w:hanging="261"/>
        <w:spacing w:after="0" w:line="268" w:lineRule="auto"/>
        <w:tabs>
          <w:tab w:leader="none" w:pos="11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SBA lending program depends on our status as a participant in the SBA's Preferred Lenders Program, and we face specific risks associated with originating SBA loans and selling the guaranteed portion thereof.</w:t>
      </w:r>
    </w:p>
    <w:p>
      <w:pPr>
        <w:spacing w:after="0" w:line="131"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SBA may not honor its guarantees if we do not originate loans in compliance with SBA guidelines.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Global banking is an important part of our business, which creates increased BSA/AML risk.</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not recover all amounts that are contractually owed to us by our borrowers.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Non-performing assets take significant time to resolve and adversely affect us.</w:t>
      </w: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79" w:hanging="261"/>
        <w:spacing w:after="0" w:line="252" w:lineRule="auto"/>
        <w:tabs>
          <w:tab w:leader="none" w:pos="11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engage in lending secured by real estate and may foreclose on the collateral and own the underlying real estate, subjecting us to the costs and potential risks associated with the ownership of real property and other risks.</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subject to certain operational risks, such as fraud and data processing system failures and errors.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subject to liquidity risk, which could adversely affect our financial condition and results of operations.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several large depositor relationships, the loss of which could adversely affect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value of our securities in our investment portfolio may decline in the future.</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not effectively execute on our expansion strategy.</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New lines of business, products, product enhancements or services may subject us to additional risk.</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Additional capital we need may not be available on terms acceptable to us or may dilute our shareholders.</w:t>
      </w:r>
    </w:p>
    <w:p>
      <w:pPr>
        <w:spacing w:after="0" w:line="159"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strategy to grow through mergers or acquisitions may not be successful or, if successful, may produce risks in successfully integrating and managing the merged companies or acquisitions and may dilute our shareholders.</w:t>
      </w:r>
    </w:p>
    <w:p>
      <w:pPr>
        <w:spacing w:after="0" w:line="141"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lose one or more of our key personnel or fail to attract and retain other highly qualified personnel.</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Damage to our reputation could significantly harm our businesses.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face strong competition and must respond to rapid technological changes to remain competitive.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failure, interruption, or breach in the security of our or our contracted vendors’ systems could adversely affect us.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rely on other companies to provide key components of our business infrastructure.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Litigation and regulatory actions could subject us to significant liabilities or restrictions.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of our directors may have conflicts of interest in presenting business opportunities to us.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Tax, Accounting and Regulatory Compliance</w:t>
      </w:r>
    </w:p>
    <w:p>
      <w:pPr>
        <w:spacing w:after="0" w:line="186" w:lineRule="exact"/>
        <w:rPr>
          <w:sz w:val="20"/>
          <w:szCs w:val="20"/>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be unable to recognize the benefits of deferred tax assets.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accuracy of our financial statements could be affected by our judgments, assumptions or estimates.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a new public company, we may not create an effective internal control environment.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operate in a highly regulated environment.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participation in the SBA PPP loan program exposes us to noncompliance risk and litigation risk.</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face a risk of noncompliance with the Bank Secrecy Act and other anti-money laundering laws.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subject to capital adequacy requirements that may become more stringent.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periodically subject to examination and scrutiny by a number of banking agencies.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subject to numerous laws and regulations of certain regulatory agencies designed to protect consumers.</w:t>
      </w:r>
    </w:p>
    <w:p>
      <w:pPr>
        <w:spacing w:after="0" w:line="169"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Climate change and related legislative and regulatory initiatives may materially affect our business and results of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Class A Common Stock</w:t>
      </w:r>
    </w:p>
    <w:p>
      <w:pPr>
        <w:spacing w:after="0" w:line="186"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Ability to pay dividends on our common stock is subject to restrictions.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market price and trading volume of our Class A common stock may be volatile.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There are significant restrictions in our Articles of Incorporation that restrict the ability to sell our capital stock.</w:t>
      </w:r>
    </w:p>
    <w:p>
      <w:pPr>
        <w:spacing w:after="0" w:line="159" w:lineRule="exact"/>
        <w:rPr>
          <w:rFonts w:ascii="Arial" w:cs="Arial" w:eastAsia="Arial" w:hAnsi="Arial"/>
          <w:sz w:val="14"/>
          <w:szCs w:val="14"/>
          <w:color w:val="auto"/>
        </w:rPr>
      </w:pPr>
    </w:p>
    <w:p>
      <w:pPr>
        <w:ind w:left="1180" w:right="719" w:hanging="261"/>
        <w:spacing w:after="0" w:line="252"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an emerging growth company and have decided to take advantage of certain exemptions from various reporting and other requirements applicable to emerging growth companies.</w:t>
      </w:r>
    </w:p>
    <w:p>
      <w:pPr>
        <w:spacing w:after="0" w:line="152" w:lineRule="exact"/>
        <w:rPr>
          <w:rFonts w:ascii="Arial" w:cs="Arial" w:eastAsia="Arial" w:hAnsi="Arial"/>
          <w:sz w:val="14"/>
          <w:szCs w:val="14"/>
          <w:color w:val="auto"/>
        </w:rPr>
      </w:pPr>
    </w:p>
    <w:p>
      <w:pPr>
        <w:ind w:left="1180" w:right="679" w:hanging="261"/>
        <w:spacing w:after="0" w:line="26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existing investors that own a significant amount of our common stock whose individual interests may differ from yours.</w:t>
      </w:r>
    </w:p>
    <w:p>
      <w:pPr>
        <w:spacing w:after="0" w:line="131"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Provisions in our governing documents and Florida law may have an anti-takeover effect and there are substantial regulatory limitations on changes of control of the Company.</w:t>
      </w:r>
    </w:p>
    <w:p>
      <w:pPr>
        <w:spacing w:after="0" w:line="1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72"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3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45"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If we are required to liquidate our real estate collateral securing a loan during a period of reduced real estate values to satisfy the debt, our earnings and capital could be adversely affected.</w:t>
      </w:r>
    </w:p>
    <w:p>
      <w:pPr>
        <w:spacing w:after="0" w:line="4"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Moreover, since a large portion of our loan portfolio is secured by properties located in South Florida, the occurrence of a natural disaster, such as a hurricane, or a man-made disaster could result in a decline in loan originations, a decline in the value or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4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43"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there are continuing concerns related to, among other things, the level of U.S. government debt and fiscal actions that may be taken to address that debt, price fluctuations of key natural resources, inflation, the potential resurgence of economic and political tensions with China, the Russian invasion of Ukraine and continuing high oil prices due to, among other things, Russian supply disruptions,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131"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The small- to medium-sized businesses to which we lend may have fewer resources to weather adverse business developments, which may impair a borrower's ability to repay a loan.</w:t>
      </w:r>
    </w:p>
    <w:p>
      <w:pPr>
        <w:spacing w:after="0" w:line="11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target our business development and marketing strategies primarily to serve the banking and financial services needs of small- to medium-sized businesses, or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These factors may impact SMBs significantly more as a result of the effects of the COVID-19 pandemic.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4"/>
          <w:szCs w:val="14"/>
          <w:color w:val="auto"/>
        </w:rPr>
        <w:t>impact the markets in which we operate or any of our borrowers otherwise are affected by adverse business developments, our SMB borrowers may be disproportionately affected and their ability to repay outstanding loans may be negatively affected, which could have a material adverse effect on our business, financial condition and results of operations.</w:t>
      </w:r>
    </w:p>
    <w:p>
      <w:pPr>
        <w:spacing w:after="0" w:line="126" w:lineRule="exact"/>
        <w:rPr>
          <w:sz w:val="20"/>
          <w:szCs w:val="20"/>
          <w:color w:val="auto"/>
        </w:rPr>
      </w:pPr>
    </w:p>
    <w:p>
      <w:pPr>
        <w:jc w:val="both"/>
        <w:ind w:left="660" w:right="639" w:firstLine="256"/>
        <w:spacing w:after="0" w:line="276" w:lineRule="auto"/>
        <w:rPr>
          <w:sz w:val="20"/>
          <w:szCs w:val="20"/>
          <w:color w:val="auto"/>
        </w:rPr>
      </w:pPr>
      <w:r>
        <w:rPr>
          <w:rFonts w:ascii="Arial" w:cs="Arial" w:eastAsia="Arial" w:hAnsi="Arial"/>
          <w:sz w:val="14"/>
          <w:szCs w:val="14"/>
          <w:b w:val="1"/>
          <w:bCs w:val="1"/>
          <w:i w:val="1"/>
          <w:iCs w:val="1"/>
          <w:color w:val="auto"/>
        </w:rPr>
        <w:t>The continuing COVID-19 pandemic has, and may continue to, adversely affect our business, financial condition, liquidity, capital and results of operations.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extent and duration to which the continuing COVID-19 pandemic will affect our business in the future is unknown and will depend on future developments, which are highly uncertain and outside our control. These developments include the duration and severity of the pandemic (including the possibility of further surges of COVID-19 variants of concern), supply chain disruptions, decreased demand for our products and services or those of our borrowers, which could increase our credit risk, rising inflation, our ability to maintain sufficient qualified personnel due to labor shortages, talent attrition, employee illness, quarantine, willingness to return to work, face-coverings and other safety requirements, or travel and other restrictions, and the actions taken by governments, businesses and individuals to contain the impact of COVID-19, as well as further actions taken by governmental authorities to limit the resulting economic impact. It is also possible that the pandemic and its aftermath will lead to a prolonged economic slowdown in sectors disproportionately affected by the pandemic or recession in the U.S. economy or the world economy in general.</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Inflationary pressures and rising prices may affect our results of operations and financial condition.</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Inflation has risen sharply since the end of 2021 to levels not seen in more than 40 years. Small to medium-sized businesses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 Furthermore, a prolonged period of inflation could cause wages and other of our costs to increase, which could adversely affect our results of operations and financial condition.</w:t>
      </w:r>
    </w:p>
    <w:p>
      <w:pPr>
        <w:spacing w:after="0" w:line="142" w:lineRule="exact"/>
        <w:rPr>
          <w:sz w:val="20"/>
          <w:szCs w:val="20"/>
          <w:color w:val="auto"/>
        </w:rPr>
      </w:pPr>
    </w:p>
    <w:p>
      <w:pPr>
        <w:ind w:left="660" w:right="659" w:firstLine="256"/>
        <w:spacing w:after="0" w:line="279" w:lineRule="auto"/>
        <w:rPr>
          <w:sz w:val="20"/>
          <w:szCs w:val="20"/>
          <w:color w:val="auto"/>
        </w:rPr>
      </w:pPr>
      <w:r>
        <w:rPr>
          <w:rFonts w:ascii="Arial" w:cs="Arial" w:eastAsia="Arial" w:hAnsi="Arial"/>
          <w:sz w:val="14"/>
          <w:szCs w:val="14"/>
          <w:b w:val="1"/>
          <w:bCs w:val="1"/>
          <w:color w:val="auto"/>
        </w:rPr>
        <w:t>Financial challenges at other banking institutions could lead to depositor concerns that spread within the banking industry causing disruptive deposit outflows and other destabilizing results.</w:t>
      </w:r>
    </w:p>
    <w:p>
      <w:pPr>
        <w:spacing w:after="0" w:line="13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March 2023, certain specialized banking institutions with elevated concentrations of uninsured deposits experienced large deposit outflows, resulting in the institutions being placed into FDIC receiverships. In the aftermath, there has been substantial market disruption and indications that deposit concerns could spread within the banking industry, leading to deposit outflows and other destabilizing results. U.S. Century Bank maintains a well-diversified deposit base. Our top 15 depositors only hold 12% of our total portfolio. As of December 31, 2022, 39% of our deposits are estimated to be FDIC-insured. Our public funds are 11% of total deposits and are partially collateralized. The estimated average account size of our deposit portfolio is $95 thousand. In addition, the Bank was qualified as a “well capitalized” institution as of December 31, 2022 and 2021.</w:t>
      </w:r>
    </w:p>
    <w:p>
      <w:pPr>
        <w:spacing w:after="0" w:line="14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34" w:lineRule="exact"/>
        <w:rPr>
          <w:sz w:val="20"/>
          <w:szCs w:val="20"/>
          <w:color w:val="auto"/>
        </w:rPr>
      </w:pPr>
    </w:p>
    <w:p>
      <w:pPr>
        <w:ind w:left="660" w:right="639" w:firstLine="256"/>
        <w:spacing w:after="0" w:line="244" w:lineRule="auto"/>
        <w:rPr>
          <w:sz w:val="20"/>
          <w:szCs w:val="20"/>
          <w:color w:val="auto"/>
        </w:rPr>
      </w:pPr>
      <w:r>
        <w:rPr>
          <w:rFonts w:ascii="Arial" w:cs="Arial" w:eastAsia="Arial" w:hAnsi="Arial"/>
          <w:sz w:val="14"/>
          <w:szCs w:val="14"/>
          <w:color w:val="auto"/>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our products, or the U.S. economy or certain sectors thereof and, thus, could adversely impact our business, financial condition and results of operations. As a result of Russia's invasion of Ukraine, the U.S. imposed, and is likely to continue to impose material additional, financial and economic sanctions and export controls against certain Russian organizations and/or individuals, with similar actions either implemented or planned by the European Union ("EU") and the United Kingdom (“UK”) and other jurisdictions. The U.S., the UK, and the EU have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 environment, including Russia's invasion of Ukraine and the escalating tensions between Russia and the U.S., NATO, the EU and the UK, have a negative impact on us or on the markets in which we operate, our business, results of operations and financial condition could be materially and adversely impacted.</w:t>
      </w:r>
    </w:p>
    <w:p>
      <w:pPr>
        <w:spacing w:after="0" w:line="200" w:lineRule="exact"/>
        <w:rPr>
          <w:sz w:val="20"/>
          <w:szCs w:val="20"/>
          <w:color w:val="auto"/>
        </w:rPr>
      </w:pPr>
    </w:p>
    <w:p>
      <w:pPr>
        <w:spacing w:after="0" w:line="39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lending business is subject to credit risk, which could lead to unexpected losses.</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 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35"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b w:val="1"/>
          <w:bCs w:val="1"/>
          <w:i w:val="1"/>
          <w:iCs w:val="1"/>
          <w:color w:val="auto"/>
        </w:rPr>
        <w:t>The potential for the replacement or discontinuation of London Inter-bank Offered Rate, or LIBOR, as a benchmark interest rate and a transition to an alternative reference interest rate could present operational problems and result in market disruption.</w:t>
      </w:r>
    </w:p>
    <w:p>
      <w:pPr>
        <w:spacing w:after="0" w:line="144" w:lineRule="exact"/>
        <w:rPr>
          <w:sz w:val="20"/>
          <w:szCs w:val="20"/>
          <w:color w:val="auto"/>
        </w:rPr>
      </w:pPr>
    </w:p>
    <w:p>
      <w:pPr>
        <w:jc w:val="both"/>
        <w:ind w:left="660" w:right="659" w:firstLine="256"/>
        <w:spacing w:after="0" w:line="266" w:lineRule="auto"/>
        <w:rPr>
          <w:sz w:val="20"/>
          <w:szCs w:val="20"/>
          <w:color w:val="auto"/>
        </w:rPr>
      </w:pPr>
      <w:r>
        <w:rPr>
          <w:rFonts w:ascii="Arial" w:cs="Arial" w:eastAsia="Arial" w:hAnsi="Arial"/>
          <w:sz w:val="13"/>
          <w:szCs w:val="13"/>
          <w:color w:val="auto"/>
        </w:rPr>
        <w:t>In 2017, the Financial Conduct Authority announced that after 2021 it will no longer compel banks to submit the rates required to calculate LIBOR. In November 2020, the administrator of LIBOR announced it will consult on its intention to extend the retirement date of certain offered rates whereby the publication of the one week and two month LIBOR offered rates will cease after December 31, 2021; but, the publication of the remaining LIBOR offered rates will continue until June 30, 2023. Given consumer protection, litigation, and reputation risks, the bank regulatory agencies have indicated that entering into new contracts that use LIBOR as a reference rate after December 31, 2021 would create safety and soundness risks and that they will examine bank practices accordingly. Therefore, the agencies encouraged banks to cease entering into new contracts that use LIBOR as a reference rate as soon as practicable and in any event by December 31, 2021.</w:t>
      </w:r>
    </w:p>
    <w:p>
      <w:pPr>
        <w:spacing w:after="0" w:line="14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Regulators, industry groups and certain communities (e.g., the Alternative Reference Rates Committee) have, among other things, published recommended fallback language LIBOR-linked financial instruments, identified recommended alternatives for certain LIBOR rates (e.g., the Secured Overnight Financing Rate (“SOFR”) as the recommended alternative to U.S. Dollar LIBOR), and proposed implementations of the recommended alternatives in floating rate instruments. At this time, while it appears that these recommendations and proposals have been broadly accepted, it is not possible to predict whether they will continue to evolve, and what the effect of their implementation may be on the markets for floating rate financial instruments. The uncertainty surrounding potential reforms, including the use of alternative reference rates and changes to the methods and processes used to calculate rates, may have an adverse effect on the trading market for LIBOR-based securities, loan yields, and the amount received and paid on derivative contracts and other financial instruments. In addition, the implementation of LIBOR reform proposals may result in increased compliance and operational costs.</w:t>
      </w:r>
    </w:p>
    <w:p>
      <w:pPr>
        <w:spacing w:after="0" w:line="16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interest rate risk and associated costs, including, but not limited to, creating the possibility of disagreements with counterparties.</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Natural disasters and severe weather events in Florida could have a material adverse impact on our business, financial condition and operations.</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w:t>
      </w: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the value of property serving as collateral for our loans, force the relocation of residents, and significantly disrupt economic activity in the region.</w:t>
      </w:r>
    </w:p>
    <w:p>
      <w:pPr>
        <w:spacing w:after="0" w:line="153"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131"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b w:val="1"/>
          <w:bCs w:val="1"/>
          <w:i w:val="1"/>
          <w:iCs w:val="1"/>
          <w:color w:val="auto"/>
        </w:rPr>
        <w:t>Our business is subject to interest rate risk, and variations in interest rates may materially and adversely affect our financial performance.</w:t>
      </w:r>
    </w:p>
    <w:p>
      <w:pPr>
        <w:spacing w:after="0" w:line="12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Changes in the interest rate environment may reduce our profits. It is expected that we will continue to realize income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14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It is currently expected that during 2023, the Federal Open Market Committee of the Federal Reserve (the “FOMC”) will increase interest rates to reduce the rate of inflation to the extent necessary to reduce inflation to the rate that the FOMC believes is appropriate. Since March 2022, the FOMC has increased the federal funds rate by 450 basis points. All of these increases were expressly made in response to inflationary pressures, which are currently expected to continue. However, there can be no assurances as to any future FOMC action.</w:t>
      </w:r>
    </w:p>
    <w:p>
      <w:pPr>
        <w:spacing w:after="0" w:line="14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While an increase in interest rates may increase our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Finally, we cannot provide any assurances that we can maintain our current levels of noninterest-bearing deposits as customers may seek higher-yielding products when interest rates increase.</w:t>
      </w:r>
    </w:p>
    <w:p>
      <w:pPr>
        <w:spacing w:after="0" w:line="15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Accordingly, changes in levels of interest rates could materially and adversely affect our net interest margin, asset quality, loan origination volume, average loan portfolio balance, liquidity, and overall profitability.</w:t>
      </w:r>
    </w:p>
    <w:p>
      <w:pPr>
        <w:spacing w:after="0" w:line="137"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b w:val="1"/>
          <w:bCs w:val="1"/>
          <w:i w:val="1"/>
          <w:iCs w:val="1"/>
          <w:color w:val="auto"/>
        </w:rPr>
        <w:t xml:space="preserve">A failure or the perceived risk of a failure to raise the statutory debt limit of the U.S. could have a material adverse effect on our business, financial condition and results of operations </w:t>
      </w:r>
      <w:r>
        <w:rPr>
          <w:rFonts w:ascii="Arial" w:cs="Arial" w:eastAsia="Arial" w:hAnsi="Arial"/>
          <w:sz w:val="14"/>
          <w:szCs w:val="14"/>
          <w:b w:val="1"/>
          <w:bCs w:val="1"/>
          <w:color w:val="auto"/>
        </w:rPr>
        <w:t>.</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U.S. debt ceiling and budget deficit concerns have increased the possibility of additional credit-rating downgrades and economic slowdowns, or a recession in the United States. Although U.S. lawmakers passed legislation to raise the federal debt ceiling on multiple occasions, including the most recent increase in December 2021,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allowance for credit losses may not be sufficient to absorb potential losses in our loan portfolio.</w:t>
      </w:r>
    </w:p>
    <w:p>
      <w:pPr>
        <w:spacing w:after="0" w:line="17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maintain an allowance for credit losses that represents management's judgment of probable losses and risks inherent in our loan portfolio. The level of the allowance reflects management's continuing evaluation of general economic conditions, present political and regulatory conditions, diversification and seasoning of the loan portfolio, historic loss</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3" w:lineRule="auto"/>
        <w:rPr>
          <w:sz w:val="20"/>
          <w:szCs w:val="20"/>
          <w:color w:val="auto"/>
        </w:rPr>
      </w:pPr>
      <w:r>
        <w:rPr>
          <w:rFonts w:ascii="Arial" w:cs="Arial" w:eastAsia="Arial" w:hAnsi="Arial"/>
          <w:sz w:val="14"/>
          <w:szCs w:val="14"/>
          <w:color w:val="auto"/>
        </w:rPr>
        <w:t>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42"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would be reflected in the income statement in the period of origination or acquisition of a loan, with changes in expected credit losses due to further credit deterioration or improvement reflected in the periods in which the expectation changes. Accordingly, implementation of the CECL model could require financial institutions, like us, to increase our allowances for credit losses from levels in place prior to the implementation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commercial loan portfolio may expose us to increased credit risk.</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 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6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33"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The imposition of limits by the bank regulators on commercial real estate lending activities could curtail our growth and adversely affect our earnings.</w:t>
      </w:r>
    </w:p>
    <w:p>
      <w:pPr>
        <w:spacing w:after="0" w:line="115"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FDIC, the Federal Reserve Board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 months. At December 31, 2022, our total commercial investor real estate loans, including loans</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secured by apartment buildings, commercial real estate, and construction and land loans represented 390% of the Bank’s total risk-based capital and the growth in the commercial real estate portfolio exceeded 50% over the preceding 36 months.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an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U.S. Century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141"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5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5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generally sell the guaranteed portion of our SBA 7(a) loans in the secondary market. These sales have resulted in both premium income for us at the time of sale and created a stream of future servicing income. There can be no assurance 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non-guaranteed portion of the loans, and if a customer defaults on the non-guaranteed portion of a loan, we share any loss and recovery related to the loan pro-rata with the SBA.</w:t>
      </w:r>
    </w:p>
    <w:p>
      <w:pPr>
        <w:spacing w:after="0" w:line="14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 xml:space="preserve">The SBA may not honor its guarantees if we do not originate loans in compliance with SBA guidelines </w:t>
      </w:r>
      <w:r>
        <w:rPr>
          <w:rFonts w:ascii="Arial" w:cs="Arial" w:eastAsia="Arial" w:hAnsi="Arial"/>
          <w:sz w:val="14"/>
          <w:szCs w:val="14"/>
          <w:color w:val="auto"/>
        </w:rPr>
        <w:t>.</w:t>
      </w:r>
    </w:p>
    <w:p>
      <w:pPr>
        <w:spacing w:after="0" w:line="18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SBA lending programs typically guarantee 75.0%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Global banking is an important part of our business, which creates increased BSA/AML risk.</w:t>
      </w:r>
    </w:p>
    <w:p>
      <w:pPr>
        <w:spacing w:after="0" w:line="186"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higher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BSA and other AML rules and regulations due to our correspondent banking relationships with foreign financial institutions. Additionally, international private banking places additional pressure on our policies, procedures and systems for complying with the Bank Secrecy Act of 1970, as amended, or BSA, and other anti-money laundering, or AML, statutes and regulations.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which could significantly increase our compliance costs and materially and adversely affect our results of operations.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may not recover all amounts that are contractually owed to us by our borrowers.</w:t>
      </w:r>
    </w:p>
    <w:p>
      <w:pPr>
        <w:spacing w:after="0" w:line="18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153" w:lineRule="exact"/>
        <w:rPr>
          <w:sz w:val="20"/>
          <w:szCs w:val="20"/>
          <w:color w:val="auto"/>
        </w:rPr>
      </w:pPr>
    </w:p>
    <w:p>
      <w:pPr>
        <w:jc w:val="both"/>
        <w:ind w:left="660" w:right="679" w:firstLine="256"/>
        <w:spacing w:after="0" w:line="264" w:lineRule="auto"/>
        <w:rPr>
          <w:sz w:val="20"/>
          <w:szCs w:val="20"/>
          <w:color w:val="auto"/>
        </w:rPr>
      </w:pPr>
      <w:r>
        <w:rPr>
          <w:rFonts w:ascii="Arial" w:cs="Arial" w:eastAsia="Arial" w:hAnsi="Arial"/>
          <w:sz w:val="13"/>
          <w:szCs w:val="13"/>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Many borrowers have been negatively impacted by the COVID-19 pandemic and related economic consequences, and may continue to be similarly or more severely affected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31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Some of our loans are secured by a lien on specified collateral of the borrower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or the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147"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Non-performing assets take significant time to resolve and adversely affect our results of operations and financial condition, and could result in further losses in the future.</w:t>
      </w:r>
    </w:p>
    <w:p>
      <w:pPr>
        <w:spacing w:after="0" w:line="136"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3"/>
          <w:szCs w:val="13"/>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If we experience increases in non-</w:t>
      </w:r>
    </w:p>
    <w:p>
      <w:pPr>
        <w:spacing w:after="0" w:line="24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4"/>
          <w:szCs w:val="14"/>
          <w:color w:val="auto"/>
        </w:rPr>
        <w:t>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2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b w:val="1"/>
          <w:bCs w:val="1"/>
          <w:i w:val="1"/>
          <w:iCs w:val="1"/>
          <w:color w:val="auto"/>
        </w:rPr>
        <w:t>We engage in lending secured by real estate and may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51"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59"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 are ultimately enacted that significantly raise the cost of residential foreclosures or raise outright barriers, they could have an adverse effect on our business, financial condition, and results of operations.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exposed to risk of environmental liability when we take title to property.</w:t>
      </w:r>
    </w:p>
    <w:p>
      <w:pPr>
        <w:spacing w:after="0" w:line="175"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3"/>
          <w:szCs w:val="13"/>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 d.</w:t>
      </w:r>
    </w:p>
    <w:p>
      <w:pPr>
        <w:spacing w:after="0" w:line="118" w:lineRule="exact"/>
        <w:rPr>
          <w:sz w:val="20"/>
          <w:szCs w:val="20"/>
          <w:color w:val="auto"/>
        </w:rPr>
      </w:pPr>
    </w:p>
    <w:p>
      <w:pPr>
        <w:ind w:left="660" w:right="739" w:firstLine="256"/>
        <w:spacing w:after="0" w:line="292" w:lineRule="auto"/>
        <w:rPr>
          <w:sz w:val="20"/>
          <w:szCs w:val="20"/>
          <w:color w:val="auto"/>
        </w:rPr>
      </w:pPr>
      <w:r>
        <w:rPr>
          <w:rFonts w:ascii="Arial" w:cs="Arial" w:eastAsia="Arial" w:hAnsi="Arial"/>
          <w:sz w:val="14"/>
          <w:szCs w:val="14"/>
          <w:b w:val="1"/>
          <w:bCs w:val="1"/>
          <w:i w:val="1"/>
          <w:iCs w:val="1"/>
          <w:color w:val="auto"/>
        </w:rPr>
        <w:t>We are subject to certain operational risks, including, but not limited to, customer, employee or third-party fraud and data processing system failures and errors.</w:t>
      </w:r>
    </w:p>
    <w:p>
      <w:pPr>
        <w:spacing w:after="0" w:line="11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46"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4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45" w:lineRule="auto"/>
        <w:rPr>
          <w:sz w:val="20"/>
          <w:szCs w:val="20"/>
          <w:color w:val="auto"/>
        </w:rPr>
      </w:pPr>
      <w:r>
        <w:rPr>
          <w:rFonts w:ascii="Arial" w:cs="Arial" w:eastAsia="Arial" w:hAnsi="Arial"/>
          <w:sz w:val="14"/>
          <w:szCs w:val="14"/>
          <w:color w:val="auto"/>
        </w:rPr>
        <w:t>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subject to liquidity risk, which could adversely affect our financial condition and results of operations.</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inamounts adequate tofinance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43"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3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Withdrawals of deposits by any one of our largest depositors could force us to rely more heavily on more expensive and less stable funding sources. Consequently, the occurrence of any of these events could have a material adverse effect on our business, financial condition and results of operations.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value of our securities in our investment portfolio may decline in the future.</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fair market value of our investment securities may be adversely affected by general economic and market conditions, including changes in interest rates, credit spreads, and the occurrence of any events adversely affecting the issuer of particular securities in our investments portfolio or any given market segment or industry in which we are invested. Any of these factors, among others, could cause OTTI and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47"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may not effectively execute on our expansion strategy, which may adversely affect our ability to maintain our historical growth and earnings trends.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 infrastructure to accommodate expanded operations. Even if we are successful in continuing our growth, such growth may</w:t>
      </w: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4"/>
          <w:szCs w:val="14"/>
          <w:color w:val="auto"/>
        </w:rPr>
        <w:t>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New lines of business, products, product enhancements or services may subject us to additional risk.</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4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believe that we have sufficient capital to meet our capital needs for our current growth plans. However, we expect that we will need to raise additional capital, in the form of debt or equity securities, in the future to have sufficient capital resources to meet our longer-term growth plans, and/or if the quality of our assets or earnings were to deteriorate significantly. In addition, we are required by federal regulatory authorities to maintain adequate levels of capital to support our operations.</w:t>
      </w:r>
    </w:p>
    <w:p>
      <w:pPr>
        <w:spacing w:after="0" w:line="16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4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3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4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part of our growth strategy, we may pursue mergers and acquisitions of banks and non-bank financial services companies within or outside our principal market areas that fit within the mission-driven values of our franchise and that we 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Mergers and acquisitions involve numerous risks, any of which could harm our business, including:</w:t>
      </w:r>
    </w:p>
    <w:p>
      <w:pPr>
        <w:spacing w:after="0" w:line="170" w:lineRule="exact"/>
        <w:rPr>
          <w:sz w:val="20"/>
          <w:szCs w:val="20"/>
          <w:color w:val="auto"/>
        </w:rPr>
      </w:pPr>
    </w:p>
    <w:p>
      <w:pPr>
        <w:ind w:left="1180" w:right="699" w:hanging="261"/>
        <w:spacing w:after="0" w:line="238"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expected benefits may not materialize in the time frame expected or at all, or may be more costly to achieve, or that the acquired business will not perform to our expectations;</w:t>
      </w:r>
    </w:p>
    <w:p>
      <w:pPr>
        <w:jc w:val="both"/>
        <w:ind w:left="1180" w:right="679" w:hanging="261"/>
        <w:spacing w:after="0" w:line="243"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spacing w:after="0" w:line="1" w:lineRule="exact"/>
        <w:rPr>
          <w:rFonts w:ascii="Arial" w:cs="Arial" w:eastAsia="Arial" w:hAnsi="Arial"/>
          <w:sz w:val="14"/>
          <w:szCs w:val="14"/>
          <w:color w:val="auto"/>
        </w:rPr>
      </w:pPr>
    </w:p>
    <w:p>
      <w:pPr>
        <w:jc w:val="both"/>
        <w:ind w:left="1180" w:right="679" w:hanging="261"/>
        <w:spacing w:after="0" w:line="243"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difficulties in supporting and transitioning customers of the target and disruption of our ongoing banking business;</w:t>
      </w:r>
    </w:p>
    <w:p>
      <w:pPr>
        <w:ind w:left="1180" w:right="699" w:hanging="261"/>
        <w:spacing w:after="0" w:line="246"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price we pay or other resources that we devote may exceed the value we realize, or the value we could have realized if we had allocated the purchase consideration or other resources to another opportunity;</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entering new markets or areas in which we have limited or no experience;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our culture is disrupted as a result of an acquisition;</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potential loss of key personnel and customers from either our business or the target’s business;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assumption of unanticipated problems, claims or other liabilities of the acquired business;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 inability to realize expected synergies or returns on investment;</w:t>
      </w:r>
    </w:p>
    <w:p>
      <w:pPr>
        <w:spacing w:after="0" w:line="9" w:lineRule="exact"/>
        <w:rPr>
          <w:rFonts w:ascii="Arial" w:cs="Arial" w:eastAsia="Arial" w:hAnsi="Arial"/>
          <w:sz w:val="14"/>
          <w:szCs w:val="14"/>
          <w:color w:val="auto"/>
        </w:rPr>
      </w:pPr>
    </w:p>
    <w:p>
      <w:pPr>
        <w:jc w:val="both"/>
        <w:ind w:left="1180" w:right="679" w:hanging="261"/>
        <w:spacing w:after="0" w:line="241"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spacing w:after="0" w:line="2"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the acquisition may not be timely completed, if at all;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need to raise capital; and</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to generate sufficient revenue to offset acquisition costs.</w:t>
      </w:r>
    </w:p>
    <w:p>
      <w:pPr>
        <w:spacing w:after="0" w:line="17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acquisition activities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5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a result, we may not achieve the anticipated benefits of any such merger or acquisition, and we may incur costs in excess of what we anticipate. Our failure to successfully evaluate and execute mergers, acquisitions or investments or otherwise adequately address and manage the risks associated with such transactions could have a material adverse effect on our business, results of operations and financial condition, including short-term and long-term liquidity.</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13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President and Chief Executive Officer, Robert Anderson, our Chief Financial Officer, and Benigno Pazos, our Chief Credit Officer, is important to our continuing success. Although we have entered into employment and other agreements with certain members of our executive and senior management team, including Mr. de la Aguilera and Mr. Anderson,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15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Damage to our reputation could significantly harm our businesses.</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w:t>
      </w:r>
    </w:p>
    <w:p>
      <w:pPr>
        <w:spacing w:after="0" w:line="3" w:lineRule="exact"/>
        <w:rPr>
          <w:sz w:val="20"/>
          <w:szCs w:val="20"/>
          <w:color w:val="auto"/>
        </w:rPr>
      </w:pPr>
    </w:p>
    <w:p>
      <w:pPr>
        <w:jc w:val="both"/>
        <w:ind w:left="660" w:right="619"/>
        <w:spacing w:after="0" w:line="244" w:lineRule="auto"/>
        <w:rPr>
          <w:sz w:val="20"/>
          <w:szCs w:val="20"/>
          <w:color w:val="auto"/>
        </w:rPr>
      </w:pPr>
      <w:r>
        <w:rPr>
          <w:rFonts w:ascii="Arial" w:cs="Arial" w:eastAsia="Arial" w:hAnsi="Arial"/>
          <w:sz w:val="14"/>
          <w:szCs w:val="14"/>
          <w:color w:val="auto"/>
        </w:rPr>
        <w:t>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43"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 which could materially and adversely affect our business.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must respond to rapid technological changes to remain competitive.</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will have to respond to future technological changes, which are occurring at a rapid pace in the financial services industry.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6"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5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and targeted attacks intended to obtain unauthorized access to confidential information, destroy data, disrupt or degrade service, sabotage systems or cause other damage, including through the introduction of computer viruses or malware, cyber-attacks and other</w:t>
      </w: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means. We have been targeted by individuals and groups using phishing campaigns, pretext calling, malicious code and viruses and expect to be subject to such attacks in the future. While we have not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14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third-party service providers or other users of our systems to disclose sensitive information in order to gain access to our data or that of our customers or clients. Similar to other companies, our risks and exposures related to cybersecurity attacks have increased as a result of the COVID-19 pandemic, the related increased reliance on remote working and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w:t>
      </w:r>
    </w:p>
    <w:p>
      <w:pPr>
        <w:spacing w:after="0" w:line="162"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44" w:lineRule="exact"/>
        <w:rPr>
          <w:sz w:val="20"/>
          <w:szCs w:val="20"/>
          <w:color w:val="auto"/>
        </w:rPr>
      </w:pPr>
    </w:p>
    <w:p>
      <w:pPr>
        <w:jc w:val="both"/>
        <w:ind w:left="660" w:right="719" w:firstLine="256"/>
        <w:spacing w:after="0" w:line="265" w:lineRule="auto"/>
        <w:rPr>
          <w:sz w:val="20"/>
          <w:szCs w:val="20"/>
          <w:color w:val="auto"/>
        </w:rPr>
      </w:pPr>
      <w:r>
        <w:rPr>
          <w:rFonts w:ascii="Arial" w:cs="Arial" w:eastAsia="Arial" w:hAnsi="Arial"/>
          <w:sz w:val="14"/>
          <w:szCs w:val="14"/>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3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until the COVID-19 pandemic subsides and may remain elevated thereafter,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16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operations could be interrupted or materially impacted if any of our third-party service providers fail to comply with banking regulations and other applicable laws. The Federal Reserve, FDIC, the Florida Office of Financial Regulation, or the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34"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43"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2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6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Tax, Accounting and Regulatory Compliance</w:t>
      </w:r>
    </w:p>
    <w:p>
      <w:pPr>
        <w:spacing w:after="0" w:line="172" w:lineRule="exact"/>
        <w:rPr>
          <w:sz w:val="20"/>
          <w:szCs w:val="20"/>
          <w:color w:val="auto"/>
        </w:rPr>
      </w:pPr>
    </w:p>
    <w:p>
      <w:pPr>
        <w:ind w:left="660" w:right="619" w:firstLine="256"/>
        <w:spacing w:after="0" w:line="276" w:lineRule="auto"/>
        <w:rPr>
          <w:sz w:val="20"/>
          <w:szCs w:val="20"/>
          <w:color w:val="auto"/>
        </w:rPr>
      </w:pPr>
      <w:r>
        <w:rPr>
          <w:rFonts w:ascii="Arial" w:cs="Arial" w:eastAsia="Arial" w:hAnsi="Arial"/>
          <w:sz w:val="14"/>
          <w:szCs w:val="14"/>
          <w:b w:val="1"/>
          <w:bCs w:val="1"/>
          <w:i w:val="1"/>
          <w:iCs w:val="1"/>
          <w:color w:val="auto"/>
        </w:rPr>
        <w:t>Our ability to recognize the benefits of deferred tax assets is dependent on future cash flows and taxable income and may be materially impaired upon significant changes in ownership of our common stock.</w:t>
      </w:r>
    </w:p>
    <w:p>
      <w:pPr>
        <w:spacing w:after="0" w:line="13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recognize the expected future tax benefit from deferred tax assets when it is more likely than not that the tax benefit will be realized. Otherwise, a valuation allowance is applied against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45"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Future changes in tax law or changes in ownership structure could limit our ability to utilize our recorded net deferred tax assets.</w:t>
      </w:r>
    </w:p>
    <w:p>
      <w:pPr>
        <w:spacing w:after="0" w:line="130"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2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 in the section captioned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43"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b w:val="1"/>
          <w:bCs w:val="1"/>
          <w:i w:val="1"/>
          <w:iCs w:val="1"/>
          <w:color w:val="auto"/>
        </w:rPr>
        <w:t>As a new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Sarbanes-Oxley Act and other rules that govern public companies that we previously were not required to comply with as a private company. In particular, we are required to certify our compliance with Section 404 of the Sarbanes-Oxley Act beginning with this Annual Report on Form 10-K,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Sarbanes-Oxley Act. We are in the process of reviewing our formal policies, processes and practices related to financial reporting and to the identification of key financial reporting risks, assessment of their potential impact and linkage of those risks to specific areas and controls within our organization.</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fail to adequately comply with the requirements of Section 404 of the Sarbanes -Oxley Act,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While we remain an emerging growth company or a non-accelerated smaller reporting company, we will not be required to include an attestation report on internal control over financial reporting issued by our independent registered public accounting firm. To prepare for eventual compliance with the auditor attestation requirement of Section 404 of Sarbanes-Oxley once we no longer qualify as an emerging growth company, we are currently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143"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34"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5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Wall Street Reform and Consumer Protection Act, or the Dodd-Frank Act, and the Economic Growth, Regulatory Relief and Consumer Protection Act, or the Regulatory Relief Act, have significantly revised the laws and regulations under which we operate. Such regulations and laws may be modified or repealed at any time, and new legislation may be enacted that will affect us and our subsidiaries.</w:t>
      </w:r>
    </w:p>
    <w:p>
      <w:pPr>
        <w:spacing w:after="0" w:line="14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Regulatory Relief Act, could make compliance more difficult or expensive or otherwise adversely affect our business, prospects, cash flow, liquidity, financial condition and results of operations.</w:t>
      </w:r>
    </w:p>
    <w:p>
      <w:pPr>
        <w:spacing w:after="0" w:line="142"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b w:val="1"/>
          <w:bCs w:val="1"/>
          <w:i w:val="1"/>
          <w:iCs w:val="1"/>
          <w:color w:val="auto"/>
        </w:rPr>
        <w:t>Our participation in the SBA PPP loan program exposes us to risks related to noncompliance with the PPP, as well as litigation risk related to our administration of the PPP loan program, which could have a material adverse impact on our business, financial condition, and results of operations.</w:t>
      </w:r>
    </w:p>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are a participating lender in the PPP, a loan program administered through the SBA, that was created to help eligible businesses, organizations and self-employed persons fund their operational costs during the COVID-19 pandemic. Under this program, the SBA guarantees 100% of the amounts loaned under the PPP.</w:t>
      </w:r>
    </w:p>
    <w:p>
      <w:pPr>
        <w:spacing w:after="0" w:line="142"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PPP opened on April 3, 2020; however, because of the short window between the passing of the CARES Act and the opening of the PPP, there was some ambiguity in the laws, rules and guidance regarding the operation of the PPP. Subsequent rounds of legislation and associated agency guidance have not provided needed clarity and in certain instances have potentially created additional inconsistencies and ambiguities. Accordingly, we are exposed to risks relating to noncompliance with the PPP.</w:t>
      </w:r>
    </w:p>
    <w:p>
      <w:pPr>
        <w:spacing w:after="0" w:line="200" w:lineRule="exact"/>
        <w:rPr>
          <w:sz w:val="20"/>
          <w:szCs w:val="20"/>
          <w:color w:val="auto"/>
        </w:rPr>
      </w:pPr>
    </w:p>
    <w:p>
      <w:pPr>
        <w:spacing w:after="0" w:line="2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Additionally, since the launch of the PPP, several larger banks have been subject to litigation regarding the process and procedures that such banks used in processing applications for the PPP, as well as litigation regarding the alleged nonpayment of fees that may be due to certain agents who facilitated PPP loan applications. We may be exposed to the risk of PPP-related litigation, from both customers and non-customers that approached us regarding PPP loans, regarding our process and procedures used in processing applications for the PPP. If any such litigation is filed against us and is not resolved in a manner favorable to us, it may result in significant financial liability or adversely affect our reputation. Regardless of outcome, litigation can be costly and distracting. Any financial liability, litigation costs or reputational damage caused by PPP-related litigation could have a material adverse impact on our business, financial condition and results of operations.</w:t>
      </w:r>
    </w:p>
    <w:p>
      <w:pPr>
        <w:spacing w:after="0" w:line="147" w:lineRule="exact"/>
        <w:rPr>
          <w:sz w:val="20"/>
          <w:szCs w:val="20"/>
          <w:color w:val="auto"/>
        </w:rPr>
      </w:pPr>
    </w:p>
    <w:p>
      <w:pPr>
        <w:jc w:val="both"/>
        <w:ind w:left="660" w:right="679" w:firstLine="259"/>
        <w:spacing w:after="0" w:line="249" w:lineRule="auto"/>
        <w:tabs>
          <w:tab w:leader="none" w:pos="12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 While the PPP loans are guaranteed by the SBA, various regulatory requirements will apply to our ability to seek recourse under the guarantees, and related procedures are currently subject to uncertainty.</w:t>
      </w:r>
    </w:p>
    <w:p>
      <w:pPr>
        <w:spacing w:after="0" w:line="146"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In addition, we may be exposed to credit risk on PPP loans if a determination is made by the SBA that there is a deficiency in the manner in which the loan was originated, funded, or serviced, such as an issue with the eligibility of borrower to receive a PPP loan, which may or may not be related to the ambiguity in the laws, rules and guidance regarding the operations of the PPP. If a deficiency is identified, the SBA may deny its liability under the guaranty, reduce the amount of the guaranty, or, if it has already paid under the guaranty, seek recovery of any loss related to the deficiency from us.</w:t>
      </w:r>
    </w:p>
    <w:p>
      <w:pPr>
        <w:spacing w:after="0" w:line="13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face a risk of noncompliance with the Bank Secrecy Act and other anti-money laundering statutes and regulations and corresponding enforcement proceedings.</w:t>
      </w:r>
    </w:p>
    <w:p>
      <w:pPr>
        <w:spacing w:after="0" w:line="13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federal Bank Secrecy Act, the Uniting and Strengthening America by Providing Appropriate Tools Required to Intercept and Obstruct Terrorism Act of 2001, or the USA PATRIOT Act, and other laws and regulations require financial institutions, among other duties, to institute and maintain effective anti-money laundering programs and to file suspicious activity and currency transaction reports, as appropriate. The federal Financial Crimes Enforcement Network, or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or HIFCA, by FinCEN and a “High Intensity Drug Trafficking Area,” or HIDTA, by the Office of National Drug Control Policy. The HIFCA program is intended to concentrate law enforcement efforts to combat money laundering efforts in higher-risk areas. There is also increased scrutiny of compliance with the rules enforced by the Office of Foreign Assets Control, or OFAC. Federal and state bank regulators have for many years focused on compliance with Bank Secrecy Act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146"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115"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In July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new rules now apply to us.</w:t>
      </w:r>
    </w:p>
    <w:p>
      <w:pPr>
        <w:spacing w:after="0" w:line="156"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w:t>
      </w: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6" w:lineRule="auto"/>
        <w:rPr>
          <w:sz w:val="20"/>
          <w:szCs w:val="20"/>
          <w:color w:val="auto"/>
        </w:rPr>
      </w:pPr>
      <w:r>
        <w:rPr>
          <w:rFonts w:ascii="Arial" w:cs="Arial" w:eastAsia="Arial" w:hAnsi="Arial"/>
          <w:sz w:val="14"/>
          <w:szCs w:val="14"/>
          <w:color w:val="auto"/>
        </w:rPr>
        <w:t>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leverage ratio of 4% or more. Institutions must also maintain a capital conservation buffer consisting of common equity Tier 1 capital. In addition to the higher required capital ratios and the new deductions and adjustments, the final rules increased the risk weights for certain assets, meaning that we will have to hold more capital against these assets. We will also be required to hold capital against short-term commitments that are not unconditionally cancellable.</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While we currently meet these new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6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 addition, in the current economic and regulatory environment, including the COVID-19 pandemic,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3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44"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As part of the bank regulatory process, the Federal Reserve, the FDIC and the FOFR periodically conduct examinations of our business, including compliance with applicable laws and regulations. If, as a result of an examination, one of these 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141"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50" w:lineRule="exact"/>
        <w:rPr>
          <w:sz w:val="20"/>
          <w:szCs w:val="20"/>
          <w:color w:val="auto"/>
        </w:rPr>
      </w:pPr>
    </w:p>
    <w:p>
      <w:pPr>
        <w:ind w:left="660" w:right="639" w:firstLine="256"/>
        <w:spacing w:after="0" w:line="244" w:lineRule="auto"/>
        <w:rPr>
          <w:sz w:val="20"/>
          <w:szCs w:val="20"/>
          <w:color w:val="auto"/>
        </w:rPr>
      </w:pPr>
      <w:r>
        <w:rPr>
          <w:rFonts w:ascii="Arial" w:cs="Arial" w:eastAsia="Arial" w:hAnsi="Arial"/>
          <w:sz w:val="14"/>
          <w:szCs w:val="14"/>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Climate change and related legislative and regulatory initiatives may materially affect the Company’s business and results of operations.</w:t>
      </w:r>
    </w:p>
    <w:p>
      <w:pPr>
        <w:spacing w:after="0" w:line="13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effects of climate change continue to create an alarming level of concern for the state of the global environment. As a result, the global business community has increased its political and social awareness surrounding the issue, and the United States has entered into international agreements in an attempt to reduce global temperatures, such as reentering the Paris Agreement. Further, the U.S. Congress, state legislatures and federal and state regulatory agencies continue to propose numerous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37"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Risks Related to Our Class A Common Stock</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ability to pay dividends is subject to restrictions.</w:t>
      </w:r>
    </w:p>
    <w:p>
      <w:pPr>
        <w:spacing w:after="0" w:line="18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w:t>
      </w:r>
    </w:p>
    <w:p>
      <w:pPr>
        <w:spacing w:after="0" w:line="131"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The market price and trading volume of our Class A common stock may be volatile, which could result in rapid and substantial losses for our shareholders.</w:t>
      </w:r>
    </w:p>
    <w:p>
      <w:pPr>
        <w:spacing w:after="0" w:line="12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w:t>
      </w:r>
    </w:p>
    <w:p>
      <w:pPr>
        <w:spacing w:after="0" w:line="159" w:lineRule="exact"/>
        <w:rPr>
          <w:sz w:val="20"/>
          <w:szCs w:val="20"/>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general market conditions;</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domestic and international economic factors unrelated to our performance;</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variations in our quarterly operating results or failure to meet the market’s earnings expectations;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publication of research reports about us or the financial services industry in general;</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failure of securities analysts to cover our Class A common stock after this offering;</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additions or departures of our key personnel;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future sales of our Class A common stock;</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adverse market reactions to any indebtedness we may incur or securities we may issue in the future;</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actions by our shareholders;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expiration of contractual lock-up agreements;</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operating and securities price performance of companies that investors consider to be comparable to us;</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affecting our business; and</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or potential litigation and governmental investigations.</w:t>
      </w:r>
    </w:p>
    <w:p>
      <w:pPr>
        <w:spacing w:after="0" w:line="159" w:lineRule="exact"/>
        <w:rPr>
          <w:sz w:val="20"/>
          <w:szCs w:val="20"/>
          <w:color w:val="auto"/>
        </w:rPr>
      </w:pPr>
    </w:p>
    <w:p>
      <w:pPr>
        <w:ind w:left="660" w:right="639" w:firstLine="256"/>
        <w:spacing w:after="0" w:line="268" w:lineRule="auto"/>
        <w:rPr>
          <w:sz w:val="20"/>
          <w:szCs w:val="20"/>
          <w:color w:val="auto"/>
        </w:rPr>
      </w:pPr>
      <w:r>
        <w:rPr>
          <w:rFonts w:ascii="Arial" w:cs="Arial" w:eastAsia="Arial" w:hAnsi="Arial"/>
          <w:sz w:val="14"/>
          <w:szCs w:val="14"/>
          <w:color w:val="auto"/>
        </w:rPr>
        <w:t>In addition, if the market for stocks in our industry, or the stock market in general, experiences a loss of investor confidence, the trading price of the Class A common stock could decline for reasons unrelated to our business, financial</w:t>
      </w:r>
    </w:p>
    <w:p>
      <w:pPr>
        <w:spacing w:after="0" w:line="39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condition or results of operations. If any of the foregoing occurs, it could cause our Class A common stock price to fall and may expose us to lawsuits that, even if unsuccessful, could be costly to defend and a distraction to management.</w:t>
      </w:r>
    </w:p>
    <w:p>
      <w:pPr>
        <w:spacing w:after="0" w:line="13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Because the continued availability of our "deferred tax assets" depends, in part, on the value of our stock owned by shareholders owning 5% or more of our stock, our Articles of Incorporation, except as otherwise may be approved by the Board or except for transfers by our Significant Investors, prohibits any direct or indirect transfer of stock or options to acquire stock to any person who, as a result of the transfer, would own 4.95% or more of our stock, as long as the Company continues to have "deferred tax assets." Such restrictions may limit the ability to transfer our stock.</w:t>
      </w:r>
    </w:p>
    <w:p>
      <w:pPr>
        <w:spacing w:after="0" w:line="144" w:lineRule="exact"/>
        <w:rPr>
          <w:sz w:val="20"/>
          <w:szCs w:val="20"/>
          <w:color w:val="auto"/>
        </w:rPr>
      </w:pPr>
    </w:p>
    <w:p>
      <w:pPr>
        <w:ind w:left="660" w:right="639" w:firstLine="256"/>
        <w:spacing w:after="0" w:line="265" w:lineRule="auto"/>
        <w:rPr>
          <w:sz w:val="20"/>
          <w:szCs w:val="20"/>
          <w:color w:val="auto"/>
        </w:rPr>
      </w:pPr>
      <w:r>
        <w:rPr>
          <w:rFonts w:ascii="Arial" w:cs="Arial" w:eastAsia="Arial" w:hAnsi="Arial"/>
          <w:sz w:val="14"/>
          <w:szCs w:val="14"/>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3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52" w:lineRule="exact"/>
        <w:rPr>
          <w:sz w:val="20"/>
          <w:szCs w:val="20"/>
          <w:color w:val="auto"/>
        </w:rPr>
      </w:pPr>
    </w:p>
    <w:p>
      <w:pPr>
        <w:ind w:left="1180" w:right="719" w:hanging="261"/>
        <w:spacing w:after="0" w:line="238"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present only two years of audited financial statements and only two years of related management’s discussion and analysis of financial condition and results of operations</w:t>
      </w:r>
    </w:p>
    <w:p>
      <w:pPr>
        <w:ind w:left="1180" w:right="679" w:hanging="261"/>
        <w:spacing w:after="0" w:line="246"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are exempt from the requirements to obtain an attestation and report from our auditors on management’s assessment of our internal control over financial reporting under the Sarbanes-Oxley Act;</w:t>
      </w:r>
    </w:p>
    <w:p>
      <w:pPr>
        <w:ind w:left="1180" w:hanging="261"/>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are permitted to have less extensive disclosure about our executive compensation arrangements; and</w:t>
      </w:r>
    </w:p>
    <w:p>
      <w:pPr>
        <w:ind w:left="1180" w:right="719" w:hanging="261"/>
        <w:spacing w:after="0" w:line="268"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are not required to give our shareholders non-binding advisory votes on executive compensation or golden parachute arrangements.</w:t>
      </w:r>
    </w:p>
    <w:p>
      <w:pPr>
        <w:spacing w:after="0" w:line="131"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of (i) the last day of the first fiscal year in which our annual gross revenues exceed $1.07 billion,</w:t>
      </w:r>
    </w:p>
    <w:p>
      <w:pPr>
        <w:spacing w:after="0" w:line="2" w:lineRule="exact"/>
        <w:rPr>
          <w:sz w:val="20"/>
          <w:szCs w:val="20"/>
          <w:color w:val="auto"/>
        </w:rPr>
      </w:pPr>
    </w:p>
    <w:p>
      <w:pPr>
        <w:jc w:val="both"/>
        <w:ind w:left="660" w:right="679" w:firstLine="3"/>
        <w:spacing w:after="0" w:line="248" w:lineRule="auto"/>
        <w:tabs>
          <w:tab w:leader="none" w:pos="8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date that the market value of our Class A common stock that is held by non-affiliates exceeds $700 million as of the last business day of June 30 of that year, (iii) the date on which we have, during the previous three-year period, issued more than $1 billion in non-convertible debt, or (iv) the end of fiscal year following the fifth anniversary of the completion of our IPO.</w:t>
      </w:r>
    </w:p>
    <w:p>
      <w:pPr>
        <w:spacing w:after="0" w:line="15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It is possible that some investors could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44" w:lineRule="exact"/>
        <w:rPr>
          <w:sz w:val="20"/>
          <w:szCs w:val="20"/>
          <w:color w:val="auto"/>
        </w:rPr>
      </w:pPr>
    </w:p>
    <w:p>
      <w:pPr>
        <w:jc w:val="both"/>
        <w:ind w:left="660" w:right="679" w:firstLine="256"/>
        <w:spacing w:after="0" w:line="266" w:lineRule="auto"/>
        <w:rPr>
          <w:sz w:val="20"/>
          <w:szCs w:val="20"/>
          <w:color w:val="auto"/>
        </w:rPr>
      </w:pPr>
      <w:r>
        <w:rPr>
          <w:rFonts w:ascii="Arial" w:cs="Arial" w:eastAsia="Arial" w:hAnsi="Arial"/>
          <w:sz w:val="13"/>
          <w:szCs w:val="13"/>
          <w:color w:val="auto"/>
        </w:rPr>
        <w:t>We have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plan to rely on this exemption. If some investors find our Class A common stock less attractive as a result, there may be a less active trading market for our Class A common stock and our stock price may be more volatile.</w:t>
      </w:r>
    </w:p>
    <w:p>
      <w:pPr>
        <w:spacing w:after="0" w:line="120"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We have existing investors that own a significant amount of our common stock whose individual interests may differ from yours.</w:t>
      </w:r>
    </w:p>
    <w:p>
      <w:pPr>
        <w:spacing w:after="0" w:line="115"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28, 2023 Patriot and Priam own</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both"/>
        <w:ind w:left="660" w:right="679"/>
        <w:spacing w:after="0"/>
        <w:rPr>
          <w:sz w:val="20"/>
          <w:szCs w:val="20"/>
          <w:color w:val="auto"/>
        </w:rPr>
      </w:pPr>
      <w:r>
        <w:rPr>
          <w:rFonts w:ascii="Arial" w:cs="Arial" w:eastAsia="Arial" w:hAnsi="Arial"/>
          <w:sz w:val="14"/>
          <w:szCs w:val="14"/>
          <w:color w:val="auto"/>
        </w:rPr>
        <w:t>approximately 22.71</w:t>
      </w:r>
      <w:r>
        <w:rPr>
          <w:rFonts w:ascii="Arial" w:cs="Arial" w:eastAsia="Arial" w:hAnsi="Arial"/>
          <w:sz w:val="14"/>
          <w:szCs w:val="14"/>
          <w:b w:val="1"/>
          <w:bCs w:val="1"/>
          <w:color w:val="auto"/>
        </w:rPr>
        <w:t>%</w:t>
      </w:r>
      <w:r>
        <w:rPr>
          <w:rFonts w:ascii="Arial" w:cs="Arial" w:eastAsia="Arial" w:hAnsi="Arial"/>
          <w:sz w:val="14"/>
          <w:szCs w:val="14"/>
          <w:color w:val="auto"/>
        </w:rPr>
        <w:t xml:space="preserve"> and 22.71</w:t>
      </w:r>
      <w:r>
        <w:rPr>
          <w:rFonts w:ascii="Arial" w:cs="Arial" w:eastAsia="Arial" w:hAnsi="Arial"/>
          <w:sz w:val="14"/>
          <w:szCs w:val="14"/>
          <w:b w:val="1"/>
          <w:bCs w:val="1"/>
          <w:color w:val="auto"/>
        </w:rPr>
        <w:t>%</w:t>
      </w:r>
      <w:r>
        <w:rPr>
          <w:rFonts w:ascii="Arial" w:cs="Arial" w:eastAsia="Arial" w:hAnsi="Arial"/>
          <w:sz w:val="18"/>
          <w:szCs w:val="18"/>
          <w:color w:val="auto"/>
          <w:vertAlign w:val="superscript"/>
        </w:rPr>
        <w:t>1</w:t>
      </w:r>
      <w:r>
        <w:rPr>
          <w:rFonts w:ascii="Arial" w:cs="Arial" w:eastAsia="Arial" w:hAnsi="Arial"/>
          <w:sz w:val="14"/>
          <w:szCs w:val="14"/>
          <w:color w:val="auto"/>
        </w:rPr>
        <w:t>, respectively, of our outstanding Class A common stock. In addition, Patriot and Priam are each entitled to nominate a director to our Board and have certain subscription rights to purchase new equity securities that we issued in the future, in each case as long as certain equity ownership criteria are met. Patriot and Priam also have certain registration rights,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 amendments to our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47"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Provisions in our governing documents and Florida law may have an anti-takeover effect and there are substantial regulatory limitations on changes of control of the Company.</w:t>
      </w:r>
    </w:p>
    <w:p>
      <w:pPr>
        <w:spacing w:after="0" w:line="11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governing documents include provisions that:</w:t>
      </w:r>
    </w:p>
    <w:p>
      <w:pPr>
        <w:spacing w:after="0" w:line="159" w:lineRule="exact"/>
        <w:rPr>
          <w:sz w:val="20"/>
          <w:szCs w:val="20"/>
          <w:color w:val="auto"/>
        </w:rPr>
      </w:pPr>
    </w:p>
    <w:p>
      <w:pPr>
        <w:ind w:left="1180" w:right="679" w:hanging="261"/>
        <w:spacing w:after="0" w:line="246" w:lineRule="auto"/>
        <w:tabs>
          <w:tab w:leader="none" w:pos="11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empower our Board, without shareholder approval, to issue our preferred stock, the terms of which, including voting power, are to be set by our Board;</w:t>
      </w:r>
    </w:p>
    <w:p>
      <w:pPr>
        <w:ind w:left="1180" w:right="679" w:hanging="261"/>
        <w:spacing w:after="0" w:line="246" w:lineRule="auto"/>
        <w:tabs>
          <w:tab w:leader="none" w:pos="11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our Bank with voting power;</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 holders of our Class A common stock to take action by written consent in lieu of a shareholder meeting;</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 holders of at least 10% of our Class A common stock to call a special meeting;</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our directors;</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that our Board has the authority to amend our Amended and Restated Bylaws;</w:t>
      </w:r>
    </w:p>
    <w:p>
      <w:pPr>
        <w:spacing w:after="0" w:line="9" w:lineRule="exact"/>
        <w:rPr>
          <w:rFonts w:ascii="Arial" w:cs="Arial" w:eastAsia="Arial" w:hAnsi="Arial"/>
          <w:sz w:val="14"/>
          <w:szCs w:val="14"/>
          <w:color w:val="auto"/>
        </w:rPr>
      </w:pPr>
    </w:p>
    <w:p>
      <w:pPr>
        <w:jc w:val="both"/>
        <w:ind w:left="1180" w:right="679" w:hanging="261"/>
        <w:spacing w:after="0" w:line="243" w:lineRule="auto"/>
        <w:tabs>
          <w:tab w:leader="none" w:pos="11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14"/>
          <w:szCs w:val="14"/>
          <w:color w:val="auto"/>
        </w:rPr>
      </w:pPr>
    </w:p>
    <w:p>
      <w:pPr>
        <w:jc w:val="both"/>
        <w:ind w:left="1180" w:right="679" w:hanging="261"/>
        <w:spacing w:after="0" w:line="245" w:lineRule="auto"/>
        <w:tabs>
          <w:tab w:leader="none" w:pos="11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5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These laws could delay or prevent an acquisition. Also, for preservation and continued availability of our "deferred tax assets," our Articles of Incorporation prohibits any direct or indirect transfer of stock or options to acquire stock to any person who, as a result of the transfer, would own 4.95% or more of our stock, as long as we continue to have "deferred tax assets," subject to limited exceptions as provided in our Articles of Incorporation. Because of the requirements to overcome this restriction, this provision of the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hanging="97"/>
        <w:spacing w:after="0"/>
        <w:tabs>
          <w:tab w:leader="none" w:pos="7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Adjust as necessary due to Class A common stock repurchases.</w:t>
      </w:r>
    </w:p>
    <w:p>
      <w:pPr>
        <w:spacing w:after="0" w:line="15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1B. Unresolved Staff Comments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Properties</w:t>
      </w:r>
    </w:p>
    <w:p>
      <w:pPr>
        <w:spacing w:after="0" w:line="188"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The Company’s corporate offices are headquartered at 2301 N.W. 87th Avenue, Miami, Florida 33172. The Company, through the Bank, operates 10 banking centers in South Florida within Miami -Dade and Broward counties. From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60"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See Note 4 “Leases” and Note 5 “Premises and Equipment” to the Consolidated Financial Statements included in this Annual Report on Form 10-K for additional information.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Legal Proceedings</w:t>
      </w:r>
    </w:p>
    <w:p>
      <w:pPr>
        <w:spacing w:after="0" w:line="17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6"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1180" w:right="699" w:hanging="511"/>
        <w:spacing w:after="0" w:line="295"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Information</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July 2021, the Bank’s Class A common stock began trading on the Nasdaq Stock Market under ticker symbol “USCB”. The listing of our Class A common stock on the Nasdaq Stock Market has resulted in a more active trading market for our Class A common stock. However, we cannot assure that a liquid trading market for our Class A common stock will be sustained.</w:t>
      </w:r>
    </w:p>
    <w:p>
      <w:pPr>
        <w:spacing w:after="0" w:line="15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Effective December 30, 2021, the bank holding company, or the Company, acquired all issued and outstanding shares of Class A common stock of the Bank. Each of the outstanding shares of the Bank’s common stock formerly held by its shareholders was converted into and exchanged for one newly issued share of the Company’s common stock. The ticker symbol “USCB” remained the same.</w:t>
      </w:r>
    </w:p>
    <w:p>
      <w:pPr>
        <w:spacing w:after="0" w:line="145"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since going public on July 23, 2021:</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Stock Price</w:t>
            </w: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7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High</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Low</w:t>
            </w:r>
          </w:p>
        </w:tc>
        <w:tc>
          <w:tcPr>
            <w:tcW w:w="20" w:type="dxa"/>
            <w:vAlign w:val="bottom"/>
          </w:tcPr>
          <w:p>
            <w:pPr>
              <w:spacing w:after="0"/>
              <w:rPr>
                <w:sz w:val="13"/>
                <w:szCs w:val="13"/>
                <w:color w:val="auto"/>
              </w:rPr>
            </w:pPr>
          </w:p>
        </w:tc>
      </w:tr>
      <w:tr>
        <w:trPr>
          <w:trHeight w:val="160"/>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 Ended: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2021</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13.91</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10.57</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15.49</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13.30</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14.74</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11.08</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20" w:type="dxa"/>
            <w:vAlign w:val="bottom"/>
            <w:shd w:val="clear" w:color="auto" w:fill="CCEEFF"/>
          </w:tcPr>
          <w:p>
            <w:pPr>
              <w:spacing w:after="0"/>
              <w:rPr>
                <w:sz w:val="14"/>
                <w:szCs w:val="14"/>
                <w:color w:val="auto"/>
              </w:rPr>
            </w:pPr>
          </w:p>
        </w:tc>
      </w:tr>
    </w:tbl>
    <w:p>
      <w:pPr>
        <w:spacing w:after="0" w:line="160"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As of December 31, 2022, our Class B common stock is not listed or traded on any stock exchange and no shares were issued and outstanding at such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of January 31, 2023, the Company’s Class A common shares were held by approximately 300 shareholders of record, not including the number of persons or entities whose stock is held in nominee or “street” name through various brokerage firms and banks.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w:t>
      </w:r>
    </w:p>
    <w:p>
      <w:pPr>
        <w:spacing w:after="0" w:line="15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w:t>
      </w:r>
    </w:p>
    <w:p>
      <w:pPr>
        <w:spacing w:after="0" w:line="15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See Note 9 ”Equity Based and Other Compensation Plans” to the Consolidated Financial Statements included in this Annual Report Form on 10-K for additional information required.</w:t>
      </w:r>
    </w:p>
    <w:p>
      <w:pPr>
        <w:spacing w:after="0" w:line="1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Price Performance</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graph below compares the cumulative total return to stockholders of our Class A common stock between July 23, 2021 (the date the Bank’s Class A common stock commenced trading on the Nasdaq Stock Market) and December 31, 2022,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 if any.</w:t>
      </w:r>
    </w:p>
    <w:p>
      <w:pPr>
        <w:spacing w:after="0" w:line="160" w:lineRule="exact"/>
        <w:rPr>
          <w:sz w:val="20"/>
          <w:szCs w:val="20"/>
          <w:color w:val="auto"/>
        </w:rPr>
      </w:pPr>
    </w:p>
    <w:p>
      <w:pPr>
        <w:jc w:val="both"/>
        <w:ind w:left="660" w:right="679" w:firstLine="256"/>
        <w:spacing w:after="0" w:line="239" w:lineRule="auto"/>
        <w:rPr>
          <w:sz w:val="20"/>
          <w:szCs w:val="20"/>
          <w:color w:val="auto"/>
        </w:rPr>
      </w:pPr>
      <w:r>
        <w:rPr>
          <w:rFonts w:ascii="Arial" w:cs="Arial" w:eastAsia="Arial" w:hAnsi="Arial"/>
          <w:sz w:val="13"/>
          <w:szCs w:val="13"/>
          <w:color w:val="auto"/>
        </w:rPr>
        <w:t>The comparisons shown in the graph below are based upon historical data. We caution that the stock price performance shown in the graph below is not indicative of, nor is it intended to forecast, the potential future performance of our common</w:t>
      </w:r>
    </w:p>
    <w:tbl>
      <w:tblPr>
        <w:tblLayout w:type="fixed"/>
        <w:tblInd w:w="660" w:type="dxa"/>
        <w:tblCellMar>
          <w:top w:w="0" w:type="dxa"/>
          <w:left w:w="0" w:type="dxa"/>
          <w:bottom w:w="0" w:type="dxa"/>
          <w:right w:w="0" w:type="dxa"/>
        </w:tblCellMar>
      </w:tblPr>
      <w:tr>
        <w:trPr>
          <w:trHeight w:val="22"/>
        </w:trPr>
        <w:tc>
          <w:tcPr>
            <w:tcW w:w="960" w:type="dxa"/>
            <w:vAlign w:val="bottom"/>
            <w:textDirection w:val="btLr"/>
          </w:tcPr>
          <w:p>
            <w:pPr>
              <w:spacing w:after="0"/>
              <w:rPr>
                <w:sz w:val="20"/>
                <w:szCs w:val="20"/>
                <w:color w:val="auto"/>
              </w:rPr>
            </w:pPr>
            <w:r>
              <w:rPr>
                <w:rFonts w:ascii="Arial" w:cs="Arial" w:eastAsia="Arial" w:hAnsi="Arial"/>
                <w:sz w:val="1"/>
                <w:szCs w:val="1"/>
                <w:color w:val="auto"/>
                <w:w w:val="43"/>
              </w:rPr>
              <w:t>7/22/2021</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50"/>
              </w:rPr>
              <w:t>8/8/2021</w:t>
            </w:r>
          </w:p>
        </w:tc>
        <w:tc>
          <w:tcPr>
            <w:tcW w:w="420" w:type="dxa"/>
            <w:vAlign w:val="bottom"/>
            <w:textDirection w:val="btLr"/>
          </w:tcPr>
          <w:p>
            <w:pPr>
              <w:ind w:right="202"/>
              <w:spacing w:after="0"/>
              <w:rPr>
                <w:sz w:val="20"/>
                <w:szCs w:val="20"/>
                <w:color w:val="auto"/>
              </w:rPr>
            </w:pPr>
            <w:r>
              <w:rPr>
                <w:rFonts w:ascii="Arial" w:cs="Arial" w:eastAsia="Arial" w:hAnsi="Arial"/>
                <w:sz w:val="1"/>
                <w:szCs w:val="1"/>
                <w:color w:val="auto"/>
                <w:w w:val="14"/>
              </w:rPr>
              <w:t>8/25/20219/11/20219/28/2021</w:t>
            </w:r>
          </w:p>
        </w:tc>
        <w:tc>
          <w:tcPr>
            <w:tcW w:w="400" w:type="dxa"/>
            <w:vAlign w:val="bottom"/>
            <w:textDirection w:val="btLr"/>
          </w:tcPr>
          <w:p>
            <w:pPr>
              <w:spacing w:after="0"/>
              <w:rPr>
                <w:sz w:val="20"/>
                <w:szCs w:val="20"/>
                <w:color w:val="auto"/>
              </w:rPr>
            </w:pPr>
            <w:r>
              <w:rPr>
                <w:rFonts w:ascii="Arial" w:cs="Arial" w:eastAsia="Arial" w:hAnsi="Arial"/>
                <w:sz w:val="1"/>
                <w:szCs w:val="1"/>
                <w:color w:val="auto"/>
                <w:w w:val="38"/>
              </w:rPr>
              <w:t>10/15/2021</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43"/>
              </w:rPr>
              <w:t>11/1/2021</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38"/>
              </w:rPr>
              <w:t>11/18/2021</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43"/>
              </w:rPr>
              <w:t>12/5/2021</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38"/>
              </w:rPr>
              <w:t>12/22/2021</w:t>
            </w:r>
          </w:p>
        </w:tc>
        <w:tc>
          <w:tcPr>
            <w:tcW w:w="220" w:type="dxa"/>
            <w:vAlign w:val="bottom"/>
            <w:textDirection w:val="btLr"/>
          </w:tcPr>
          <w:p>
            <w:pPr>
              <w:spacing w:after="0"/>
              <w:rPr>
                <w:sz w:val="20"/>
                <w:szCs w:val="20"/>
                <w:color w:val="auto"/>
              </w:rPr>
            </w:pPr>
            <w:r>
              <w:rPr>
                <w:rFonts w:ascii="Arial" w:cs="Arial" w:eastAsia="Arial" w:hAnsi="Arial"/>
                <w:sz w:val="1"/>
                <w:szCs w:val="1"/>
                <w:color w:val="auto"/>
                <w:w w:val="50"/>
              </w:rPr>
              <w:t>1/8/2022</w:t>
            </w:r>
          </w:p>
        </w:tc>
        <w:tc>
          <w:tcPr>
            <w:tcW w:w="500" w:type="dxa"/>
            <w:vAlign w:val="bottom"/>
            <w:textDirection w:val="btLr"/>
          </w:tcPr>
          <w:p>
            <w:pPr>
              <w:ind w:right="297"/>
              <w:spacing w:after="0"/>
              <w:rPr>
                <w:sz w:val="20"/>
                <w:szCs w:val="20"/>
                <w:color w:val="auto"/>
              </w:rPr>
            </w:pPr>
            <w:r>
              <w:rPr>
                <w:rFonts w:ascii="Arial" w:cs="Arial" w:eastAsia="Arial" w:hAnsi="Arial"/>
                <w:sz w:val="1"/>
                <w:szCs w:val="1"/>
                <w:color w:val="auto"/>
                <w:w w:val="10"/>
              </w:rPr>
              <w:t>1/25/20222/11/20222/28/20223/17/2022</w:t>
            </w:r>
          </w:p>
        </w:tc>
        <w:tc>
          <w:tcPr>
            <w:tcW w:w="500" w:type="dxa"/>
            <w:vAlign w:val="bottom"/>
            <w:textDirection w:val="btLr"/>
          </w:tcPr>
          <w:p>
            <w:pPr>
              <w:spacing w:after="0"/>
              <w:rPr>
                <w:sz w:val="20"/>
                <w:szCs w:val="20"/>
                <w:color w:val="auto"/>
              </w:rPr>
            </w:pPr>
            <w:r>
              <w:rPr>
                <w:rFonts w:ascii="Arial" w:cs="Arial" w:eastAsia="Arial" w:hAnsi="Arial"/>
                <w:sz w:val="1"/>
                <w:szCs w:val="1"/>
                <w:color w:val="auto"/>
                <w:w w:val="50"/>
              </w:rPr>
              <w:t>4/3/2022</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43"/>
              </w:rPr>
              <w:t>4/20/2022</w:t>
            </w:r>
          </w:p>
        </w:tc>
        <w:tc>
          <w:tcPr>
            <w:tcW w:w="200" w:type="dxa"/>
            <w:vAlign w:val="bottom"/>
            <w:textDirection w:val="btLr"/>
          </w:tcPr>
          <w:p>
            <w:pPr>
              <w:spacing w:after="0"/>
              <w:rPr>
                <w:sz w:val="20"/>
                <w:szCs w:val="20"/>
                <w:color w:val="auto"/>
              </w:rPr>
            </w:pPr>
            <w:r>
              <w:rPr>
                <w:rFonts w:ascii="Arial" w:cs="Arial" w:eastAsia="Arial" w:hAnsi="Arial"/>
                <w:sz w:val="1"/>
                <w:szCs w:val="1"/>
                <w:color w:val="auto"/>
                <w:w w:val="50"/>
              </w:rPr>
              <w:t>5/7/2022</w:t>
            </w:r>
          </w:p>
        </w:tc>
        <w:tc>
          <w:tcPr>
            <w:tcW w:w="720" w:type="dxa"/>
            <w:vAlign w:val="bottom"/>
            <w:textDirection w:val="btLr"/>
          </w:tcPr>
          <w:p>
            <w:pPr>
              <w:ind w:right="498"/>
              <w:spacing w:after="0"/>
              <w:rPr>
                <w:sz w:val="20"/>
                <w:szCs w:val="20"/>
                <w:color w:val="auto"/>
              </w:rPr>
            </w:pPr>
            <w:r>
              <w:rPr>
                <w:rFonts w:ascii="Arial" w:cs="Arial" w:eastAsia="Arial" w:hAnsi="Arial"/>
                <w:sz w:val="1"/>
                <w:szCs w:val="1"/>
                <w:color w:val="auto"/>
                <w:w w:val="7"/>
              </w:rPr>
              <w:t>5/24/20226/10/20226/27/20227/14/20227/31/20228/17/2022</w:t>
            </w:r>
          </w:p>
        </w:tc>
        <w:tc>
          <w:tcPr>
            <w:tcW w:w="700" w:type="dxa"/>
            <w:vAlign w:val="bottom"/>
            <w:textDirection w:val="btLr"/>
          </w:tcPr>
          <w:p>
            <w:pPr>
              <w:spacing w:after="0"/>
              <w:rPr>
                <w:sz w:val="20"/>
                <w:szCs w:val="20"/>
                <w:color w:val="auto"/>
              </w:rPr>
            </w:pPr>
            <w:r>
              <w:rPr>
                <w:rFonts w:ascii="Arial" w:cs="Arial" w:eastAsia="Arial" w:hAnsi="Arial"/>
                <w:sz w:val="1"/>
                <w:szCs w:val="1"/>
                <w:color w:val="auto"/>
                <w:w w:val="50"/>
              </w:rPr>
              <w:t>9/3/2022</w:t>
            </w:r>
          </w:p>
        </w:tc>
        <w:tc>
          <w:tcPr>
            <w:tcW w:w="320" w:type="dxa"/>
            <w:vAlign w:val="bottom"/>
            <w:textDirection w:val="btLr"/>
          </w:tcPr>
          <w:p>
            <w:pPr>
              <w:ind w:right="99"/>
              <w:spacing w:after="0"/>
              <w:rPr>
                <w:sz w:val="20"/>
                <w:szCs w:val="20"/>
                <w:color w:val="auto"/>
              </w:rPr>
            </w:pPr>
            <w:r>
              <w:rPr>
                <w:rFonts w:ascii="Arial" w:cs="Arial" w:eastAsia="Arial" w:hAnsi="Arial"/>
                <w:sz w:val="1"/>
                <w:szCs w:val="1"/>
                <w:color w:val="auto"/>
                <w:w w:val="21"/>
              </w:rPr>
              <w:t>9/20/202210/7/2022</w:t>
            </w:r>
          </w:p>
        </w:tc>
        <w:tc>
          <w:tcPr>
            <w:tcW w:w="400" w:type="dxa"/>
            <w:vAlign w:val="bottom"/>
            <w:textDirection w:val="btLr"/>
          </w:tcPr>
          <w:p>
            <w:pPr>
              <w:ind w:right="94"/>
              <w:spacing w:after="0"/>
              <w:rPr>
                <w:sz w:val="20"/>
                <w:szCs w:val="20"/>
                <w:color w:val="auto"/>
              </w:rPr>
            </w:pPr>
            <w:r>
              <w:rPr>
                <w:rFonts w:ascii="Arial" w:cs="Arial" w:eastAsia="Arial" w:hAnsi="Arial"/>
                <w:sz w:val="1"/>
                <w:szCs w:val="1"/>
                <w:color w:val="auto"/>
                <w:w w:val="19"/>
              </w:rPr>
              <w:t>10/24/202211/10/2022</w:t>
            </w:r>
          </w:p>
        </w:tc>
        <w:tc>
          <w:tcPr>
            <w:tcW w:w="300" w:type="dxa"/>
            <w:vAlign w:val="bottom"/>
            <w:textDirection w:val="btLr"/>
          </w:tcPr>
          <w:p>
            <w:pPr>
              <w:spacing w:after="0"/>
              <w:rPr>
                <w:sz w:val="20"/>
                <w:szCs w:val="20"/>
                <w:color w:val="auto"/>
              </w:rPr>
            </w:pPr>
            <w:r>
              <w:rPr>
                <w:rFonts w:ascii="Arial" w:cs="Arial" w:eastAsia="Arial" w:hAnsi="Arial"/>
                <w:sz w:val="1"/>
                <w:szCs w:val="1"/>
                <w:color w:val="auto"/>
                <w:w w:val="38"/>
              </w:rPr>
              <w:t>11/27/2022</w:t>
            </w:r>
          </w:p>
        </w:tc>
        <w:tc>
          <w:tcPr>
            <w:tcW w:w="160" w:type="dxa"/>
            <w:vAlign w:val="bottom"/>
            <w:textDirection w:val="btLr"/>
          </w:tcPr>
          <w:p>
            <w:pPr>
              <w:spacing w:after="0"/>
              <w:rPr>
                <w:sz w:val="20"/>
                <w:szCs w:val="20"/>
                <w:color w:val="auto"/>
              </w:rPr>
            </w:pPr>
            <w:r>
              <w:rPr>
                <w:rFonts w:ascii="Arial" w:cs="Arial" w:eastAsia="Arial" w:hAnsi="Arial"/>
                <w:sz w:val="1"/>
                <w:szCs w:val="1"/>
                <w:color w:val="auto"/>
                <w:w w:val="19"/>
              </w:rPr>
              <w:t>12/14/202212/31/2022</w:t>
            </w:r>
          </w:p>
        </w:tc>
      </w:tr>
      <w:tr>
        <w:trPr>
          <w:trHeight w:val="170"/>
        </w:trPr>
        <w:tc>
          <w:tcPr>
            <w:tcW w:w="960" w:type="dxa"/>
            <w:vAlign w:val="bottom"/>
          </w:tcPr>
          <w:p>
            <w:pPr>
              <w:jc w:val="right"/>
              <w:ind w:right="542"/>
              <w:spacing w:after="0"/>
              <w:rPr>
                <w:sz w:val="20"/>
                <w:szCs w:val="20"/>
                <w:color w:val="auto"/>
              </w:rPr>
            </w:pPr>
            <w:r>
              <w:rPr>
                <w:rFonts w:ascii="Arial" w:cs="Arial" w:eastAsia="Arial" w:hAnsi="Arial"/>
                <w:sz w:val="14"/>
                <w:szCs w:val="14"/>
                <w:color w:val="auto"/>
                <w:w w:val="98"/>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487"/>
        </w:trPr>
        <w:tc>
          <w:tcPr>
            <w:tcW w:w="280" w:type="dxa"/>
            <w:vAlign w:val="bottom"/>
            <w:tcBorders>
              <w:right w:val="single" w:sz="8" w:color="D9D9D9"/>
            </w:tcBorders>
          </w:tcPr>
          <w:p>
            <w:pPr>
              <w:spacing w:after="0"/>
              <w:rPr>
                <w:sz w:val="24"/>
                <w:szCs w:val="24"/>
                <w:color w:val="auto"/>
              </w:rPr>
            </w:pPr>
          </w:p>
        </w:tc>
        <w:tc>
          <w:tcPr>
            <w:tcW w:w="380" w:type="dxa"/>
            <w:vAlign w:val="bottom"/>
            <w:tcBorders>
              <w:top w:val="single" w:sz="8" w:color="D9D9D9"/>
            </w:tcBorders>
          </w:tcPr>
          <w:p>
            <w:pPr>
              <w:spacing w:after="0"/>
              <w:rPr>
                <w:sz w:val="24"/>
                <w:szCs w:val="24"/>
                <w:color w:val="auto"/>
              </w:rPr>
            </w:pPr>
          </w:p>
        </w:tc>
        <w:tc>
          <w:tcPr>
            <w:tcW w:w="200" w:type="dxa"/>
            <w:vAlign w:val="bottom"/>
            <w:tcBorders>
              <w:top w:val="single" w:sz="8" w:color="D9D9D9"/>
            </w:tcBorders>
          </w:tcPr>
          <w:p>
            <w:pPr>
              <w:spacing w:after="0"/>
              <w:rPr>
                <w:sz w:val="24"/>
                <w:szCs w:val="24"/>
                <w:color w:val="auto"/>
              </w:rPr>
            </w:pPr>
          </w:p>
        </w:tc>
        <w:tc>
          <w:tcPr>
            <w:tcW w:w="80" w:type="dxa"/>
            <w:vAlign w:val="bottom"/>
            <w:tcBorders>
              <w:top w:val="single" w:sz="8" w:color="D9D9D9"/>
            </w:tcBorders>
          </w:tcPr>
          <w:p>
            <w:pPr>
              <w:spacing w:after="0"/>
              <w:rPr>
                <w:sz w:val="24"/>
                <w:szCs w:val="24"/>
                <w:color w:val="auto"/>
              </w:rPr>
            </w:pPr>
          </w:p>
        </w:tc>
        <w:tc>
          <w:tcPr>
            <w:tcW w:w="560" w:type="dxa"/>
            <w:vAlign w:val="bottom"/>
            <w:tcBorders>
              <w:top w:val="single" w:sz="8" w:color="D9D9D9"/>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4740" w:type="dxa"/>
            <w:vAlign w:val="bottom"/>
            <w:tcBorders>
              <w:top w:val="single" w:sz="8" w:color="D9D9D9"/>
            </w:tcBorders>
            <w:gridSpan w:val="11"/>
          </w:tcPr>
          <w:p>
            <w:pPr>
              <w:jc w:val="center"/>
              <w:ind w:right="9"/>
              <w:spacing w:after="0"/>
              <w:rPr>
                <w:sz w:val="20"/>
                <w:szCs w:val="20"/>
                <w:color w:val="auto"/>
              </w:rPr>
            </w:pPr>
            <w:r>
              <w:rPr>
                <w:rFonts w:ascii="Arial" w:cs="Arial" w:eastAsia="Arial" w:hAnsi="Arial"/>
                <w:sz w:val="20"/>
                <w:szCs w:val="20"/>
                <w:b w:val="1"/>
                <w:bCs w:val="1"/>
                <w:color w:val="auto"/>
                <w:w w:val="98"/>
              </w:rPr>
              <w:t>COMPARISON OF CUMULATIVE TOTAL RETURN</w:t>
            </w:r>
          </w:p>
        </w:tc>
        <w:tc>
          <w:tcPr>
            <w:tcW w:w="2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40" w:type="dxa"/>
            <w:vAlign w:val="bottom"/>
            <w:tcBorders>
              <w:top w:val="single" w:sz="8" w:color="D9D9D9"/>
            </w:tcBorders>
          </w:tcPr>
          <w:p>
            <w:pPr>
              <w:spacing w:after="0"/>
              <w:rPr>
                <w:sz w:val="24"/>
                <w:szCs w:val="24"/>
                <w:color w:val="auto"/>
              </w:rPr>
            </w:pPr>
          </w:p>
        </w:tc>
        <w:tc>
          <w:tcPr>
            <w:tcW w:w="240" w:type="dxa"/>
            <w:vAlign w:val="bottom"/>
            <w:tcBorders>
              <w:top w:val="single" w:sz="8" w:color="D9D9D9"/>
            </w:tcBorders>
          </w:tcPr>
          <w:p>
            <w:pPr>
              <w:spacing w:after="0"/>
              <w:rPr>
                <w:sz w:val="24"/>
                <w:szCs w:val="24"/>
                <w:color w:val="auto"/>
              </w:rPr>
            </w:pPr>
          </w:p>
        </w:tc>
        <w:tc>
          <w:tcPr>
            <w:tcW w:w="540" w:type="dxa"/>
            <w:vAlign w:val="bottom"/>
            <w:tcBorders>
              <w:top w:val="single" w:sz="8" w:color="D9D9D9"/>
            </w:tcBorders>
          </w:tcPr>
          <w:p>
            <w:pPr>
              <w:spacing w:after="0"/>
              <w:rPr>
                <w:sz w:val="24"/>
                <w:szCs w:val="24"/>
                <w:color w:val="auto"/>
              </w:rPr>
            </w:pPr>
          </w:p>
        </w:tc>
        <w:tc>
          <w:tcPr>
            <w:tcW w:w="280" w:type="dxa"/>
            <w:vAlign w:val="bottom"/>
            <w:tcBorders>
              <w:top w:val="single" w:sz="8" w:color="D9D9D9"/>
              <w:right w:val="single" w:sz="8" w:color="D9D9D9"/>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0" w:type="dxa"/>
            <w:vAlign w:val="bottom"/>
            <w:tcBorders>
              <w:right w:val="single" w:sz="8" w:color="D9D9D9"/>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80" w:type="dxa"/>
            <w:vAlign w:val="bottom"/>
            <w:gridSpan w:val="17"/>
          </w:tcPr>
          <w:p>
            <w:pPr>
              <w:jc w:val="center"/>
              <w:ind w:left="129"/>
              <w:spacing w:after="0"/>
              <w:rPr>
                <w:sz w:val="20"/>
                <w:szCs w:val="20"/>
                <w:color w:val="auto"/>
              </w:rPr>
            </w:pPr>
            <w:r>
              <w:rPr>
                <w:rFonts w:ascii="Arial" w:cs="Arial" w:eastAsia="Arial" w:hAnsi="Arial"/>
                <w:sz w:val="14"/>
                <w:szCs w:val="14"/>
                <w:i w:val="1"/>
                <w:iCs w:val="1"/>
                <w:color w:val="auto"/>
              </w:rPr>
              <w:t>Among USCB Financial Holdings, Inc., the NASDAQ Bank Index, the NASDAQ ABA</w:t>
            </w:r>
          </w:p>
        </w:tc>
        <w:tc>
          <w:tcPr>
            <w:tcW w:w="540" w:type="dxa"/>
            <w:vAlign w:val="bottom"/>
          </w:tcPr>
          <w:p>
            <w:pPr>
              <w:spacing w:after="0"/>
              <w:rPr>
                <w:sz w:val="13"/>
                <w:szCs w:val="13"/>
                <w:color w:val="auto"/>
              </w:rPr>
            </w:pPr>
          </w:p>
        </w:tc>
        <w:tc>
          <w:tcPr>
            <w:tcW w:w="280" w:type="dxa"/>
            <w:vAlign w:val="bottom"/>
            <w:tcBorders>
              <w:right w:val="single" w:sz="8" w:color="D9D9D9"/>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D9D9D9"/>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40" w:type="dxa"/>
            <w:vAlign w:val="bottom"/>
            <w:gridSpan w:val="10"/>
          </w:tcPr>
          <w:p>
            <w:pPr>
              <w:jc w:val="center"/>
              <w:ind w:right="229"/>
              <w:spacing w:after="0"/>
              <w:rPr>
                <w:sz w:val="20"/>
                <w:szCs w:val="20"/>
                <w:color w:val="auto"/>
              </w:rPr>
            </w:pPr>
            <w:r>
              <w:rPr>
                <w:rFonts w:ascii="Arial" w:cs="Arial" w:eastAsia="Arial" w:hAnsi="Arial"/>
                <w:sz w:val="14"/>
                <w:szCs w:val="14"/>
                <w:i w:val="1"/>
                <w:iCs w:val="1"/>
                <w:color w:val="auto"/>
              </w:rPr>
              <w:t>Community Bank Index, and the NASDAQ Composite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right w:val="single" w:sz="8" w:color="D9D9D9"/>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 w:type="dxa"/>
            <w:vAlign w:val="bottom"/>
            <w:tcBorders>
              <w:right w:val="single" w:sz="8" w:color="D9D9D9"/>
            </w:tcBorders>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right w:val="single" w:sz="8" w:color="D9D9D9"/>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80" w:type="dxa"/>
            <w:vAlign w:val="bottom"/>
            <w:tcBorders>
              <w:right w:val="single" w:sz="8" w:color="D9D9D9"/>
            </w:tcBorders>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right w:val="single" w:sz="8" w:color="D9D9D9"/>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Borders>
              <w:right w:val="single" w:sz="8" w:color="D9D9D9"/>
            </w:tcBorders>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right w:val="single" w:sz="8" w:color="D9D9D9"/>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80" w:type="dxa"/>
            <w:vAlign w:val="bottom"/>
            <w:tcBorders>
              <w:right w:val="single" w:sz="8" w:color="D9D9D9"/>
            </w:tcBorders>
            <w:vMerge w:val="restart"/>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9D9D9"/>
            </w:tcBorders>
          </w:tcPr>
          <w:p>
            <w:pPr>
              <w:spacing w:after="0"/>
              <w:rPr>
                <w:sz w:val="11"/>
                <w:szCs w:val="11"/>
                <w:color w:val="auto"/>
              </w:rPr>
            </w:pPr>
          </w:p>
        </w:tc>
        <w:tc>
          <w:tcPr>
            <w:tcW w:w="560" w:type="dxa"/>
            <w:vAlign w:val="bottom"/>
            <w:tcBorders>
              <w:bottom w:val="single" w:sz="8" w:color="D9D9D9"/>
            </w:tcBorders>
          </w:tcPr>
          <w:p>
            <w:pPr>
              <w:spacing w:after="0"/>
              <w:rPr>
                <w:sz w:val="11"/>
                <w:szCs w:val="11"/>
                <w:color w:val="auto"/>
              </w:rPr>
            </w:pPr>
          </w:p>
        </w:tc>
        <w:tc>
          <w:tcPr>
            <w:tcW w:w="60" w:type="dxa"/>
            <w:vAlign w:val="bottom"/>
            <w:tcBorders>
              <w:bottom w:val="single" w:sz="8" w:color="D9D9D9"/>
            </w:tcBorders>
          </w:tcPr>
          <w:p>
            <w:pPr>
              <w:spacing w:after="0"/>
              <w:rPr>
                <w:sz w:val="11"/>
                <w:szCs w:val="11"/>
                <w:color w:val="auto"/>
              </w:rPr>
            </w:pPr>
          </w:p>
        </w:tc>
        <w:tc>
          <w:tcPr>
            <w:tcW w:w="200" w:type="dxa"/>
            <w:vAlign w:val="bottom"/>
            <w:tcBorders>
              <w:bottom w:val="single" w:sz="8" w:color="D9D9D9"/>
            </w:tcBorders>
          </w:tcPr>
          <w:p>
            <w:pPr>
              <w:spacing w:after="0"/>
              <w:rPr>
                <w:sz w:val="11"/>
                <w:szCs w:val="11"/>
                <w:color w:val="auto"/>
              </w:rPr>
            </w:pPr>
          </w:p>
        </w:tc>
        <w:tc>
          <w:tcPr>
            <w:tcW w:w="1120" w:type="dxa"/>
            <w:vAlign w:val="bottom"/>
            <w:tcBorders>
              <w:bottom w:val="single" w:sz="8" w:color="D9D9D9"/>
            </w:tcBorders>
          </w:tcPr>
          <w:p>
            <w:pPr>
              <w:spacing w:after="0"/>
              <w:rPr>
                <w:sz w:val="11"/>
                <w:szCs w:val="11"/>
                <w:color w:val="auto"/>
              </w:rPr>
            </w:pPr>
          </w:p>
        </w:tc>
        <w:tc>
          <w:tcPr>
            <w:tcW w:w="780" w:type="dxa"/>
            <w:vAlign w:val="bottom"/>
            <w:tcBorders>
              <w:bottom w:val="single" w:sz="8" w:color="D9D9D9"/>
            </w:tcBorders>
          </w:tcPr>
          <w:p>
            <w:pPr>
              <w:spacing w:after="0"/>
              <w:rPr>
                <w:sz w:val="11"/>
                <w:szCs w:val="11"/>
                <w:color w:val="auto"/>
              </w:rPr>
            </w:pPr>
          </w:p>
        </w:tc>
        <w:tc>
          <w:tcPr>
            <w:tcW w:w="140" w:type="dxa"/>
            <w:vAlign w:val="bottom"/>
            <w:tcBorders>
              <w:bottom w:val="single" w:sz="8" w:color="D9D9D9"/>
            </w:tcBorders>
          </w:tcPr>
          <w:p>
            <w:pPr>
              <w:spacing w:after="0"/>
              <w:rPr>
                <w:sz w:val="11"/>
                <w:szCs w:val="11"/>
                <w:color w:val="auto"/>
              </w:rPr>
            </w:pPr>
          </w:p>
        </w:tc>
        <w:tc>
          <w:tcPr>
            <w:tcW w:w="1140" w:type="dxa"/>
            <w:vAlign w:val="bottom"/>
            <w:tcBorders>
              <w:bottom w:val="single" w:sz="8" w:color="D9D9D9"/>
            </w:tcBorders>
          </w:tcPr>
          <w:p>
            <w:pPr>
              <w:spacing w:after="0"/>
              <w:rPr>
                <w:sz w:val="11"/>
                <w:szCs w:val="11"/>
                <w:color w:val="auto"/>
              </w:rPr>
            </w:pPr>
          </w:p>
        </w:tc>
        <w:tc>
          <w:tcPr>
            <w:tcW w:w="20" w:type="dxa"/>
            <w:vAlign w:val="bottom"/>
            <w:tcBorders>
              <w:bottom w:val="single" w:sz="8" w:color="D9D9D9"/>
            </w:tcBorders>
          </w:tcPr>
          <w:p>
            <w:pPr>
              <w:spacing w:after="0"/>
              <w:rPr>
                <w:sz w:val="11"/>
                <w:szCs w:val="11"/>
                <w:color w:val="auto"/>
              </w:rPr>
            </w:pPr>
          </w:p>
        </w:tc>
        <w:tc>
          <w:tcPr>
            <w:tcW w:w="20" w:type="dxa"/>
            <w:vAlign w:val="bottom"/>
            <w:tcBorders>
              <w:bottom w:val="single" w:sz="8" w:color="D9D9D9"/>
            </w:tcBorders>
          </w:tcPr>
          <w:p>
            <w:pPr>
              <w:spacing w:after="0"/>
              <w:rPr>
                <w:sz w:val="11"/>
                <w:szCs w:val="11"/>
                <w:color w:val="auto"/>
              </w:rPr>
            </w:pPr>
          </w:p>
        </w:tc>
        <w:tc>
          <w:tcPr>
            <w:tcW w:w="40" w:type="dxa"/>
            <w:vAlign w:val="bottom"/>
            <w:tcBorders>
              <w:bottom w:val="single" w:sz="8" w:color="D9D9D9"/>
            </w:tcBorders>
          </w:tcPr>
          <w:p>
            <w:pPr>
              <w:spacing w:after="0"/>
              <w:rPr>
                <w:sz w:val="11"/>
                <w:szCs w:val="11"/>
                <w:color w:val="auto"/>
              </w:rPr>
            </w:pPr>
          </w:p>
        </w:tc>
        <w:tc>
          <w:tcPr>
            <w:tcW w:w="340" w:type="dxa"/>
            <w:vAlign w:val="bottom"/>
            <w:tcBorders>
              <w:bottom w:val="single" w:sz="8" w:color="D9D9D9"/>
            </w:tcBorders>
          </w:tcPr>
          <w:p>
            <w:pPr>
              <w:spacing w:after="0"/>
              <w:rPr>
                <w:sz w:val="11"/>
                <w:szCs w:val="11"/>
                <w:color w:val="auto"/>
              </w:rPr>
            </w:pPr>
          </w:p>
        </w:tc>
        <w:tc>
          <w:tcPr>
            <w:tcW w:w="280" w:type="dxa"/>
            <w:vAlign w:val="bottom"/>
            <w:tcBorders>
              <w:bottom w:val="single" w:sz="8" w:color="D9D9D9"/>
            </w:tcBorders>
          </w:tcPr>
          <w:p>
            <w:pPr>
              <w:spacing w:after="0"/>
              <w:rPr>
                <w:sz w:val="11"/>
                <w:szCs w:val="11"/>
                <w:color w:val="auto"/>
              </w:rPr>
            </w:pPr>
          </w:p>
        </w:tc>
        <w:tc>
          <w:tcPr>
            <w:tcW w:w="660" w:type="dxa"/>
            <w:vAlign w:val="bottom"/>
            <w:tcBorders>
              <w:bottom w:val="single" w:sz="8" w:color="D9D9D9"/>
            </w:tcBorders>
          </w:tcPr>
          <w:p>
            <w:pPr>
              <w:spacing w:after="0"/>
              <w:rPr>
                <w:sz w:val="11"/>
                <w:szCs w:val="11"/>
                <w:color w:val="auto"/>
              </w:rPr>
            </w:pPr>
          </w:p>
        </w:tc>
        <w:tc>
          <w:tcPr>
            <w:tcW w:w="20" w:type="dxa"/>
            <w:vAlign w:val="bottom"/>
            <w:tcBorders>
              <w:bottom w:val="single" w:sz="8" w:color="D9D9D9"/>
            </w:tcBorders>
          </w:tcPr>
          <w:p>
            <w:pPr>
              <w:spacing w:after="0"/>
              <w:rPr>
                <w:sz w:val="11"/>
                <w:szCs w:val="11"/>
                <w:color w:val="auto"/>
              </w:rPr>
            </w:pPr>
          </w:p>
        </w:tc>
        <w:tc>
          <w:tcPr>
            <w:tcW w:w="20" w:type="dxa"/>
            <w:vAlign w:val="bottom"/>
            <w:tcBorders>
              <w:bottom w:val="single" w:sz="8" w:color="D9D9D9"/>
            </w:tcBorders>
          </w:tcPr>
          <w:p>
            <w:pPr>
              <w:spacing w:after="0"/>
              <w:rPr>
                <w:sz w:val="11"/>
                <w:szCs w:val="11"/>
                <w:color w:val="auto"/>
              </w:rPr>
            </w:pPr>
          </w:p>
        </w:tc>
        <w:tc>
          <w:tcPr>
            <w:tcW w:w="40" w:type="dxa"/>
            <w:vAlign w:val="bottom"/>
            <w:tcBorders>
              <w:bottom w:val="single" w:sz="8" w:color="D9D9D9"/>
            </w:tcBorders>
          </w:tcPr>
          <w:p>
            <w:pPr>
              <w:spacing w:after="0"/>
              <w:rPr>
                <w:sz w:val="11"/>
                <w:szCs w:val="11"/>
                <w:color w:val="auto"/>
              </w:rPr>
            </w:pPr>
          </w:p>
        </w:tc>
        <w:tc>
          <w:tcPr>
            <w:tcW w:w="240" w:type="dxa"/>
            <w:vAlign w:val="bottom"/>
            <w:tcBorders>
              <w:bottom w:val="single" w:sz="8" w:color="D9D9D9"/>
            </w:tcBorders>
          </w:tcPr>
          <w:p>
            <w:pPr>
              <w:spacing w:after="0"/>
              <w:rPr>
                <w:sz w:val="11"/>
                <w:szCs w:val="11"/>
                <w:color w:val="auto"/>
              </w:rPr>
            </w:pPr>
          </w:p>
        </w:tc>
        <w:tc>
          <w:tcPr>
            <w:tcW w:w="540" w:type="dxa"/>
            <w:vAlign w:val="bottom"/>
            <w:tcBorders>
              <w:bottom w:val="single" w:sz="8" w:color="D9D9D9"/>
            </w:tcBorders>
          </w:tcPr>
          <w:p>
            <w:pPr>
              <w:spacing w:after="0"/>
              <w:rPr>
                <w:sz w:val="11"/>
                <w:szCs w:val="11"/>
                <w:color w:val="auto"/>
              </w:rPr>
            </w:pPr>
          </w:p>
        </w:tc>
        <w:tc>
          <w:tcPr>
            <w:tcW w:w="280" w:type="dxa"/>
            <w:vAlign w:val="bottom"/>
            <w:tcBorders>
              <w:right w:val="single" w:sz="8" w:color="D9D9D9"/>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0" w:type="dxa"/>
            <w:vAlign w:val="bottom"/>
            <w:tcBorders>
              <w:right w:val="single" w:sz="8" w:color="D9D9D9"/>
            </w:tcBorders>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USCB</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color w:val="auto"/>
              </w:rPr>
              <w:t>NASDAQ Bank</w:t>
            </w:r>
          </w:p>
        </w:tc>
        <w:tc>
          <w:tcPr>
            <w:tcW w:w="780" w:type="dxa"/>
            <w:vAlign w:val="bottom"/>
            <w:vMerge w:val="restart"/>
          </w:tcPr>
          <w:p>
            <w:pPr>
              <w:spacing w:after="0"/>
              <w:rPr>
                <w:sz w:val="20"/>
                <w:szCs w:val="20"/>
                <w:color w:val="auto"/>
              </w:rPr>
            </w:pPr>
            <w:r>
              <w:rPr>
                <w:rFonts w:ascii="Arial" w:cs="Arial" w:eastAsia="Arial" w:hAnsi="Arial"/>
                <w:sz w:val="14"/>
                <w:szCs w:val="14"/>
                <w:color w:val="auto"/>
              </w:rPr>
              <w:t>NASDAQ</w:t>
            </w:r>
          </w:p>
        </w:tc>
        <w:tc>
          <w:tcPr>
            <w:tcW w:w="140" w:type="dxa"/>
            <w:vAlign w:val="bottom"/>
          </w:tcPr>
          <w:p>
            <w:pPr>
              <w:spacing w:after="0"/>
              <w:rPr>
                <w:sz w:val="6"/>
                <w:szCs w:val="6"/>
                <w:color w:val="auto"/>
              </w:rPr>
            </w:pPr>
          </w:p>
        </w:tc>
        <w:tc>
          <w:tcPr>
            <w:tcW w:w="1560" w:type="dxa"/>
            <w:vAlign w:val="bottom"/>
            <w:gridSpan w:val="5"/>
            <w:vMerge w:val="restart"/>
          </w:tcPr>
          <w:p>
            <w:pPr>
              <w:jc w:val="right"/>
              <w:ind w:right="16"/>
              <w:spacing w:after="0"/>
              <w:rPr>
                <w:sz w:val="20"/>
                <w:szCs w:val="20"/>
                <w:color w:val="auto"/>
              </w:rPr>
            </w:pPr>
            <w:r>
              <w:rPr>
                <w:rFonts w:ascii="Arial" w:cs="Arial" w:eastAsia="Arial" w:hAnsi="Arial"/>
                <w:sz w:val="14"/>
                <w:szCs w:val="14"/>
                <w:color w:val="auto"/>
              </w:rPr>
              <w:t>ABA Community Bank</w:t>
            </w:r>
          </w:p>
        </w:tc>
        <w:tc>
          <w:tcPr>
            <w:tcW w:w="280" w:type="dxa"/>
            <w:vAlign w:val="bottom"/>
          </w:tcPr>
          <w:p>
            <w:pPr>
              <w:spacing w:after="0"/>
              <w:rPr>
                <w:sz w:val="6"/>
                <w:szCs w:val="6"/>
                <w:color w:val="auto"/>
              </w:rPr>
            </w:pPr>
          </w:p>
        </w:tc>
        <w:tc>
          <w:tcPr>
            <w:tcW w:w="1800" w:type="dxa"/>
            <w:vAlign w:val="bottom"/>
            <w:tcBorders>
              <w:right w:val="single" w:sz="8" w:color="D9D9D9"/>
            </w:tcBorders>
            <w:gridSpan w:val="7"/>
            <w:vMerge w:val="restart"/>
          </w:tcPr>
          <w:p>
            <w:pPr>
              <w:jc w:val="right"/>
              <w:ind w:right="420"/>
              <w:spacing w:after="0"/>
              <w:rPr>
                <w:sz w:val="20"/>
                <w:szCs w:val="20"/>
                <w:color w:val="auto"/>
              </w:rPr>
            </w:pPr>
            <w:r>
              <w:rPr>
                <w:rFonts w:ascii="Arial" w:cs="Arial" w:eastAsia="Arial" w:hAnsi="Arial"/>
                <w:sz w:val="14"/>
                <w:szCs w:val="14"/>
                <w:color w:val="auto"/>
              </w:rPr>
              <w:t>NASDAQ Composite</w:t>
            </w: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280" w:type="dxa"/>
            <w:vAlign w:val="bottom"/>
            <w:tcBorders>
              <w:right w:val="single" w:sz="8" w:color="D9D9D9"/>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BE190C"/>
            </w:tcBorders>
          </w:tcPr>
          <w:p>
            <w:pPr>
              <w:spacing w:after="0"/>
              <w:rPr>
                <w:sz w:val="24"/>
                <w:szCs w:val="24"/>
                <w:color w:val="auto"/>
              </w:rPr>
            </w:pPr>
          </w:p>
        </w:tc>
        <w:tc>
          <w:tcPr>
            <w:tcW w:w="80" w:type="dxa"/>
            <w:vAlign w:val="bottom"/>
            <w:tcBorders>
              <w:bottom w:val="single" w:sz="8" w:color="BE190C"/>
            </w:tcBorders>
          </w:tcPr>
          <w:p>
            <w:pPr>
              <w:spacing w:after="0"/>
              <w:rPr>
                <w:sz w:val="24"/>
                <w:szCs w:val="24"/>
                <w:color w:val="auto"/>
              </w:rPr>
            </w:pPr>
          </w:p>
        </w:tc>
        <w:tc>
          <w:tcPr>
            <w:tcW w:w="560" w:type="dxa"/>
            <w:vAlign w:val="bottom"/>
            <w:vMerge w:val="continue"/>
          </w:tcPr>
          <w:p>
            <w:pPr>
              <w:spacing w:after="0"/>
              <w:rPr>
                <w:sz w:val="24"/>
                <w:szCs w:val="24"/>
                <w:color w:val="auto"/>
              </w:rPr>
            </w:pPr>
          </w:p>
        </w:tc>
        <w:tc>
          <w:tcPr>
            <w:tcW w:w="60" w:type="dxa"/>
            <w:vAlign w:val="bottom"/>
            <w:tcBorders>
              <w:bottom w:val="single" w:sz="8" w:color="ADB9CA"/>
            </w:tcBorders>
          </w:tcPr>
          <w:p>
            <w:pPr>
              <w:spacing w:after="0"/>
              <w:rPr>
                <w:sz w:val="24"/>
                <w:szCs w:val="24"/>
                <w:color w:val="auto"/>
              </w:rPr>
            </w:pPr>
          </w:p>
        </w:tc>
        <w:tc>
          <w:tcPr>
            <w:tcW w:w="200" w:type="dxa"/>
            <w:vAlign w:val="bottom"/>
            <w:tcBorders>
              <w:bottom w:val="single" w:sz="8" w:color="ADB9CA"/>
            </w:tcBorders>
          </w:tcPr>
          <w:p>
            <w:pPr>
              <w:spacing w:after="0"/>
              <w:rPr>
                <w:sz w:val="24"/>
                <w:szCs w:val="24"/>
                <w:color w:val="auto"/>
              </w:rPr>
            </w:pPr>
          </w:p>
        </w:tc>
        <w:tc>
          <w:tcPr>
            <w:tcW w:w="112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5"/>
            <w:vMerge w:val="continue"/>
          </w:tcPr>
          <w:p>
            <w:pPr>
              <w:spacing w:after="0"/>
              <w:rPr>
                <w:sz w:val="24"/>
                <w:szCs w:val="24"/>
                <w:color w:val="auto"/>
              </w:rPr>
            </w:pPr>
          </w:p>
        </w:tc>
        <w:tc>
          <w:tcPr>
            <w:tcW w:w="280" w:type="dxa"/>
            <w:vAlign w:val="bottom"/>
            <w:tcBorders>
              <w:bottom w:val="single" w:sz="8" w:color="5F5F5F"/>
            </w:tcBorders>
          </w:tcPr>
          <w:p>
            <w:pPr>
              <w:spacing w:after="0"/>
              <w:rPr>
                <w:sz w:val="24"/>
                <w:szCs w:val="24"/>
                <w:color w:val="auto"/>
              </w:rPr>
            </w:pPr>
          </w:p>
        </w:tc>
        <w:tc>
          <w:tcPr>
            <w:tcW w:w="1800" w:type="dxa"/>
            <w:vAlign w:val="bottom"/>
            <w:tcBorders>
              <w:right w:val="single" w:sz="8" w:color="D9D9D9"/>
            </w:tcBorders>
            <w:gridSpan w:val="7"/>
            <w:vMerge w:val="continue"/>
          </w:tcPr>
          <w:p>
            <w:pPr>
              <w:spacing w:after="0"/>
              <w:rPr>
                <w:sz w:val="24"/>
                <w:szCs w:val="24"/>
                <w:color w:val="auto"/>
              </w:rPr>
            </w:pPr>
          </w:p>
        </w:tc>
        <w:tc>
          <w:tcPr>
            <w:tcW w:w="2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80" w:type="dxa"/>
            <w:vAlign w:val="bottom"/>
            <w:tcBorders>
              <w:right w:val="single" w:sz="8" w:color="D9D9D9"/>
            </w:tcBorders>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Borders>
              <w:right w:val="single" w:sz="8" w:color="D9D9D9"/>
            </w:tcBorders>
            <w:gridSpan w:val="7"/>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80" w:type="dxa"/>
            <w:vAlign w:val="bottom"/>
            <w:tcBorders>
              <w:right w:val="single" w:sz="8" w:color="D9D9D9"/>
            </w:tcBorders>
          </w:tcPr>
          <w:p>
            <w:pPr>
              <w:spacing w:after="0"/>
              <w:rPr>
                <w:sz w:val="9"/>
                <w:szCs w:val="9"/>
                <w:color w:val="auto"/>
              </w:rPr>
            </w:pPr>
          </w:p>
        </w:tc>
        <w:tc>
          <w:tcPr>
            <w:tcW w:w="380" w:type="dxa"/>
            <w:vAlign w:val="bottom"/>
            <w:tcBorders>
              <w:bottom w:val="single" w:sz="8" w:color="D9D9D9"/>
            </w:tcBorders>
          </w:tcPr>
          <w:p>
            <w:pPr>
              <w:spacing w:after="0"/>
              <w:rPr>
                <w:sz w:val="9"/>
                <w:szCs w:val="9"/>
                <w:color w:val="auto"/>
              </w:rPr>
            </w:pPr>
          </w:p>
        </w:tc>
        <w:tc>
          <w:tcPr>
            <w:tcW w:w="200" w:type="dxa"/>
            <w:vAlign w:val="bottom"/>
            <w:tcBorders>
              <w:bottom w:val="single" w:sz="8" w:color="D9D9D9"/>
            </w:tcBorders>
          </w:tcPr>
          <w:p>
            <w:pPr>
              <w:spacing w:after="0"/>
              <w:rPr>
                <w:sz w:val="9"/>
                <w:szCs w:val="9"/>
                <w:color w:val="auto"/>
              </w:rPr>
            </w:pPr>
          </w:p>
        </w:tc>
        <w:tc>
          <w:tcPr>
            <w:tcW w:w="80" w:type="dxa"/>
            <w:vAlign w:val="bottom"/>
            <w:tcBorders>
              <w:bottom w:val="single" w:sz="8" w:color="D9D9D9"/>
            </w:tcBorders>
          </w:tcPr>
          <w:p>
            <w:pPr>
              <w:spacing w:after="0"/>
              <w:rPr>
                <w:sz w:val="9"/>
                <w:szCs w:val="9"/>
                <w:color w:val="auto"/>
              </w:rPr>
            </w:pPr>
          </w:p>
        </w:tc>
        <w:tc>
          <w:tcPr>
            <w:tcW w:w="560" w:type="dxa"/>
            <w:vAlign w:val="bottom"/>
            <w:tcBorders>
              <w:bottom w:val="single" w:sz="8" w:color="D9D9D9"/>
            </w:tcBorders>
          </w:tcPr>
          <w:p>
            <w:pPr>
              <w:spacing w:after="0"/>
              <w:rPr>
                <w:sz w:val="9"/>
                <w:szCs w:val="9"/>
                <w:color w:val="auto"/>
              </w:rPr>
            </w:pPr>
          </w:p>
        </w:tc>
        <w:tc>
          <w:tcPr>
            <w:tcW w:w="60" w:type="dxa"/>
            <w:vAlign w:val="bottom"/>
            <w:tcBorders>
              <w:bottom w:val="single" w:sz="8" w:color="D9D9D9"/>
            </w:tcBorders>
          </w:tcPr>
          <w:p>
            <w:pPr>
              <w:spacing w:after="0"/>
              <w:rPr>
                <w:sz w:val="9"/>
                <w:szCs w:val="9"/>
                <w:color w:val="auto"/>
              </w:rPr>
            </w:pPr>
          </w:p>
        </w:tc>
        <w:tc>
          <w:tcPr>
            <w:tcW w:w="200" w:type="dxa"/>
            <w:vAlign w:val="bottom"/>
            <w:tcBorders>
              <w:bottom w:val="single" w:sz="8" w:color="D9D9D9"/>
            </w:tcBorders>
          </w:tcPr>
          <w:p>
            <w:pPr>
              <w:spacing w:after="0"/>
              <w:rPr>
                <w:sz w:val="9"/>
                <w:szCs w:val="9"/>
                <w:color w:val="auto"/>
              </w:rPr>
            </w:pPr>
          </w:p>
        </w:tc>
        <w:tc>
          <w:tcPr>
            <w:tcW w:w="1120" w:type="dxa"/>
            <w:vAlign w:val="bottom"/>
            <w:tcBorders>
              <w:bottom w:val="single" w:sz="8" w:color="D9D9D9"/>
            </w:tcBorders>
          </w:tcPr>
          <w:p>
            <w:pPr>
              <w:spacing w:after="0"/>
              <w:rPr>
                <w:sz w:val="9"/>
                <w:szCs w:val="9"/>
                <w:color w:val="auto"/>
              </w:rPr>
            </w:pPr>
          </w:p>
        </w:tc>
        <w:tc>
          <w:tcPr>
            <w:tcW w:w="780" w:type="dxa"/>
            <w:vAlign w:val="bottom"/>
            <w:tcBorders>
              <w:bottom w:val="single" w:sz="8" w:color="D9D9D9"/>
            </w:tcBorders>
          </w:tcPr>
          <w:p>
            <w:pPr>
              <w:spacing w:after="0"/>
              <w:rPr>
                <w:sz w:val="9"/>
                <w:szCs w:val="9"/>
                <w:color w:val="auto"/>
              </w:rPr>
            </w:pPr>
          </w:p>
        </w:tc>
        <w:tc>
          <w:tcPr>
            <w:tcW w:w="140" w:type="dxa"/>
            <w:vAlign w:val="bottom"/>
            <w:tcBorders>
              <w:bottom w:val="single" w:sz="8" w:color="D9D9D9"/>
            </w:tcBorders>
          </w:tcPr>
          <w:p>
            <w:pPr>
              <w:spacing w:after="0"/>
              <w:rPr>
                <w:sz w:val="9"/>
                <w:szCs w:val="9"/>
                <w:color w:val="auto"/>
              </w:rPr>
            </w:pPr>
          </w:p>
        </w:tc>
        <w:tc>
          <w:tcPr>
            <w:tcW w:w="114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40" w:type="dxa"/>
            <w:vAlign w:val="bottom"/>
            <w:tcBorders>
              <w:bottom w:val="single" w:sz="8" w:color="D9D9D9"/>
            </w:tcBorders>
          </w:tcPr>
          <w:p>
            <w:pPr>
              <w:spacing w:after="0"/>
              <w:rPr>
                <w:sz w:val="9"/>
                <w:szCs w:val="9"/>
                <w:color w:val="auto"/>
              </w:rPr>
            </w:pPr>
          </w:p>
        </w:tc>
        <w:tc>
          <w:tcPr>
            <w:tcW w:w="340" w:type="dxa"/>
            <w:vAlign w:val="bottom"/>
            <w:tcBorders>
              <w:bottom w:val="single" w:sz="8" w:color="D9D9D9"/>
            </w:tcBorders>
          </w:tcPr>
          <w:p>
            <w:pPr>
              <w:spacing w:after="0"/>
              <w:rPr>
                <w:sz w:val="9"/>
                <w:szCs w:val="9"/>
                <w:color w:val="auto"/>
              </w:rPr>
            </w:pPr>
          </w:p>
        </w:tc>
        <w:tc>
          <w:tcPr>
            <w:tcW w:w="940" w:type="dxa"/>
            <w:vAlign w:val="bottom"/>
            <w:tcBorders>
              <w:bottom w:val="single" w:sz="8" w:color="D9D9D9"/>
            </w:tcBorders>
            <w:gridSpan w:val="2"/>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40" w:type="dxa"/>
            <w:vAlign w:val="bottom"/>
            <w:tcBorders>
              <w:bottom w:val="single" w:sz="8" w:color="D9D9D9"/>
            </w:tcBorders>
          </w:tcPr>
          <w:p>
            <w:pPr>
              <w:spacing w:after="0"/>
              <w:rPr>
                <w:sz w:val="9"/>
                <w:szCs w:val="9"/>
                <w:color w:val="auto"/>
              </w:rPr>
            </w:pPr>
          </w:p>
        </w:tc>
        <w:tc>
          <w:tcPr>
            <w:tcW w:w="240" w:type="dxa"/>
            <w:vAlign w:val="bottom"/>
            <w:tcBorders>
              <w:bottom w:val="single" w:sz="8" w:color="D9D9D9"/>
            </w:tcBorders>
          </w:tcPr>
          <w:p>
            <w:pPr>
              <w:spacing w:after="0"/>
              <w:rPr>
                <w:sz w:val="9"/>
                <w:szCs w:val="9"/>
                <w:color w:val="auto"/>
              </w:rPr>
            </w:pPr>
          </w:p>
        </w:tc>
        <w:tc>
          <w:tcPr>
            <w:tcW w:w="820" w:type="dxa"/>
            <w:vAlign w:val="bottom"/>
            <w:tcBorders>
              <w:bottom w:val="single" w:sz="8" w:color="D9D9D9"/>
              <w:right w:val="single" w:sz="8" w:color="D9D9D9"/>
            </w:tcBorders>
            <w:gridSpan w:val="2"/>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2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07/23/2021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w w:val="95"/>
              </w:rPr>
              <w:t>12/31/2021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12/31/2022</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6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USCB Financial Holdings, Inc. (USCB)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60" w:type="dxa"/>
            <w:vAlign w:val="bottom"/>
            <w:gridSpan w:val="6"/>
          </w:tcPr>
          <w:p>
            <w:pPr>
              <w:spacing w:after="0"/>
              <w:rPr>
                <w:sz w:val="20"/>
                <w:szCs w:val="20"/>
                <w:color w:val="auto"/>
              </w:rPr>
            </w:pPr>
            <w:r>
              <w:rPr>
                <w:rFonts w:ascii="Arial" w:cs="Arial" w:eastAsia="Arial" w:hAnsi="Arial"/>
                <w:sz w:val="13"/>
                <w:szCs w:val="13"/>
                <w:color w:val="auto"/>
              </w:rPr>
              <w:t>NASDAQ Bank (BANK)</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100</w:t>
            </w:r>
          </w:p>
        </w:tc>
        <w:tc>
          <w:tcPr>
            <w:tcW w:w="420" w:type="dxa"/>
            <w:vAlign w:val="bottom"/>
            <w:gridSpan w:val="4"/>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115</w:t>
            </w:r>
          </w:p>
        </w:tc>
        <w:tc>
          <w:tcPr>
            <w:tcW w:w="320" w:type="dxa"/>
            <w:vAlign w:val="bottom"/>
            <w:gridSpan w:val="4"/>
          </w:tcPr>
          <w:p>
            <w:pPr>
              <w:jc w:val="right"/>
              <w:ind w:right="96"/>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NASDAQ ABA Community Bank (QABA)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gridSpan w:val="2"/>
            <w:shd w:val="clear" w:color="auto" w:fill="CCEEFF"/>
          </w:tcPr>
          <w:p>
            <w:pPr>
              <w:spacing w:after="0"/>
              <w:rPr>
                <w:sz w:val="14"/>
                <w:szCs w:val="14"/>
                <w:color w:val="auto"/>
              </w:rPr>
            </w:pPr>
          </w:p>
        </w:tc>
        <w:tc>
          <w:tcPr>
            <w:tcW w:w="38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40" w:type="dxa"/>
            <w:vAlign w:val="bottom"/>
            <w:gridSpan w:val="2"/>
            <w:shd w:val="clear" w:color="auto" w:fill="CCEEFF"/>
          </w:tcPr>
          <w:p>
            <w:pPr>
              <w:spacing w:after="0"/>
              <w:rPr>
                <w:sz w:val="14"/>
                <w:szCs w:val="14"/>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60" w:type="dxa"/>
            <w:vAlign w:val="bottom"/>
            <w:gridSpan w:val="6"/>
          </w:tcPr>
          <w:p>
            <w:pPr>
              <w:spacing w:after="0"/>
              <w:rPr>
                <w:sz w:val="20"/>
                <w:szCs w:val="20"/>
                <w:color w:val="auto"/>
              </w:rPr>
            </w:pPr>
            <w:r>
              <w:rPr>
                <w:rFonts w:ascii="Arial" w:cs="Arial" w:eastAsia="Arial" w:hAnsi="Arial"/>
                <w:sz w:val="13"/>
                <w:szCs w:val="13"/>
                <w:color w:val="auto"/>
                <w:w w:val="97"/>
              </w:rPr>
              <w:t>NASDAQ Composite (IXIC)</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100</w:t>
            </w:r>
          </w:p>
        </w:tc>
        <w:tc>
          <w:tcPr>
            <w:tcW w:w="420" w:type="dxa"/>
            <w:vAlign w:val="bottom"/>
            <w:gridSpan w:val="4"/>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107</w:t>
            </w:r>
          </w:p>
        </w:tc>
        <w:tc>
          <w:tcPr>
            <w:tcW w:w="320" w:type="dxa"/>
            <w:vAlign w:val="bottom"/>
            <w:gridSpan w:val="4"/>
          </w:tcPr>
          <w:p>
            <w:pPr>
              <w:jc w:val="right"/>
              <w:ind w:right="96"/>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Purchases of Equity Securities by Issuer and Other Affiliates</w:t>
      </w:r>
    </w:p>
    <w:p>
      <w:pPr>
        <w:spacing w:after="0" w:line="188"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On January 24, 2022, the Board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otherwise in compliance with Rule 10b-18 under the Exchange Act. As of December 31, 2022, neither the Company nor any of its affiliates had repurchased any Class A common shares of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63" w:lineRule="exact"/>
        <w:rPr>
          <w:sz w:val="20"/>
          <w:szCs w:val="20"/>
          <w:color w:val="auto"/>
        </w:rPr>
      </w:pPr>
    </w:p>
    <w:p>
      <w:pPr>
        <w:ind w:left="660" w:right="659" w:firstLine="256"/>
        <w:spacing w:after="0" w:line="250"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2022 and 2021. This discussion and analysis are best read in conjunction with the Consolidated Financial Statements and related footnotes of our Company presented in Item 8 “Financial Statements and Supplementary Data”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31" w:lineRule="exact"/>
        <w:rPr>
          <w:sz w:val="20"/>
          <w:szCs w:val="20"/>
          <w:color w:val="auto"/>
        </w:rPr>
      </w:pPr>
    </w:p>
    <w:p>
      <w:pPr>
        <w:jc w:val="both"/>
        <w:ind w:left="660" w:right="679" w:firstLine="256"/>
        <w:spacing w:after="0" w:line="263" w:lineRule="auto"/>
        <w:rPr>
          <w:sz w:val="20"/>
          <w:szCs w:val="20"/>
          <w:color w:val="auto"/>
        </w:rPr>
      </w:pPr>
      <w:r>
        <w:rPr>
          <w:rFonts w:ascii="Arial" w:cs="Arial" w:eastAsia="Arial" w:hAnsi="Arial"/>
          <w:sz w:val="14"/>
          <w:szCs w:val="14"/>
          <w:i w:val="1"/>
          <w:iCs w:val="1"/>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42" w:lineRule="exact"/>
        <w:rPr>
          <w:sz w:val="20"/>
          <w:szCs w:val="20"/>
          <w:color w:val="auto"/>
        </w:rPr>
      </w:pPr>
    </w:p>
    <w:p>
      <w:pPr>
        <w:ind w:left="920" w:right="69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920" w:right="71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COVID-19 pandemic and its impact on us, our employees, customers and third-party service providers, and the ultimate extent of the impact of the pandemic and related government stimulus programs;</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successfully manage interest rate risk, credit risk, liquidity risk, and other risks inherent to our industry;</w:t>
      </w:r>
    </w:p>
    <w:p>
      <w:pPr>
        <w:ind w:left="920" w:right="71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920" w:right="63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920" w:right="69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implementation of the Current Expected Credit Losses (“CECL”) standard on January 1, 2023;</w:t>
      </w:r>
    </w:p>
    <w:p>
      <w:pPr>
        <w:ind w:left="920" w:right="699" w:hanging="257"/>
        <w:spacing w:after="0" w:line="238"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effects of climate change;</w:t>
      </w:r>
    </w:p>
    <w:p>
      <w:pPr>
        <w:spacing w:after="0" w:line="9" w:lineRule="exact"/>
        <w:rPr>
          <w:rFonts w:ascii="Arial" w:cs="Arial" w:eastAsia="Arial" w:hAnsi="Arial"/>
          <w:sz w:val="14"/>
          <w:szCs w:val="14"/>
          <w:color w:val="auto"/>
        </w:rPr>
      </w:pP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ind w:left="920" w:right="69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potential monetary fluctuations;</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spacing w:after="0" w:line="9" w:lineRule="exact"/>
        <w:rPr>
          <w:rFonts w:ascii="Arial" w:cs="Arial" w:eastAsia="Arial" w:hAnsi="Arial"/>
          <w:sz w:val="14"/>
          <w:szCs w:val="14"/>
          <w:color w:val="auto"/>
        </w:rPr>
      </w:pP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margin;</w:t>
      </w:r>
    </w:p>
    <w:p>
      <w:pPr>
        <w:ind w:left="920" w:right="719" w:hanging="257"/>
        <w:spacing w:after="0" w:line="246" w:lineRule="auto"/>
        <w:tabs>
          <w:tab w:leader="none" w:pos="9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risks described in this Annual Report and other filings we make with the SEC.</w:t>
      </w:r>
    </w:p>
    <w:p>
      <w:pPr>
        <w:spacing w:after="0" w:line="15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herein and in</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52" w:lineRule="auto"/>
        <w:rPr>
          <w:sz w:val="20"/>
          <w:szCs w:val="20"/>
          <w:color w:val="auto"/>
        </w:rPr>
      </w:pPr>
      <w:r>
        <w:rPr>
          <w:rFonts w:ascii="Arial" w:cs="Arial" w:eastAsia="Arial" w:hAnsi="Arial"/>
          <w:sz w:val="14"/>
          <w:szCs w:val="14"/>
          <w:color w:val="auto"/>
        </w:rPr>
        <w:t>the reports the Company filed or will file with the SEC and, for periods prior to the completion of the bank holding company reorganization in December 2021, the Bank filed with the FDIC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7" w:lineRule="exact"/>
        <w:rPr>
          <w:sz w:val="20"/>
          <w:szCs w:val="20"/>
          <w:color w:val="auto"/>
        </w:rPr>
      </w:pPr>
    </w:p>
    <w:p>
      <w:pPr>
        <w:ind w:left="660" w:right="659" w:firstLine="256"/>
        <w:spacing w:after="0" w:line="247" w:lineRule="auto"/>
        <w:rPr>
          <w:sz w:val="20"/>
          <w:szCs w:val="20"/>
          <w:color w:val="auto"/>
        </w:rPr>
      </w:pPr>
      <w:r>
        <w:rPr>
          <w:rFonts w:ascii="Arial" w:cs="Arial" w:eastAsia="Arial" w:hAnsi="Arial"/>
          <w:sz w:val="14"/>
          <w:szCs w:val="14"/>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For the year ended December 31, 2022, the Company reported net income of $20.1 million compared with net income of $21.1 million for the year ended December 31, 2021.</w:t>
      </w:r>
    </w:p>
    <w:p>
      <w:pPr>
        <w:spacing w:after="0" w:line="153"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significant highlights are of note for the year ended December 31, 2022:</w:t>
      </w:r>
    </w:p>
    <w:p>
      <w:pPr>
        <w:spacing w:after="0" w:line="170" w:lineRule="exact"/>
        <w:rPr>
          <w:sz w:val="20"/>
          <w:szCs w:val="20"/>
          <w:color w:val="auto"/>
        </w:rPr>
      </w:pPr>
    </w:p>
    <w:p>
      <w:pPr>
        <w:ind w:left="1180" w:right="67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totaled $63.7 million, an increase of $11.2 million or 21.3%, compared to $52.5 million for the year ended December 31, 2021.</w:t>
      </w:r>
    </w:p>
    <w:p>
      <w:pPr>
        <w:spacing w:after="0" w:line="152"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interest margin (“NIM”) was 3.38% for the year ended December 31, 2022 and 3.26% for the year ended 2021. The yield on earning assets increased to 3.78% for 2022, compared to 3.52% for 2021.</w:t>
      </w:r>
    </w:p>
    <w:p>
      <w:pPr>
        <w:spacing w:after="0" w:line="152" w:lineRule="exact"/>
        <w:rPr>
          <w:rFonts w:ascii="Arial" w:cs="Arial" w:eastAsia="Arial" w:hAnsi="Arial"/>
          <w:sz w:val="14"/>
          <w:szCs w:val="14"/>
          <w:color w:val="auto"/>
        </w:rPr>
      </w:pPr>
    </w:p>
    <w:p>
      <w:pPr>
        <w:ind w:left="1180" w:right="63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assets grew to $2.1 billion at December 31, 2022, an increase of $231.9 million or 12.5%, compared to December 31, 2021.</w:t>
      </w:r>
    </w:p>
    <w:p>
      <w:pPr>
        <w:spacing w:after="0" w:line="152" w:lineRule="exact"/>
        <w:rPr>
          <w:rFonts w:ascii="Arial" w:cs="Arial" w:eastAsia="Arial" w:hAnsi="Arial"/>
          <w:sz w:val="14"/>
          <w:szCs w:val="14"/>
          <w:color w:val="auto"/>
        </w:rPr>
      </w:pPr>
    </w:p>
    <w:p>
      <w:pPr>
        <w:ind w:left="1180" w:right="71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loans grew to $1.5 billion at December 31, 2022, an increase of $317.3 million or 26.7%, compared to December 31, 2021.</w:t>
      </w:r>
    </w:p>
    <w:p>
      <w:pPr>
        <w:spacing w:after="0" w:line="152"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 of interest-bearing liabilities increased to 0.66% for the year ended December 31, 2022 from 0.45% in December 31, 2021 as a result of the increase in market interest rates.</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Return on average assets for the year ended December 31, 2022 was 1.01% compared to 1.24% in 2021.</w:t>
      </w:r>
    </w:p>
    <w:p>
      <w:pPr>
        <w:spacing w:after="0" w:line="169"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Return on average stockholders’ equity for the year ended December 31, 2022 was 10.73% compared to 11.45% in 2021.</w:t>
      </w:r>
    </w:p>
    <w:p>
      <w:pPr>
        <w:spacing w:after="0" w:line="152"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Nonperforming assets was $0.0 for the year ended December 31, 2022 compared to $1.2 million at December 31, 2021.</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maintained its strong capital position. As of December 31, 2022, the Bank was well-capitalized, with a total risk-based capital ratio of 13.65%, a tier 1 risk-based capital ratio of 12.53%, a common equity tier 1 capital ratio of 12.53%, and a leverage ratio of 9.61%. As of December 31, 2022 and 2021, all of our regulatory capital ratios exceeded the thresholds to be well-capitalized under the applicable bank regulatory requirements.</w:t>
      </w:r>
    </w:p>
    <w:p>
      <w:pPr>
        <w:spacing w:after="0" w:line="145" w:lineRule="exact"/>
        <w:rPr>
          <w:rFonts w:ascii="Arial" w:cs="Arial" w:eastAsia="Arial" w:hAnsi="Arial"/>
          <w:sz w:val="14"/>
          <w:szCs w:val="14"/>
          <w:color w:val="auto"/>
        </w:rPr>
      </w:pPr>
    </w:p>
    <w:p>
      <w:pPr>
        <w:jc w:val="both"/>
        <w:ind w:left="1180" w:right="699" w:hanging="261"/>
        <w:spacing w:after="0" w:line="253"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became the parent bank holding company of the Bank effective December 30, 2021. Each share of the Bank was exchanged for one share of the Company, making the Bank a wholly owned subsidiary of the Company. Shares of the Company trade under ticker symbol “USCB”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8"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59" w:firstLine="256"/>
        <w:spacing w:after="0" w:line="270" w:lineRule="auto"/>
        <w:rPr>
          <w:sz w:val="20"/>
          <w:szCs w:val="20"/>
          <w:color w:val="auto"/>
        </w:rPr>
      </w:pPr>
      <w:r>
        <w:rPr>
          <w:rFonts w:ascii="Arial" w:cs="Arial" w:eastAsia="Arial" w:hAnsi="Arial"/>
          <w:sz w:val="13"/>
          <w:szCs w:val="13"/>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financial statement presentation. The total ACL includes activity related to allowances calculated in accordance with Accounting Standards Codification (“ASC”) 310, Receivables, and ASC 450, Contingencies.</w:t>
      </w:r>
    </w:p>
    <w:p>
      <w:pPr>
        <w:spacing w:after="0" w:line="13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Throughout the year, management estimates the probable incurred losses in the loan portfolio to determine if the ACL is adequate to absorb such losses. The ACL consists of specific and general components. The specific component relates to loans that are individually classified as impaired. We follow a loan review program to evaluate the credit risk in the loan portfolio. Loans that have been identified as impaired are reviewed on a quarterly basis in order to determine whether a specific reserve is required. The general component covers non-impaired loans and is based on industry and our specific historical loan loss experience, volume, growth and composition of the loan portfolio, the evaluation of our loan portfolio through our internal loan review process, general current economic conditions both internal and external to us that may affect the borrower’s ability to pay, value of collateral and other qualitative relevant risk factors. Based on a review of these estimates, we adjust the ACL to a level determined by management to be adequate. Estimates of credit losses are inherently subjective as they involve an exercise of judgment.</w:t>
      </w:r>
    </w:p>
    <w:p>
      <w:pPr>
        <w:spacing w:after="0" w:line="160"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CARES Act, as amended by the Consolidated Appropriations Act, 2021, specified that COVID-19 related loan modifications executed between March 1, 2020 and the earlier of (i) 60 days after the date of termination of the national emergency declared by President Trump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Restructurings by Creditors.” These modifications include short-term (i.e., up to six months) modifications such as payment deferrals, fee waivers, extensions of repayment terms, or delays in payment that are insignificant. The Company’s charge-off policy is to continuously review all impaired loans to monitor the Company’s ability to collect them in full at the applicable maturity date and/or in accordance with terms of any restructurings. For loans which are collateral dependent, or deemed to be uncollectible, any shortfall in the fair value of the collateral relative to the recorded investment in the loan is charged off. The amount charged-off conforms to the amount necessary to comply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Other than temporary impairment</w:t>
      </w:r>
    </w:p>
    <w:p>
      <w:pPr>
        <w:spacing w:after="0" w:line="186"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3"/>
          <w:szCs w:val="13"/>
          <w:color w:val="auto"/>
        </w:rPr>
        <w:t>The Company reviews investments quarterly for other than temporary impairment (“OTTI”). The following primary factors are considered for securities identified for OTTI testing: percent decline in fair value, rating downgrades, subordination, duration, the Company's ability to hold the debt security, and the ability of the issuers to pay all amounts due in accordance with the contractual terms. Prices obtained from pricing services are usually not adjusted. Based on our internal review procedures and the fair values provided by the pricing services, we believe that the fair values provided by the pricing services are consistent with the principles of ASC Topic 820, Fair Value Measurement. The Company may at times validate the observed prices using the observed prices for similar securities to determine the fair value of its securities.</w:t>
      </w:r>
    </w:p>
    <w:p>
      <w:pPr>
        <w:spacing w:after="0" w:line="144"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Changes in the fair values, as a result of deteriorating economic conditions and credit spread changes, should only be temporary. Further, management believes that the Company’s other sources of liquidity, as well as the cash flow from principal and interest payments from its securities portfolio, reduces the risk that losses would be realized as a result of a need to sell securities to obtain liquidity.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8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onereportable operating segment.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86"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5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r>
      <w:tr>
        <w:trPr>
          <w:trHeight w:val="171"/>
        </w:trPr>
        <w:tc>
          <w:tcPr>
            <w:tcW w:w="5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41"/>
        </w:trPr>
        <w:tc>
          <w:tcPr>
            <w:tcW w:w="50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Balance Sheets:</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300" w:type="dxa"/>
            <w:vAlign w:val="bottom"/>
            <w:gridSpan w:val="2"/>
          </w:tcPr>
          <w:p>
            <w:pPr>
              <w:jc w:val="right"/>
              <w:ind w:right="172"/>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2,085,834</w:t>
            </w:r>
          </w:p>
        </w:tc>
        <w:tc>
          <w:tcPr>
            <w:tcW w:w="3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1,853,939</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1,507,338</w:t>
            </w: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300" w:type="dxa"/>
            <w:vAlign w:val="bottom"/>
            <w:gridSpan w:val="2"/>
          </w:tcPr>
          <w:p>
            <w:pPr>
              <w:jc w:val="right"/>
              <w:ind w:right="172"/>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1,829,281</w:t>
            </w:r>
          </w:p>
        </w:tc>
        <w:tc>
          <w:tcPr>
            <w:tcW w:w="3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1,590,379</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4"/>
                <w:szCs w:val="14"/>
                <w:color w:val="auto"/>
              </w:rPr>
            </w:pPr>
          </w:p>
        </w:tc>
      </w:tr>
      <w:tr>
        <w:trPr>
          <w:trHeight w:val="160"/>
        </w:trPr>
        <w:tc>
          <w:tcPr>
            <w:tcW w:w="50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5040" w:type="dxa"/>
            <w:vAlign w:val="bottom"/>
          </w:tcPr>
          <w:p>
            <w:pPr>
              <w:spacing w:after="0"/>
              <w:rPr>
                <w:sz w:val="20"/>
                <w:szCs w:val="20"/>
                <w:color w:val="auto"/>
              </w:rPr>
            </w:pPr>
            <w:r>
              <w:rPr>
                <w:rFonts w:ascii="Arial" w:cs="Arial" w:eastAsia="Arial" w:hAnsi="Arial"/>
                <w:sz w:val="11"/>
                <w:szCs w:val="11"/>
                <w:color w:val="auto"/>
              </w:rPr>
              <w:t>(1) Loan amounts include deferred fees/costs.</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50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8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63,661</w:t>
            </w:r>
          </w:p>
        </w:tc>
        <w:tc>
          <w:tcPr>
            <w:tcW w:w="86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52,496</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5,228</w:t>
            </w:r>
          </w:p>
        </w:tc>
        <w:tc>
          <w:tcPr>
            <w:tcW w:w="86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10,698</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39,309</w:t>
            </w:r>
          </w:p>
        </w:tc>
        <w:tc>
          <w:tcPr>
            <w:tcW w:w="86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35,677</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20,141</w:t>
            </w:r>
          </w:p>
        </w:tc>
        <w:tc>
          <w:tcPr>
            <w:tcW w:w="86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21,077</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income (loss) available to common stockholders</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20,141</w:t>
            </w:r>
          </w:p>
        </w:tc>
        <w:tc>
          <w:tcPr>
            <w:tcW w:w="86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(70,585)</w:t>
            </w:r>
          </w:p>
        </w:tc>
      </w:tr>
      <w:tr>
        <w:trPr>
          <w:trHeight w:val="17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Profitability:</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Efficiency ratio</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9"/>
              </w:rPr>
              <w:t>57.06%</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5"/>
              </w:rPr>
              <w:t>56.31%</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interest margin</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Net income for the year ended December 31, 2022 was $20.1 million, compared with net income of $21.1 million for the same period in 2021. The Company reported net income per diluted share for the year ended December 31, 2022 of $1.00 compared to net loss per diluted share for the same period in 2021 of $6.72. The net loss per diluted share for the year ended 2021 was attributable to the one-time reduction in net income available to common stockholders reflecting the exchange and redemption of the Class C and Class D preferred shares. During the third quarter of 2021, the Company completed an exchange of the outstanding preferred shares for Class A common shares and thereafter redeemed the remaining outstanding preferred shares, at a liquidation value that exceeded book value, causing a one-time reduction in net income available to common stockholders of $89.6 million.At December 31, 2022, there were no issued and outstanding preferred shares.</w:t>
      </w:r>
    </w:p>
    <w:p>
      <w:pPr>
        <w:spacing w:after="0" w:line="147"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Adjusted diluted net income per common share (non-GAAP) for the year ended December 31, 2022 was $1.00 compared to adjusted net income per diluted share (non-GAAP) for the same period in 2021 of $1.81. Adjusted net income per diluted share (non-GAAP) for the year ended 2021 excludes the $89.6 million one-time accounting impact of the exchange and redemption of the preferred shares. To see a reconciliation of non-GAAP measures, to GAAP measures refer to section below “Reconciliation and Management Explanation of Non-GAAP Financial Measures”.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Net interest income is the difference between interest earned on interest 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60"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benefit of these non-interest-bearing sources.</w:t>
      </w:r>
    </w:p>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(in thousands):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7"/>
              </w:rPr>
              <w:t>Years Ended December 31,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36"/>
              <w:spacing w:after="0" w:line="126"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16"/>
              <w:spacing w:after="0" w:line="126"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3"/>
                <w:szCs w:val="13"/>
                <w:color w:val="auto"/>
              </w:rPr>
            </w:pPr>
          </w:p>
        </w:tc>
        <w:tc>
          <w:tcPr>
            <w:tcW w:w="94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rPr>
              <w:t>Yield/Rate</w:t>
            </w: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3"/>
                <w:szCs w:val="13"/>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Yield/Rate</w:t>
            </w:r>
          </w:p>
        </w:tc>
        <w:tc>
          <w:tcPr>
            <w:tcW w:w="20" w:type="dxa"/>
            <w:vAlign w:val="bottom"/>
          </w:tcPr>
          <w:p>
            <w:pPr>
              <w:spacing w:after="0"/>
              <w:rPr>
                <w:sz w:val="13"/>
                <w:szCs w:val="13"/>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270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0"/>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line="161"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1,341,693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60,825</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4.53</w:t>
            </w:r>
          </w:p>
        </w:tc>
        <w:tc>
          <w:tcPr>
            <w:tcW w:w="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1,116,142</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ind w:left="10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470,508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9,346</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1.99 %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403,677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7,886</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1.95 %</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interest 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70,873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3"/>
                <w:szCs w:val="13"/>
                <w:color w:val="auto"/>
              </w:rPr>
              <w:t>1.31</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92,430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1,883,074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71,100</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3.78 %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1,612,249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56,722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3.52 %</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107,536</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89,409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10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1,990,610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1,701,658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270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0"/>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0.13</w:t>
            </w:r>
          </w:p>
        </w:tc>
        <w:tc>
          <w:tcPr>
            <w:tcW w:w="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ind w:left="100"/>
              <w:spacing w:after="0"/>
              <w:rPr>
                <w:sz w:val="20"/>
                <w:szCs w:val="20"/>
                <w:color w:val="auto"/>
              </w:rPr>
            </w:pPr>
            <w:r>
              <w:rPr>
                <w:rFonts w:ascii="Arial" w:cs="Arial" w:eastAsia="Arial" w:hAnsi="Arial"/>
                <w:sz w:val="13"/>
                <w:szCs w:val="13"/>
                <w:color w:val="auto"/>
              </w:rPr>
              <w:t>Saving and money market deposits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803,426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5,173</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0.64 %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619,810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2,082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0.34 %</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220,319</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0.68</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235,127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100" w:type="dxa"/>
            <w:vAlign w:val="bottom"/>
          </w:tcPr>
          <w:p>
            <w:pPr>
              <w:spacing w:after="0"/>
              <w:rPr>
                <w:sz w:val="13"/>
                <w:szCs w:val="13"/>
                <w:color w:val="auto"/>
              </w:rPr>
            </w:pPr>
          </w:p>
        </w:tc>
        <w:tc>
          <w:tcPr>
            <w:tcW w:w="2600" w:type="dxa"/>
            <w:vAlign w:val="bottom"/>
          </w:tcPr>
          <w:p>
            <w:pPr>
              <w:ind w:left="100"/>
              <w:spacing w:after="0" w:line="146" w:lineRule="exact"/>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1,088,580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6,768</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0.62 %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907,316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3,672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0.40 %</w:t>
            </w:r>
          </w:p>
        </w:tc>
        <w:tc>
          <w:tcPr>
            <w:tcW w:w="20" w:type="dxa"/>
            <w:vAlign w:val="bottom"/>
          </w:tcPr>
          <w:p>
            <w:pPr>
              <w:spacing w:after="0"/>
              <w:rPr>
                <w:sz w:val="13"/>
                <w:szCs w:val="13"/>
                <w:color w:val="auto"/>
              </w:rPr>
            </w:pPr>
          </w:p>
        </w:tc>
      </w:tr>
      <w:tr>
        <w:trPr>
          <w:trHeight w:val="165"/>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38,463</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1.74</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9019"/>
          </w:cols>
          <w:pgMar w:left="1440" w:top="491" w:right="1440" w:bottom="1440" w:gutter="0" w:footer="0" w:header="0"/>
        </w:sectPr>
      </w:pPr>
    </w:p>
    <w:p>
      <w:pPr>
        <w:ind w:left="860"/>
        <w:spacing w:after="0"/>
        <w:rPr>
          <w:sz w:val="20"/>
          <w:szCs w:val="20"/>
          <w:color w:val="auto"/>
        </w:rPr>
      </w:pPr>
      <w:r>
        <w:rPr>
          <w:rFonts w:ascii="Arial" w:cs="Arial" w:eastAsia="Arial" w:hAnsi="Arial"/>
          <w:sz w:val="13"/>
          <w:szCs w:val="13"/>
          <w:color w:val="auto"/>
        </w:rPr>
        <w:t>Total interest-bearing liabilities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Non-interest bearing demand deposits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non-interest-bearing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spacing w:after="0"/>
              <w:rPr>
                <w:sz w:val="20"/>
                <w:szCs w:val="20"/>
                <w:color w:val="auto"/>
              </w:rPr>
            </w:pPr>
            <w:r>
              <w:rPr>
                <w:rFonts w:ascii="Arial" w:cs="Arial" w:eastAsia="Arial" w:hAnsi="Arial"/>
                <w:sz w:val="13"/>
                <w:szCs w:val="13"/>
                <w:color w:val="auto"/>
              </w:rPr>
              <w:t>1,127,043</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7,439</w:t>
            </w:r>
          </w:p>
        </w:tc>
        <w:tc>
          <w:tcPr>
            <w:tcW w:w="840" w:type="dxa"/>
            <w:vAlign w:val="bottom"/>
          </w:tcPr>
          <w:p>
            <w:pPr>
              <w:jc w:val="right"/>
              <w:ind w:right="156"/>
              <w:spacing w:after="0"/>
              <w:rPr>
                <w:sz w:val="20"/>
                <w:szCs w:val="20"/>
                <w:color w:val="auto"/>
              </w:rPr>
            </w:pPr>
            <w:r>
              <w:rPr>
                <w:rFonts w:ascii="Arial" w:cs="Arial" w:eastAsia="Arial" w:hAnsi="Arial"/>
                <w:sz w:val="13"/>
                <w:szCs w:val="13"/>
                <w:color w:val="auto"/>
              </w:rPr>
              <w:t>0.66 %</w:t>
            </w:r>
          </w:p>
        </w:tc>
        <w:tc>
          <w:tcPr>
            <w:tcW w:w="660" w:type="dxa"/>
            <w:vAlign w:val="bottom"/>
          </w:tcPr>
          <w:p>
            <w:pPr>
              <w:jc w:val="right"/>
              <w:spacing w:after="0"/>
              <w:rPr>
                <w:sz w:val="20"/>
                <w:szCs w:val="20"/>
                <w:color w:val="auto"/>
              </w:rPr>
            </w:pPr>
            <w:r>
              <w:rPr>
                <w:rFonts w:ascii="Arial" w:cs="Arial" w:eastAsia="Arial" w:hAnsi="Arial"/>
                <w:sz w:val="13"/>
                <w:szCs w:val="13"/>
                <w:color w:val="auto"/>
              </w:rPr>
              <w:t>943,316</w:t>
            </w:r>
          </w:p>
        </w:tc>
        <w:tc>
          <w:tcPr>
            <w:tcW w:w="40" w:type="dxa"/>
            <w:vAlign w:val="bottom"/>
          </w:tcPr>
          <w:p>
            <w:pPr>
              <w:spacing w:after="0"/>
              <w:rPr>
                <w:sz w:val="14"/>
                <w:szCs w:val="14"/>
                <w:color w:val="auto"/>
              </w:rPr>
            </w:pP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4,226</w:t>
            </w:r>
          </w:p>
        </w:tc>
        <w:tc>
          <w:tcPr>
            <w:tcW w:w="640" w:type="dxa"/>
            <w:vAlign w:val="bottom"/>
          </w:tcPr>
          <w:p>
            <w:pPr>
              <w:jc w:val="right"/>
              <w:spacing w:after="0"/>
              <w:rPr>
                <w:sz w:val="20"/>
                <w:szCs w:val="20"/>
                <w:color w:val="auto"/>
              </w:rPr>
            </w:pPr>
            <w:r>
              <w:rPr>
                <w:rFonts w:ascii="Arial" w:cs="Arial" w:eastAsia="Arial" w:hAnsi="Arial"/>
                <w:sz w:val="13"/>
                <w:szCs w:val="13"/>
                <w:color w:val="auto"/>
              </w:rPr>
              <w:t>0.45 %</w:t>
            </w:r>
          </w:p>
        </w:tc>
      </w:tr>
      <w:tr>
        <w:trPr>
          <w:trHeight w:val="157"/>
        </w:trPr>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645,366</w:t>
            </w:r>
          </w:p>
        </w:tc>
        <w:tc>
          <w:tcPr>
            <w:tcW w:w="4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547,116</w:t>
            </w:r>
          </w:p>
        </w:tc>
        <w:tc>
          <w:tcPr>
            <w:tcW w:w="4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3"/>
                <w:szCs w:val="13"/>
                <w:color w:val="auto"/>
              </w:rPr>
              <w:t>30,449</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27,142</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2920" w:space="440"/>
            <w:col w:w="565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53"/>
        </w:trPr>
        <w:tc>
          <w:tcPr>
            <w:tcW w:w="20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liabilities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1,802,858</w:t>
            </w:r>
          </w:p>
        </w:tc>
        <w:tc>
          <w:tcPr>
            <w:tcW w:w="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1,517,574</w:t>
            </w:r>
          </w:p>
        </w:tc>
        <w:tc>
          <w:tcPr>
            <w:tcW w:w="1620" w:type="dxa"/>
            <w:vAlign w:val="bottom"/>
            <w:tcBorders>
              <w:top w:val="single" w:sz="8" w:color="CCEEFF"/>
            </w:tcBorders>
            <w:shd w:val="clear" w:color="auto" w:fill="CCEEFF"/>
          </w:tcPr>
          <w:p>
            <w:pPr>
              <w:spacing w:after="0"/>
              <w:rPr>
                <w:sz w:val="13"/>
                <w:szCs w:val="13"/>
                <w:color w:val="auto"/>
              </w:rPr>
            </w:pPr>
          </w:p>
        </w:tc>
      </w:tr>
      <w:tr>
        <w:trPr>
          <w:trHeight w:val="171"/>
        </w:trPr>
        <w:tc>
          <w:tcPr>
            <w:tcW w:w="2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Stockholders'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187,752</w:t>
            </w: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184,084</w:t>
            </w:r>
          </w:p>
        </w:tc>
        <w:tc>
          <w:tcPr>
            <w:tcW w:w="1620" w:type="dxa"/>
            <w:vAlign w:val="bottom"/>
            <w:tcBorders>
              <w:bottom w:val="single" w:sz="8" w:color="CCEEFF"/>
            </w:tcBorders>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1,990,610</w:t>
            </w:r>
          </w:p>
        </w:tc>
        <w:tc>
          <w:tcPr>
            <w:tcW w:w="40" w:type="dxa"/>
            <w:vAlign w:val="bottom"/>
            <w:tcBorders>
              <w:bottom w:val="single" w:sz="8" w:color="auto"/>
            </w:tcBorders>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1,701,658</w:t>
            </w:r>
          </w:p>
        </w:tc>
        <w:tc>
          <w:tcPr>
            <w:tcW w:w="1620" w:type="dxa"/>
            <w:vAlign w:val="bottom"/>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700" w:type="dxa"/>
            <w:vAlign w:val="bottom"/>
          </w:tcPr>
          <w:p>
            <w:pPr>
              <w:spacing w:after="0"/>
              <w:rPr>
                <w:sz w:val="20"/>
                <w:szCs w:val="20"/>
                <w:color w:val="auto"/>
              </w:rPr>
            </w:pPr>
            <w:r>
              <w:rPr>
                <w:rFonts w:ascii="Arial" w:cs="Arial" w:eastAsia="Arial" w:hAnsi="Arial"/>
                <w:sz w:val="13"/>
                <w:szCs w:val="13"/>
                <w:color w:val="auto"/>
              </w:rPr>
              <w:t>Net interest income</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63,661</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52,496</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7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5"/>
                <w:szCs w:val="15"/>
                <w:color w:val="auto"/>
                <w:vertAlign w:val="superscript"/>
              </w:rPr>
              <w:t>(3)</w:t>
            </w: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3.12</w:t>
            </w:r>
          </w:p>
        </w:tc>
        <w:tc>
          <w:tcPr>
            <w:tcW w:w="4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4"/>
              </w:rPr>
              <w:t>%</w:t>
            </w:r>
          </w:p>
        </w:tc>
        <w:tc>
          <w:tcPr>
            <w:tcW w:w="9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3.07</w:t>
            </w:r>
          </w:p>
        </w:tc>
        <w:tc>
          <w:tcPr>
            <w:tcW w:w="18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line="172"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(4)</w:t>
            </w: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5"/>
          </w:tcPr>
          <w:p>
            <w:pPr>
              <w:jc w:val="right"/>
              <w:spacing w:after="0" w:line="132" w:lineRule="exact"/>
              <w:rPr>
                <w:sz w:val="20"/>
                <w:szCs w:val="20"/>
                <w:color w:val="auto"/>
              </w:rPr>
            </w:pPr>
            <w:r>
              <w:rPr>
                <w:rFonts w:ascii="Arial" w:cs="Arial" w:eastAsia="Arial" w:hAnsi="Arial"/>
                <w:sz w:val="13"/>
                <w:szCs w:val="13"/>
                <w:color w:val="auto"/>
              </w:rPr>
              <w:t>3.38 %</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3.26 %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201"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Net interest income before the provision for credit losses was $63.7 million for the year ended December 31, 2022, an increase of $11.2 million or 21.3%, from $52.5 million for the year ended December 31, 2021. This increase was primarily attributable to higher income from a larger loan portfolio and higher yield on earning assets.</w:t>
      </w:r>
    </w:p>
    <w:p>
      <w:pPr>
        <w:spacing w:after="0" w:line="152"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Included with loan interest income are PPP fees totaling $1.6 million and $4.5 million for the year ended December 31, 2022 and 2021, respectively. PPP loan fees are fully recognized upon forgiveness. As of December 31, 2022, we had $1.3 million of PPP loans remaining in our portfolio.</w:t>
      </w:r>
    </w:p>
    <w:p>
      <w:pPr>
        <w:spacing w:after="0" w:line="142"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net interest margin was 3.38% for the year ended December 31, 2022 and 3.26% for the year ended 2021. The overall and individual yields for interest-bearing assets and interest-bearing liabilities both increased in 2022 compared to 2021 due primarily to increases in market rates of interest.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ACL represents probable incurred losses in our portfolio. We maintain an adequate ACL that can mitigate probable losses incurred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considers statistical trends and economic conditions and other applicable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type w:val="continuous"/>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Provision for credit loss for the year ended December 31, 2022, was $2.5 million compared to a net reduction of $160 thousand in provision expense for the same period in 2021. The primary driver of the increase was loan growth. The ACL as a percentage of total loans was 1.16% at December 31, 2022 compared to 1.27% at December 31, 2021.</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See “Allowance for Credit Losses” below for further discussion on how the ACL was calculated for the periods presented.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interest income and other types of recurring non-interest income are generated from our operations. Our services and products generate service charges and fees, mainly from our depository accounts. We also generate income from gain on sale of loans though our swap and SBA programs. In addition, we own insurance on several employees and generate income reflecting the increase in the cash surrender value of these policies.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ectPr>
          <w:pgSz w:w="11900" w:h="16838" w:orient="portrait"/>
          <w:cols w:equalWidth="0" w:num="1">
            <w:col w:w="9019"/>
          </w:cols>
          <w:pgMar w:left="1440" w:top="4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Service fees</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Gain (loss) on sale of securities available for sale, net</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loans held for sale,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premises and equipment,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Loan settlement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non-interest income</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income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100" w:type="dxa"/>
            <w:vAlign w:val="bottom"/>
            <w:tcBorders>
              <w:right w:val="single" w:sz="8" w:color="CCEEFF"/>
            </w:tcBorders>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(2,529)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100" w:type="dxa"/>
            <w:vAlign w:val="bottom"/>
            <w:tcBorders>
              <w:right w:val="single" w:sz="8" w:color="CCEEFF"/>
            </w:tcBorders>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right w:val="single" w:sz="8" w:color="CCEEFF"/>
            </w:tcBorders>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5,228</w:t>
            </w:r>
          </w:p>
        </w:tc>
        <w:tc>
          <w:tcPr>
            <w:tcW w:w="100" w:type="dxa"/>
            <w:vAlign w:val="bottom"/>
            <w:tcBorders>
              <w:bottom w:val="single" w:sz="8" w:color="auto"/>
              <w:right w:val="single" w:sz="8" w:color="CCEEFF"/>
            </w:tcBorders>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10,698</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5700" w:space="720"/>
            <w:col w:w="2599"/>
          </w:cols>
          <w:pgMar w:left="1440" w:top="491" w:right="1440" w:bottom="1440" w:gutter="0" w:footer="0" w:header="0"/>
          <w:type w:val="continuous"/>
        </w:sectPr>
      </w:pPr>
    </w:p>
    <w:p>
      <w:pPr>
        <w:jc w:val="both"/>
        <w:ind w:left="660" w:right="679" w:firstLine="256"/>
        <w:spacing w:after="0" w:line="246" w:lineRule="auto"/>
        <w:rPr>
          <w:sz w:val="20"/>
          <w:szCs w:val="20"/>
          <w:color w:val="auto"/>
        </w:rPr>
      </w:pPr>
      <w:r>
        <w:rPr>
          <w:rFonts w:ascii="Arial" w:cs="Arial" w:eastAsia="Arial" w:hAnsi="Arial"/>
          <w:sz w:val="14"/>
          <w:szCs w:val="14"/>
          <w:color w:val="auto"/>
        </w:rPr>
        <w:t>Non-interest income for the year ended December 31, 2022 was $5.2 million compared to $10.7 million for the same period in 2021. This decrease was primarily driven by $2.5 million loss on sale of securities in 2022 and one-time items that generated income in 2021 but not in 2022. One-time items in 2021 include a $2.5 million interest recovery related to a prior lending customer and a gain on the sale of a previously owned building for $983 thousand. In the fourth quarter of 2022, the Company executed a portfolio restructuring strategy which resulted in a sale of $17.0 million of its lower-yielding available-for-sale securities for a loss of $2.0 million. Proceeds from the sale will be reinvested in securities and loans currently yielding higher than the securities that were sold.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w w:val="99"/>
              </w:rPr>
              <w:t>Years Ended December 31,</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5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151"/>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23,943</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21,438</w:t>
            </w:r>
          </w:p>
        </w:tc>
        <w:tc>
          <w:tcPr>
            <w:tcW w:w="20" w:type="dxa"/>
            <w:vAlign w:val="bottom"/>
            <w:shd w:val="clear" w:color="auto" w:fill="CCEEFF"/>
          </w:tcPr>
          <w:p>
            <w:pPr>
              <w:spacing w:after="0"/>
              <w:rPr>
                <w:sz w:val="13"/>
                <w:szCs w:val="13"/>
                <w:color w:val="auto"/>
              </w:rPr>
            </w:pPr>
          </w:p>
        </w:tc>
      </w:tr>
      <w:tr>
        <w:trPr>
          <w:trHeight w:val="171"/>
        </w:trPr>
        <w:tc>
          <w:tcPr>
            <w:tcW w:w="57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5,058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5,257</w:t>
            </w:r>
          </w:p>
        </w:tc>
        <w:tc>
          <w:tcPr>
            <w:tcW w:w="20" w:type="dxa"/>
            <w:vAlign w:val="bottom"/>
          </w:tcPr>
          <w:p>
            <w:pPr>
              <w:spacing w:after="0"/>
              <w:rPr>
                <w:sz w:val="14"/>
                <w:szCs w:val="14"/>
                <w:color w:val="auto"/>
              </w:rPr>
            </w:pPr>
          </w:p>
        </w:tc>
      </w:tr>
      <w:tr>
        <w:trPr>
          <w:trHeight w:val="171"/>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20" w:type="dxa"/>
            <w:vAlign w:val="bottom"/>
            <w:shd w:val="clear" w:color="auto" w:fill="CCEEFF"/>
          </w:tcPr>
          <w:p>
            <w:pPr>
              <w:spacing w:after="0"/>
              <w:rPr>
                <w:sz w:val="14"/>
                <w:szCs w:val="14"/>
                <w:color w:val="auto"/>
              </w:rPr>
            </w:pPr>
          </w:p>
        </w:tc>
      </w:tr>
      <w:tr>
        <w:trPr>
          <w:trHeight w:val="171"/>
        </w:trPr>
        <w:tc>
          <w:tcPr>
            <w:tcW w:w="57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1,454</w:t>
            </w:r>
          </w:p>
        </w:tc>
        <w:tc>
          <w:tcPr>
            <w:tcW w:w="20" w:type="dxa"/>
            <w:vAlign w:val="bottom"/>
          </w:tcPr>
          <w:p>
            <w:pPr>
              <w:spacing w:after="0"/>
              <w:rPr>
                <w:sz w:val="14"/>
                <w:szCs w:val="14"/>
                <w:color w:val="auto"/>
              </w:rPr>
            </w:pPr>
          </w:p>
        </w:tc>
      </w:tr>
      <w:tr>
        <w:trPr>
          <w:trHeight w:val="171"/>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20" w:type="dxa"/>
            <w:vAlign w:val="bottom"/>
            <w:shd w:val="clear" w:color="auto" w:fill="CCEEFF"/>
          </w:tcPr>
          <w:p>
            <w:pPr>
              <w:spacing w:after="0"/>
              <w:rPr>
                <w:sz w:val="14"/>
                <w:szCs w:val="14"/>
                <w:color w:val="auto"/>
              </w:rPr>
            </w:pPr>
          </w:p>
        </w:tc>
      </w:tr>
      <w:tr>
        <w:trPr>
          <w:trHeight w:val="171"/>
        </w:trPr>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5,682</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5,279</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39,309</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35,677</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Non-interest expense for the year ended December 31, 2022 increased $3.6 million or 10.2%, compared to the same period in 2021. The increase is primarily due to an increase in salaries and employee benefit costs of $2.5 million for the year ended December 31, 2022, compared to the same period in 2021. The headcount of full-time equivalent employees increased from 187 at December 31, 2021 to 191 at December 31, 2022. Further, consulting and legal fees and other operating expenses increased $436 thousand or 30.0% and $403 thousand or 7.6%, respectively, during the year ended December 31, 2022 compared to the same period in 2021 due to our first full year of operations as a publicly reporting company. The increase in salaries and employee benefits, consulting and legal fees, and other operating costs has enabled us to support recent growth and has provided us with the necessary technology and required professionals to execute our growth strategy.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type w:val="continuous"/>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8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bank-owned life insurance policies for key employees, purchasing municipal bonds, and overall taxable income will be important elements in determining our effective tax rate.</w:t>
      </w:r>
    </w:p>
    <w:p>
      <w:pPr>
        <w:spacing w:after="0" w:line="159" w:lineRule="exact"/>
        <w:rPr>
          <w:sz w:val="20"/>
          <w:szCs w:val="20"/>
          <w:color w:val="auto"/>
        </w:rPr>
      </w:pPr>
    </w:p>
    <w:p>
      <w:pPr>
        <w:jc w:val="both"/>
        <w:ind w:left="660" w:right="679" w:firstLine="299"/>
        <w:spacing w:after="0" w:line="253" w:lineRule="auto"/>
        <w:rPr>
          <w:sz w:val="20"/>
          <w:szCs w:val="20"/>
          <w:color w:val="auto"/>
        </w:rPr>
      </w:pPr>
      <w:r>
        <w:rPr>
          <w:rFonts w:ascii="Arial" w:cs="Arial" w:eastAsia="Arial" w:hAnsi="Arial"/>
          <w:sz w:val="14"/>
          <w:szCs w:val="14"/>
          <w:color w:val="auto"/>
        </w:rPr>
        <w:t>Income tax expense for the year ended December 31, 2022 was $6.9 million, compared to $6.6 million for the year ended December 31, 2021. The effective tax rate for the year ended December 31, 2022 was 25.6% and for the year ended December 31, 2021 was 23.8%.</w:t>
      </w:r>
    </w:p>
    <w:p>
      <w:pPr>
        <w:spacing w:after="0" w:line="142"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For a further discussion on income taxes, see Note 6 “Income Taxes” to the Consolidated Financial Statements in this Annual Report on Form 10-K.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7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table below sets forth information regarding changes in interest income and interest expense for the periods indicated (in thousands).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rate-volume are proportionately allocated between rate and volume variance.</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8"/>
          </w:tcPr>
          <w:p>
            <w:pPr>
              <w:jc w:val="center"/>
              <w:ind w:right="160"/>
              <w:spacing w:after="0"/>
              <w:rPr>
                <w:sz w:val="20"/>
                <w:szCs w:val="20"/>
                <w:color w:val="auto"/>
              </w:rPr>
            </w:pPr>
            <w:r>
              <w:rPr>
                <w:rFonts w:ascii="Arial" w:cs="Arial" w:eastAsia="Arial" w:hAnsi="Arial"/>
                <w:sz w:val="13"/>
                <w:szCs w:val="13"/>
                <w:b w:val="1"/>
                <w:bCs w:val="1"/>
                <w:color w:val="auto"/>
                <w:w w:val="97"/>
              </w:rPr>
              <w:t>Years Ended 2022 vs. 2021</w:t>
            </w:r>
          </w:p>
        </w:tc>
        <w:tc>
          <w:tcPr>
            <w:tcW w:w="120" w:type="dxa"/>
            <w:vAlign w:val="bottom"/>
          </w:tcPr>
          <w:p>
            <w:pPr>
              <w:spacing w:after="0"/>
              <w:rPr>
                <w:sz w:val="14"/>
                <w:szCs w:val="14"/>
                <w:color w:val="auto"/>
              </w:rPr>
            </w:pPr>
          </w:p>
        </w:tc>
        <w:tc>
          <w:tcPr>
            <w:tcW w:w="2320" w:type="dxa"/>
            <w:vAlign w:val="bottom"/>
            <w:gridSpan w:val="8"/>
          </w:tcPr>
          <w:p>
            <w:pPr>
              <w:jc w:val="right"/>
              <w:ind w:right="420"/>
              <w:spacing w:after="0"/>
              <w:rPr>
                <w:sz w:val="20"/>
                <w:szCs w:val="20"/>
                <w:color w:val="auto"/>
              </w:rPr>
            </w:pPr>
            <w:r>
              <w:rPr>
                <w:rFonts w:ascii="Arial" w:cs="Arial" w:eastAsia="Arial" w:hAnsi="Arial"/>
                <w:sz w:val="13"/>
                <w:szCs w:val="13"/>
                <w:b w:val="1"/>
                <w:bCs w:val="1"/>
                <w:color w:val="auto"/>
              </w:rPr>
              <w:t>Years Ended 2021 vs. 2020</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8"/>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Increase (decrease) due to change in</w:t>
            </w: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7"/>
          </w:tcPr>
          <w:p>
            <w:pPr>
              <w:jc w:val="right"/>
              <w:ind w:right="16"/>
              <w:spacing w:after="0" w:line="140" w:lineRule="exact"/>
              <w:rPr>
                <w:sz w:val="20"/>
                <w:szCs w:val="20"/>
                <w:color w:val="auto"/>
              </w:rPr>
            </w:pPr>
            <w:r>
              <w:rPr>
                <w:rFonts w:ascii="Arial" w:cs="Arial" w:eastAsia="Arial" w:hAnsi="Arial"/>
                <w:sz w:val="13"/>
                <w:szCs w:val="13"/>
                <w:b w:val="1"/>
                <w:bCs w:val="1"/>
                <w:color w:val="auto"/>
                <w:w w:val="96"/>
              </w:rPr>
              <w:t>Increase (decrease) due to change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36"/>
              <w:spacing w:after="0" w:line="115"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Volume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3"/>
                <w:szCs w:val="13"/>
                <w:b w:val="1"/>
                <w:bCs w:val="1"/>
                <w:color w:val="auto"/>
              </w:rPr>
              <w:t>Rate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Change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Volume</w:t>
            </w: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0"/>
        </w:trPr>
        <w:tc>
          <w:tcPr>
            <w:tcW w:w="2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Interest-earning assets:</w:t>
            </w:r>
          </w:p>
        </w:tc>
        <w:tc>
          <w:tcPr>
            <w:tcW w:w="140" w:type="dxa"/>
            <w:vAlign w:val="bottom"/>
            <w:tcBorders>
              <w:top w:val="single" w:sz="8" w:color="auto"/>
              <w:left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9,847</w:t>
            </w:r>
          </w:p>
        </w:tc>
        <w:tc>
          <w:tcPr>
            <w:tcW w:w="1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2,248</w:t>
            </w:r>
          </w:p>
        </w:tc>
        <w:tc>
          <w:tcPr>
            <w:tcW w:w="1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12,095</w:t>
            </w:r>
          </w:p>
        </w:tc>
        <w:tc>
          <w:tcPr>
            <w:tcW w:w="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4,091</w:t>
            </w:r>
          </w:p>
        </w:tc>
        <w:tc>
          <w:tcPr>
            <w:tcW w:w="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(2,439)</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(2,650)</w:t>
            </w: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Other interest earnings assets</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increase (decrease) in interest income</w:t>
            </w:r>
          </w:p>
        </w:tc>
        <w:tc>
          <w:tcPr>
            <w:tcW w:w="140" w:type="dxa"/>
            <w:vAlign w:val="bottom"/>
            <w:tcBorders>
              <w:left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CCEEFF"/>
              <w:right w:val="single" w:sz="8" w:color="CCEEFF"/>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right w:val="single" w:sz="8" w:color="CCEEFF"/>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80" w:type="dxa"/>
            <w:vAlign w:val="bottom"/>
            <w:vMerge w:val="continue"/>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w w:val="82"/>
              </w:rPr>
              <w:t>$</w:t>
            </w:r>
          </w:p>
        </w:tc>
        <w:tc>
          <w:tcPr>
            <w:tcW w:w="74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11,128</w:t>
            </w:r>
          </w:p>
        </w:tc>
        <w:tc>
          <w:tcPr>
            <w:tcW w:w="160" w:type="dxa"/>
            <w:vAlign w:val="bottom"/>
            <w:gridSpan w:val="2"/>
            <w:shd w:val="clear" w:color="auto" w:fill="CCEEFF"/>
          </w:tcPr>
          <w:p>
            <w:pPr>
              <w:jc w:val="right"/>
              <w:ind w:right="12"/>
              <w:spacing w:after="0" w:line="120"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3,250</w:t>
            </w:r>
          </w:p>
        </w:tc>
        <w:tc>
          <w:tcPr>
            <w:tcW w:w="160" w:type="dxa"/>
            <w:vAlign w:val="bottom"/>
            <w:gridSpan w:val="2"/>
            <w:shd w:val="clear" w:color="auto" w:fill="CCEEFF"/>
          </w:tcPr>
          <w:p>
            <w:pPr>
              <w:jc w:val="right"/>
              <w:ind w:right="12"/>
              <w:spacing w:after="0" w:line="120"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14,378</w:t>
            </w:r>
          </w:p>
        </w:tc>
        <w:tc>
          <w:tcPr>
            <w:tcW w:w="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9,328</w:t>
            </w:r>
          </w:p>
        </w:tc>
        <w:tc>
          <w:tcPr>
            <w:tcW w:w="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40"/>
              <w:spacing w:after="0" w:line="120" w:lineRule="exact"/>
              <w:rPr>
                <w:sz w:val="20"/>
                <w:szCs w:val="20"/>
                <w:color w:val="auto"/>
              </w:rPr>
            </w:pPr>
            <w:r>
              <w:rPr>
                <w:rFonts w:ascii="Arial" w:cs="Arial" w:eastAsia="Arial" w:hAnsi="Arial"/>
                <w:sz w:val="13"/>
                <w:szCs w:val="13"/>
                <w:color w:val="auto"/>
              </w:rPr>
              <w:t>(5,239)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4,089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Interest-bearing liabilities:</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Interest-bearing demand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1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(118)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Saving and money market deposits</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3,091</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(1,973)</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(704)</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(2,474)</w:t>
            </w:r>
          </w:p>
        </w:tc>
        <w:tc>
          <w:tcPr>
            <w:tcW w:w="1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(3,178)</w:t>
            </w: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 and repurchase agreements</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(321)</w:t>
            </w:r>
          </w:p>
        </w:tc>
        <w:tc>
          <w:tcPr>
            <w:tcW w:w="1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w w:val="98"/>
              </w:rPr>
              <w:t>Total increase (decrease) in interest expense</w:t>
            </w: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Arial" w:cs="Arial" w:eastAsia="Arial" w:hAnsi="Arial"/>
                <w:sz w:val="13"/>
                <w:szCs w:val="13"/>
                <w:color w:val="auto"/>
              </w:rPr>
              <w:t>572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0" w:lineRule="exact"/>
              <w:rPr>
                <w:sz w:val="20"/>
                <w:szCs w:val="20"/>
                <w:color w:val="auto"/>
              </w:rPr>
            </w:pPr>
            <w:r>
              <w:rPr>
                <w:rFonts w:ascii="Arial" w:cs="Arial" w:eastAsia="Arial" w:hAnsi="Arial"/>
                <w:sz w:val="13"/>
                <w:szCs w:val="13"/>
                <w:color w:val="auto"/>
              </w:rPr>
              <w:t>2,641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0" w:lineRule="exact"/>
              <w:rPr>
                <w:sz w:val="20"/>
                <w:szCs w:val="20"/>
                <w:color w:val="auto"/>
              </w:rPr>
            </w:pPr>
            <w:r>
              <w:rPr>
                <w:rFonts w:ascii="Arial" w:cs="Arial" w:eastAsia="Arial" w:hAnsi="Arial"/>
                <w:sz w:val="13"/>
                <w:szCs w:val="13"/>
                <w:color w:val="auto"/>
              </w:rPr>
              <w:t>3,213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(46)</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(4,764)</w:t>
            </w: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(4,810)</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Increase (decrease) in net interest income</w:t>
            </w: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vMerge w:val="continue"/>
            <w:shd w:val="clear" w:color="auto" w:fill="CCEEFF"/>
          </w:tcPr>
          <w:p>
            <w:pPr>
              <w:spacing w:after="0"/>
              <w:rPr>
                <w:sz w:val="12"/>
                <w:szCs w:val="12"/>
                <w:color w:val="auto"/>
              </w:rPr>
            </w:pPr>
          </w:p>
        </w:tc>
        <w:tc>
          <w:tcPr>
            <w:tcW w:w="140" w:type="dxa"/>
            <w:vAlign w:val="bottom"/>
            <w:tcBorders>
              <w:left w:val="single" w:sz="8" w:color="CCEEFF"/>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10,556</w:t>
            </w: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609</w:t>
            </w: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11,165</w:t>
            </w: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9,374</w:t>
            </w:r>
          </w:p>
        </w:tc>
        <w:tc>
          <w:tcPr>
            <w:tcW w:w="40" w:type="dxa"/>
            <w:vAlign w:val="bottom"/>
            <w:tcBorders>
              <w:bottom w:val="single" w:sz="8" w:color="auto"/>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CCEEFF"/>
            </w:tcBorders>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(475)</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8,899</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01"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Both average yields on interest earning assets and average rates paid on interest bearing liabilities increased in 2022 as a compared to 2021, reflecting the changes in the macro interest rate environment.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Total assets at December 31, 2022, were $2.1 billion, an increase of $231.9 million, or 12.5%, over total assets of $1.9 billion at December 31, 2021. Total loans increased $317.3 million, or 26.7%, to $1.5 billion at December 31, 2022 compared to $1.2 billion at December 31, 2021. The increase in loans includes purchased loans totaling $70.2 million including deferred fees. Total deposits increased by $238.9 million, or 15.0%, to $1.8 billion at December 31, 2022 compared to $1.6 billion at December 31,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7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the assets composition and diversification, and maintain adequate risk-based capital ratios.</w:t>
      </w:r>
    </w:p>
    <w:p>
      <w:pPr>
        <w:spacing w:after="0" w:line="3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an investment guideline,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5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or the ALCO of the Company to ensure an appropriate risk and return profile as well as for adherence to the investment policy.</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As of December 31, 2022, the investment portfolio consisted of available-for-sale (“AFS”) and held-to-maturity (“HTM”) debt securities. During the third quarter of 2022, there were 26 investment securities that was transferred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income and in the carrying value of the HTM securities. Such amounts are amortized over the remaining life of the security. There was no impact to net income on the date of transfer.</w:t>
      </w:r>
    </w:p>
    <w:p>
      <w:pPr>
        <w:spacing w:after="0" w:line="157" w:lineRule="exact"/>
        <w:rPr>
          <w:sz w:val="20"/>
          <w:szCs w:val="20"/>
          <w:color w:val="auto"/>
        </w:rPr>
      </w:pPr>
    </w:p>
    <w:p>
      <w:pPr>
        <w:ind w:left="660" w:right="619" w:firstLine="256"/>
        <w:spacing w:after="0" w:line="245" w:lineRule="auto"/>
        <w:rPr>
          <w:sz w:val="20"/>
          <w:szCs w:val="20"/>
          <w:color w:val="auto"/>
        </w:rPr>
      </w:pPr>
      <w:r>
        <w:rPr>
          <w:rFonts w:ascii="Arial" w:cs="Arial" w:eastAsia="Arial" w:hAnsi="Arial"/>
          <w:sz w:val="14"/>
          <w:szCs w:val="14"/>
          <w:color w:val="auto"/>
        </w:rPr>
        <w:t>The book value of the AFS securities is adjusted monthly for unrealized gain or loss as a valuation allowance, and any gain or loss is reported on an after-tax basis as a component of other comprehensive income in stockholders’ equity. Periodically, we may need to assess whether there have been any events or unexpected economic circumstances to indicate that a security on which there is an unrealized loss is impaired on an other-than-temporary basis (“OTTI”). If the impairment is deemed to be permanent, an analysis would be made considering many factors, including the severity and duration of the impairment, the severity of the event, our intent and ability to hold the security for a period of time sufficient for a recovery in value, recent events specific to the issuer or industry, any related credit events, and for debt securities, external credit ratings and recent downgrades related to deterioration of credit quality. Securities on which there is an unrealized loss that is deemed to be OTTI are written down to fair value, with the write-down recorded as a realized loss under line item “Gain (loss) on sale of securities available-for-sale, net” of the Consolidated Statements of Operations. As of December 31, 2022, there are no securities which management has classified as OTTI. For further discussion of our analysis on impaired investment securities for OTTI, see Note 2 “Investment Securities” to the Consolidated Financial Statements in this Annual Report on Form 10-K.</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AFS and HTM investment securities in aggregate decreased $105.4 million or 20.1% to $418.8 million at December 31, 2022 from $524.2 million at December 31, 2021. Investment securities decreased over the past year as repayments from securities were allocated to fund loan growth. Management reinvested the repayments of securities and income from the sale of securities into higher yielding loans. As of December 31, 2022, securities with a market value of $49.0 million were pledged to secure public deposits. As of December 31, 2022, the Company did not have any tax-exempt securities in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31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31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r>
      <w:tr>
        <w:trPr>
          <w:trHeight w:val="200"/>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4"/>
                <w:szCs w:val="14"/>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118,951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160,506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156,829</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32,244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49,905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50,117</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28,408</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20" w:type="dxa"/>
            <w:vAlign w:val="bottom"/>
            <w:shd w:val="clear" w:color="auto" w:fill="CCEEFF"/>
          </w:tcPr>
          <w:p>
            <w:pPr>
              <w:spacing w:after="0"/>
              <w:rPr>
                <w:sz w:val="14"/>
                <w:szCs w:val="14"/>
                <w:color w:val="auto"/>
              </w:rPr>
            </w:pPr>
          </w:p>
        </w:tc>
      </w:tr>
      <w:tr>
        <w:trPr>
          <w:trHeight w:val="221"/>
        </w:trPr>
        <w:tc>
          <w:tcPr>
            <w:tcW w:w="3800" w:type="dxa"/>
            <w:vAlign w:val="bottom"/>
          </w:tcPr>
          <w:p>
            <w:pPr>
              <w:spacing w:after="0"/>
              <w:rPr>
                <w:sz w:val="19"/>
                <w:szCs w:val="19"/>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280,295</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230,140</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405,853</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9"/>
                <w:szCs w:val="19"/>
                <w:color w:val="auto"/>
              </w:rPr>
            </w:pPr>
          </w:p>
        </w:tc>
      </w:tr>
      <w:tr>
        <w:trPr>
          <w:trHeight w:val="133"/>
        </w:trPr>
        <w:tc>
          <w:tcPr>
            <w:tcW w:w="3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44,914</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39,062</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34,505</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33,904</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68,727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60,925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43,799</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26,352</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11,442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3,013</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13,089</w:t>
            </w:r>
          </w:p>
        </w:tc>
        <w:tc>
          <w:tcPr>
            <w:tcW w:w="20" w:type="dxa"/>
            <w:vAlign w:val="bottom"/>
            <w:shd w:val="clear" w:color="auto" w:fill="CCEEFF"/>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188,699</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122,658</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December 31, 2022 (in thousands, except ratios):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80" w:type="dxa"/>
            <w:vAlign w:val="bottom"/>
            <w:gridSpan w:val="13"/>
          </w:tcPr>
          <w:p>
            <w:pPr>
              <w:ind w:left="40"/>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163"/>
              <w:spacing w:after="0"/>
              <w:rPr>
                <w:sz w:val="20"/>
                <w:szCs w:val="20"/>
                <w:color w:val="auto"/>
              </w:rPr>
            </w:pPr>
            <w:r>
              <w:rPr>
                <w:rFonts w:ascii="Arial" w:cs="Arial" w:eastAsia="Arial" w:hAnsi="Arial"/>
                <w:sz w:val="11"/>
                <w:szCs w:val="11"/>
                <w:b w:val="1"/>
                <w:bCs w:val="1"/>
                <w:color w:val="auto"/>
              </w:rPr>
              <w:t>Within 1 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240"/>
              <w:spacing w:after="0"/>
              <w:rPr>
                <w:sz w:val="20"/>
                <w:szCs w:val="20"/>
                <w:color w:val="auto"/>
              </w:rPr>
            </w:pPr>
            <w:r>
              <w:rPr>
                <w:rFonts w:ascii="Arial" w:cs="Arial" w:eastAsia="Arial" w:hAnsi="Arial"/>
                <w:sz w:val="11"/>
                <w:szCs w:val="11"/>
                <w:b w:val="1"/>
                <w:bCs w:val="1"/>
                <w:color w:val="auto"/>
              </w:rPr>
              <w:t>5 years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jc w:val="right"/>
              <w:ind w:right="446"/>
              <w:spacing w:after="0"/>
              <w:rPr>
                <w:sz w:val="20"/>
                <w:szCs w:val="20"/>
                <w:color w:val="auto"/>
              </w:rPr>
            </w:pPr>
            <w:r>
              <w:rPr>
                <w:rFonts w:ascii="Arial" w:cs="Arial" w:eastAsia="Arial" w:hAnsi="Arial"/>
                <w:sz w:val="11"/>
                <w:szCs w:val="11"/>
                <w:b w:val="1"/>
                <w:bCs w:val="1"/>
                <w:color w:val="auto"/>
              </w:rPr>
              <w:t>10 years</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After 10 years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ind w:left="30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Amortized</w:t>
            </w: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3"/>
          </w:tcPr>
          <w:p>
            <w:pPr>
              <w:ind w:left="100"/>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5"/>
              <w:spacing w:after="0"/>
              <w:rPr>
                <w:sz w:val="20"/>
                <w:szCs w:val="20"/>
                <w:color w:val="auto"/>
              </w:rPr>
            </w:pPr>
            <w:r>
              <w:rPr>
                <w:rFonts w:ascii="Arial" w:cs="Arial" w:eastAsia="Arial" w:hAnsi="Arial"/>
                <w:sz w:val="11"/>
                <w:szCs w:val="11"/>
                <w:color w:val="auto"/>
              </w:rPr>
              <w:t>-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 $</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4"/>
          </w:tcPr>
          <w:p>
            <w:pPr>
              <w:ind w:left="42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10,177</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2.31%</w:t>
            </w:r>
          </w:p>
        </w:tc>
        <w:tc>
          <w:tcPr>
            <w:tcW w:w="160" w:type="dxa"/>
            <w:vAlign w:val="bottom"/>
            <w:gridSpan w:val="2"/>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120"/>
              <w:spacing w:after="0"/>
              <w:rPr>
                <w:sz w:val="20"/>
                <w:szCs w:val="20"/>
                <w:color w:val="auto"/>
              </w:rPr>
            </w:pPr>
            <w:r>
              <w:rPr>
                <w:rFonts w:ascii="Arial" w:cs="Arial" w:eastAsia="Arial" w:hAnsi="Arial"/>
                <w:sz w:val="11"/>
                <w:szCs w:val="11"/>
                <w:color w:val="auto"/>
              </w:rPr>
              <w:t>10,177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1"/>
                <w:szCs w:val="11"/>
                <w:color w:val="auto"/>
              </w:rPr>
              <w:t>2.31%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118,951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118,951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1.57%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73,838</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73,838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1"/>
                <w:szCs w:val="11"/>
                <w:color w:val="auto"/>
              </w:rPr>
              <w:t>1.65%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32,244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2.01%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w:t>
            </w:r>
          </w:p>
        </w:tc>
        <w:tc>
          <w:tcPr>
            <w:tcW w:w="500" w:type="dxa"/>
            <w:vAlign w:val="bottom"/>
            <w:gridSpan w:val="2"/>
          </w:tcPr>
          <w:p>
            <w:pPr>
              <w:ind w:left="140"/>
              <w:spacing w:after="0"/>
              <w:rPr>
                <w:sz w:val="20"/>
                <w:szCs w:val="20"/>
                <w:color w:val="auto"/>
              </w:rPr>
            </w:pPr>
            <w:r>
              <w:rPr>
                <w:rFonts w:ascii="Arial" w:cs="Arial" w:eastAsia="Arial" w:hAnsi="Arial"/>
                <w:sz w:val="11"/>
                <w:szCs w:val="11"/>
                <w:color w:val="auto"/>
              </w:rPr>
              <w:t>2.05%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24,084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25,084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1"/>
                <w:szCs w:val="11"/>
                <w:color w:val="auto"/>
              </w:rPr>
              <w:t>1.74%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15,964</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4.76%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15,964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4.76%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4,037</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w w:val="96"/>
              </w:rPr>
              <w:t>2.50%</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ind w:left="4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2.50%</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16,964</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4.60%</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259,294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280,295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1.88%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1.03%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20,354</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44,914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1.53%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Treasury</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9,841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4.49%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1"/>
                <w:szCs w:val="11"/>
                <w:color w:val="auto"/>
              </w:rPr>
              <w:t>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68,727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4,554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96"/>
              </w:rPr>
              <w:t>1.84%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5,950</w:t>
            </w:r>
          </w:p>
        </w:tc>
        <w:tc>
          <w:tcPr>
            <w:tcW w:w="500" w:type="dxa"/>
            <w:vAlign w:val="bottom"/>
            <w:gridSpan w:val="2"/>
          </w:tcPr>
          <w:p>
            <w:pPr>
              <w:ind w:left="140"/>
              <w:spacing w:after="0"/>
              <w:rPr>
                <w:sz w:val="20"/>
                <w:szCs w:val="20"/>
                <w:color w:val="auto"/>
              </w:rPr>
            </w:pPr>
            <w:r>
              <w:rPr>
                <w:rFonts w:ascii="Arial" w:cs="Arial" w:eastAsia="Arial" w:hAnsi="Arial"/>
                <w:sz w:val="11"/>
                <w:szCs w:val="11"/>
                <w:color w:val="auto"/>
              </w:rPr>
              <w:t>1.74%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32,181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42,685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1"/>
                <w:szCs w:val="11"/>
                <w:color w:val="auto"/>
              </w:rPr>
              <w:t>2.04%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3,088</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11,442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1.67%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1,515</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2.25%</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9,575</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w w:val="96"/>
              </w:rPr>
              <w:t>2.79%</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ind w:left="4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11,090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2.71%</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22,031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1.96%</w:t>
            </w: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29,392</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1.53%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1.92%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187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70" w:type="dxa"/>
            <w:vAlign w:val="bottom"/>
            <w:gridSpan w:val="6"/>
          </w:tcPr>
          <w:p>
            <w:pPr>
              <w:ind w:left="21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185,636</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64.4</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59.2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126,984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6.2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70" w:type="dxa"/>
            <w:vAlign w:val="bottom"/>
            <w:gridSpan w:val="2"/>
          </w:tcPr>
          <w:p>
            <w:pPr>
              <w:jc w:val="right"/>
              <w:ind w:right="60"/>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201"/>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ind w:right="16"/>
              <w:spacing w:after="0"/>
              <w:rPr>
                <w:sz w:val="20"/>
                <w:szCs w:val="20"/>
                <w:color w:val="auto"/>
              </w:rPr>
            </w:pPr>
            <w:r>
              <w:rPr>
                <w:rFonts w:ascii="Arial" w:cs="Arial" w:eastAsia="Arial" w:hAnsi="Arial"/>
                <w:sz w:val="13"/>
                <w:szCs w:val="13"/>
                <w:color w:val="auto"/>
              </w:rPr>
              <w:t>1,507,228</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50" w:type="dxa"/>
            <w:vAlign w:val="bottom"/>
            <w:tcBorders>
              <w:bottom w:val="single" w:sz="8" w:color="CCEEFF"/>
            </w:tcBorders>
          </w:tcPr>
          <w:p>
            <w:pPr>
              <w:spacing w:after="0"/>
              <w:rPr>
                <w:sz w:val="17"/>
                <w:szCs w:val="17"/>
                <w:color w:val="auto"/>
              </w:rPr>
            </w:pPr>
          </w:p>
        </w:tc>
        <w:tc>
          <w:tcPr>
            <w:tcW w:w="81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1,191,659</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shd w:val="clear" w:color="auto" w:fill="CCEEFF"/>
          </w:tcPr>
          <w:p>
            <w:pPr>
              <w:ind w:left="40"/>
              <w:spacing w:after="0" w:line="121" w:lineRule="exact"/>
              <w:rPr>
                <w:sz w:val="20"/>
                <w:szCs w:val="20"/>
                <w:color w:val="auto"/>
              </w:rPr>
            </w:pPr>
            <w:r>
              <w:rPr>
                <w:rFonts w:ascii="Arial" w:cs="Arial" w:eastAsia="Arial" w:hAnsi="Arial"/>
                <w:sz w:val="13"/>
                <w:szCs w:val="13"/>
                <w:color w:val="auto"/>
              </w:rPr>
              <w:t>Less: Unearned income</w:t>
            </w:r>
          </w:p>
        </w:tc>
        <w:tc>
          <w:tcPr>
            <w:tcW w:w="1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50" w:type="dxa"/>
            <w:vAlign w:val="bottom"/>
            <w:tcBorders>
              <w:bottom w:val="single" w:sz="8" w:color="auto"/>
            </w:tcBorders>
            <w:shd w:val="clear" w:color="auto" w:fill="CCEEFF"/>
          </w:tcPr>
          <w:p>
            <w:pPr>
              <w:spacing w:after="0"/>
              <w:rPr>
                <w:sz w:val="10"/>
                <w:szCs w:val="10"/>
                <w:color w:val="auto"/>
              </w:rPr>
            </w:pPr>
          </w:p>
        </w:tc>
        <w:tc>
          <w:tcPr>
            <w:tcW w:w="81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unearned income</w:t>
            </w:r>
          </w:p>
        </w:tc>
        <w:tc>
          <w:tcPr>
            <w:tcW w:w="16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1,507,338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 w:type="dxa"/>
            <w:vAlign w:val="bottom"/>
          </w:tcPr>
          <w:p>
            <w:pPr>
              <w:spacing w:after="0"/>
              <w:rPr>
                <w:sz w:val="13"/>
                <w:szCs w:val="13"/>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1,190,081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17,487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1,489,851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1,175,024</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Tot al gross loans increased by $315.6 million or 26.5% at December 31, 2022 compared to December 31, 20211. The most significant growth was in the commercial real estate and consumer and other loan pools, offset by a decline in the residential real estate and commercial and industrial loan pools. Consumer and other loans increased primarily as result of organic growth from our yacht lending business vertical created in January 2022. Commercial and industrial loans decreased primarily because of continuing PPP loan forgiveness as expected.</w:t>
      </w:r>
    </w:p>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Other than the shifts note above, we do not expect any significant changes over the foreseeable future in the composition of our loan portfolio or in our emphasis on commercial real estate lending. Our loan growth strategy since inception has been reflective of the market in which we operate and of our strategic plan as approved by the Board.</w:t>
      </w:r>
    </w:p>
    <w:p>
      <w:pPr>
        <w:spacing w:after="0" w:line="158"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The growth experienced over the last couple of years is primarily due to implementation of our relationship-based banking model and the success of our relationship managers in competing for new business in a highly competitive metropolitan area. Many of our larger loan clients have lengthy relationships with members of our senior management team or our relationship managers that date back to former institutions.</w:t>
      </w:r>
    </w:p>
    <w:p>
      <w:pPr>
        <w:spacing w:after="0" w:line="156"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December 31, 2022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Due in 1 year 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Due after 5 to 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Due after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less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years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16,199</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9,411</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81,858</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78,168</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69,565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166,885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724,288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9,060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116,289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191,086</w:t>
            </w:r>
          </w:p>
        </w:tc>
        <w:tc>
          <w:tcPr>
            <w:tcW w:w="20" w:type="dxa"/>
            <w:vAlign w:val="bottom"/>
          </w:tcPr>
          <w:p>
            <w:pPr>
              <w:spacing w:after="0"/>
              <w:rPr>
                <w:sz w:val="18"/>
                <w:szCs w:val="18"/>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208,511</w:t>
            </w:r>
          </w:p>
        </w:tc>
        <w:tc>
          <w:tcPr>
            <w:tcW w:w="220" w:type="dxa"/>
            <w:vAlign w:val="bottom"/>
            <w:gridSpan w:val="5"/>
          </w:tcPr>
          <w:p>
            <w:pPr>
              <w:jc w:val="right"/>
              <w:ind w:right="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862,686</w:t>
            </w:r>
          </w:p>
        </w:tc>
        <w:tc>
          <w:tcPr>
            <w:tcW w:w="20" w:type="dxa"/>
            <w:vAlign w:val="bottom"/>
          </w:tcPr>
          <w:p>
            <w:pPr>
              <w:spacing w:after="0"/>
              <w:rPr>
                <w:sz w:val="18"/>
                <w:szCs w:val="18"/>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244,945</w:t>
            </w:r>
          </w:p>
        </w:tc>
        <w:tc>
          <w:tcPr>
            <w:tcW w:w="20" w:type="dxa"/>
            <w:vAlign w:val="bottom"/>
          </w:tcPr>
          <w:p>
            <w:pPr>
              <w:spacing w:after="0"/>
              <w:rPr>
                <w:sz w:val="18"/>
                <w:szCs w:val="18"/>
                <w:color w:val="auto"/>
              </w:rPr>
            </w:pPr>
          </w:p>
        </w:tc>
        <w:tc>
          <w:tcPr>
            <w:tcW w:w="18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160,781</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127,603</w:t>
            </w:r>
          </w:p>
        </w:tc>
        <w:tc>
          <w:tcPr>
            <w:tcW w:w="60" w:type="dxa"/>
            <w:vAlign w:val="bottom"/>
            <w:gridSpan w:val="2"/>
            <w:shd w:val="clear" w:color="auto" w:fill="CCEEFF"/>
          </w:tcPr>
          <w:p>
            <w:pPr>
              <w:spacing w:after="0"/>
              <w:rPr>
                <w:sz w:val="14"/>
                <w:szCs w:val="14"/>
                <w:color w:val="auto"/>
              </w:rPr>
            </w:pPr>
          </w:p>
        </w:tc>
        <w:tc>
          <w:tcPr>
            <w:tcW w:w="160" w:type="dxa"/>
            <w:vAlign w:val="bottom"/>
            <w:gridSpan w:val="3"/>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144,441</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142,813</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575,638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80,908</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718,245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102,132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931,590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191,086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208,511</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862,686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244,945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4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of December 31, 2022, approximately 61.8% of the loans have adjustable/variable rates and 38.2% of the loans have fixed rates. The adjustable/variable loans re-price to different benchmarks and tenors in different periods of time. By contractual characteristics, there are no material concentrations on anniversary repricing. Additionally, it is important to note</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52" w:lineRule="auto"/>
        <w:rPr>
          <w:sz w:val="20"/>
          <w:szCs w:val="20"/>
          <w:color w:val="auto"/>
        </w:rPr>
      </w:pPr>
      <w:r>
        <w:rPr>
          <w:rFonts w:ascii="Arial" w:cs="Arial" w:eastAsia="Arial" w:hAnsi="Arial"/>
          <w:sz w:val="14"/>
          <w:szCs w:val="14"/>
          <w:color w:val="auto"/>
        </w:rPr>
        <w:t>that most of our loans have interest rate floors. This embedded option protects the Company from a decrease in interest rates and positions us to gain in the scenario of higher interest rates.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7"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79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8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967,465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1,503,280</w:t>
            </w:r>
          </w:p>
        </w:tc>
        <w:tc>
          <w:tcPr>
            <w:tcW w:w="600" w:type="dxa"/>
            <w:vAlign w:val="bottom"/>
            <w:gridSpan w:val="4"/>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3,948</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2021</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703,349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1,184,662</w:t>
            </w:r>
          </w:p>
        </w:tc>
        <w:tc>
          <w:tcPr>
            <w:tcW w:w="460" w:type="dxa"/>
            <w:vAlign w:val="bottom"/>
            <w:gridSpan w:val="4"/>
          </w:tcPr>
          <w:p>
            <w:pPr>
              <w:jc w:val="right"/>
              <w:ind w:right="23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5,775</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December 31, 2022 and 2021 (in thousands, except ratios):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Non-accrual loans, less non-accrual TDR loans</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shd w:val="clear" w:color="auto" w:fill="CCEEFF"/>
              </w:rPr>
              <w:t>$</w:t>
            </w:r>
          </w:p>
        </w:tc>
        <w:tc>
          <w:tcPr>
            <w:tcW w:w="4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2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20" w:type="dxa"/>
            <w:vAlign w:val="bottom"/>
            <w:shd w:val="clear" w:color="auto" w:fill="CCEEFF"/>
          </w:tcPr>
          <w:p>
            <w:pPr>
              <w:spacing w:after="0"/>
              <w:rPr>
                <w:sz w:val="13"/>
                <w:szCs w:val="13"/>
                <w:color w:val="auto"/>
              </w:rPr>
            </w:pPr>
          </w:p>
        </w:tc>
      </w:tr>
      <w:tr>
        <w:trPr>
          <w:trHeight w:val="171"/>
        </w:trPr>
        <w:tc>
          <w:tcPr>
            <w:tcW w:w="4900" w:type="dxa"/>
            <w:vAlign w:val="bottom"/>
            <w:gridSpan w:val="2"/>
          </w:tcPr>
          <w:p>
            <w:pPr>
              <w:ind w:left="40"/>
              <w:spacing w:after="0"/>
              <w:rPr>
                <w:sz w:val="20"/>
                <w:szCs w:val="20"/>
                <w:color w:val="auto"/>
              </w:rPr>
            </w:pPr>
            <w:r>
              <w:rPr>
                <w:rFonts w:ascii="Arial" w:cs="Arial" w:eastAsia="Arial" w:hAnsi="Arial"/>
                <w:sz w:val="13"/>
                <w:szCs w:val="13"/>
                <w:color w:val="auto"/>
              </w:rPr>
              <w:t>Non-accrual TDRs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Loans past due over 90 days and still accruing</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120" w:type="dxa"/>
            <w:vAlign w:val="bottom"/>
          </w:tcPr>
          <w:p>
            <w:pPr>
              <w:spacing w:after="0"/>
              <w:rPr>
                <w:sz w:val="13"/>
                <w:szCs w:val="13"/>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3"/>
                <w:szCs w:val="13"/>
                <w:color w:val="auto"/>
              </w:rPr>
            </w:pPr>
          </w:p>
        </w:tc>
      </w:tr>
      <w:tr>
        <w:trPr>
          <w:trHeight w:val="171"/>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real estate owned</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assets</w:t>
            </w:r>
          </w:p>
        </w:tc>
        <w:tc>
          <w:tcPr>
            <w:tcW w:w="920" w:type="dxa"/>
            <w:vAlign w:val="bottom"/>
            <w:gridSpan w:val="3"/>
          </w:tcPr>
          <w:p>
            <w:pPr>
              <w:jc w:val="right"/>
              <w:ind w:right="73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jc w:val="right"/>
              <w:spacing w:after="0"/>
              <w:rPr>
                <w:sz w:val="20"/>
                <w:szCs w:val="20"/>
                <w:color w:val="auto"/>
              </w:rPr>
            </w:pPr>
            <w:r>
              <w:rPr>
                <w:rFonts w:ascii="Arial" w:cs="Arial" w:eastAsia="Arial" w:hAnsi="Arial"/>
                <w:sz w:val="13"/>
                <w:szCs w:val="13"/>
                <w:color w:val="auto"/>
              </w:rPr>
              <w:t>$</w:t>
            </w:r>
          </w:p>
        </w:tc>
        <w:tc>
          <w:tcPr>
            <w:tcW w:w="121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7"/>
                <w:szCs w:val="17"/>
                <w:color w:val="auto"/>
              </w:rPr>
            </w:pPr>
          </w:p>
        </w:tc>
      </w:tr>
      <w:tr>
        <w:trPr>
          <w:trHeight w:val="121"/>
        </w:trPr>
        <w:tc>
          <w:tcPr>
            <w:tcW w:w="490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Asset quality ratios:</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121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120" w:type="dxa"/>
            <w:vAlign w:val="bottom"/>
          </w:tcPr>
          <w:p>
            <w:pPr>
              <w:spacing w:after="0"/>
              <w:rPr>
                <w:sz w:val="14"/>
                <w:szCs w:val="14"/>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Allowance for credit losses to total loans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 to non-performing loans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1,265.00%</w:t>
            </w:r>
          </w:p>
        </w:tc>
        <w:tc>
          <w:tcPr>
            <w:tcW w:w="20" w:type="dxa"/>
            <w:vAlign w:val="bottom"/>
            <w:shd w:val="clear" w:color="auto" w:fill="CCEEFF"/>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Non-performing loans to total loans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5"/>
                <w:szCs w:val="15"/>
                <w:color w:val="auto"/>
              </w:rPr>
            </w:pPr>
          </w:p>
        </w:tc>
      </w:tr>
    </w:tbl>
    <w:p>
      <w:pPr>
        <w:spacing w:after="0" w:line="165"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non-accrual troubled debt restructurings (‘TDRs”),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323"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 TDR is a debtor that is experiencing financial difficulties and the Company grants a concession. This determination is performed during the annual review process or whenever problems are surfacing regarding the client’s ability to repay in accordance with the original terms of the loan or line of credit. In general, a borrower that can obtain funds from sources other than the Company at market interest rates at or near those for non-troubled debt is not involved in a troubled debt restructuring. The concessions are given to the debtor in various forms, including interest rate reductions, principal forgiveness, extension of maturity date, waiver, or deferral of payments and other concessions intended to minimize potential losses.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tables present performing and non-performing TDRs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9"/>
              </w:rPr>
              <w:t>December 31, 2022</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Non-Accruing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1"/>
        </w:trPr>
        <w:tc>
          <w:tcPr>
            <w:tcW w:w="414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7,206</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7,206</w:t>
            </w:r>
          </w:p>
        </w:tc>
        <w:tc>
          <w:tcPr>
            <w:tcW w:w="20" w:type="dxa"/>
            <w:vAlign w:val="bottom"/>
            <w:shd w:val="clear" w:color="auto" w:fill="CCEEFF"/>
          </w:tcPr>
          <w:p>
            <w:pPr>
              <w:spacing w:after="0"/>
              <w:rPr>
                <w:sz w:val="12"/>
                <w:szCs w:val="12"/>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4"/>
                <w:szCs w:val="14"/>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5"/>
                <w:szCs w:val="15"/>
                <w:color w:val="auto"/>
              </w:rPr>
            </w:pPr>
          </w:p>
        </w:tc>
      </w:tr>
      <w:tr>
        <w:trPr>
          <w:trHeight w:val="152"/>
        </w:trPr>
        <w:tc>
          <w:tcPr>
            <w:tcW w:w="4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w:t>
            </w:r>
          </w:p>
        </w:tc>
        <w:tc>
          <w:tcPr>
            <w:tcW w:w="20" w:type="dxa"/>
            <w:vAlign w:val="bottom"/>
            <w:shd w:val="clear" w:color="auto" w:fill="CCEEFF"/>
          </w:tcPr>
          <w:p>
            <w:pPr>
              <w:spacing w:after="0"/>
              <w:rPr>
                <w:sz w:val="13"/>
                <w:szCs w:val="13"/>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4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December 31, 2021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1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Non-Accruing</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Consumer and Other</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4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had allocated $294 thousand and $360 thousand of specific allowances for TDR loans at December 31, 2022 and 2021, respectively. There was no commitment to lend additional funds to these TDR customers.</w:t>
      </w:r>
    </w:p>
    <w:p>
      <w:pPr>
        <w:spacing w:after="0" w:line="2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Charge-offs on TDR loans for the years ended December 31, 2022 and 2021 were $0 and $18 thousand, respectively. There were no defaults on TDR loans at December 31, 2022 and 2021 within the prior 12 months. The Company did not have any new TDR loans for the year ended December 31, 2022.</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TDRs or modifications due to COVID-19 as of December 31, 2022.</w:t>
      </w:r>
    </w:p>
    <w:p>
      <w:pPr>
        <w:spacing w:after="0" w:line="170"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in this Annual Report on Form 10-K.</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In determining the balance of the allowance account, loans are pooled by product segments with similar risk characteristics and management evaluates the ACL on each segment and on a regular basis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Additionally, qualitative adjustments are made to the ACL when, based on management’s judgment, there are factors impacting the allowance estimate not considered by the quantitative calculations.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and Industrial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1"/>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2,498</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8,758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2,775</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457</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569</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w:t>
            </w: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w:t>
            </w:r>
          </w:p>
        </w:tc>
      </w:tr>
      <w:tr>
        <w:trPr>
          <w:trHeight w:val="201"/>
        </w:trPr>
        <w:tc>
          <w:tcPr>
            <w:tcW w:w="208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1,352</w:t>
            </w:r>
          </w:p>
        </w:tc>
        <w:tc>
          <w:tcPr>
            <w:tcW w:w="40" w:type="dxa"/>
            <w:vAlign w:val="bottom"/>
          </w:tcPr>
          <w:p>
            <w:pPr>
              <w:spacing w:after="0"/>
              <w:rPr>
                <w:sz w:val="17"/>
                <w:szCs w:val="17"/>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4,163</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60" w:type="dxa"/>
            <w:vAlign w:val="bottom"/>
            <w:gridSpan w:val="2"/>
          </w:tcPr>
          <w:p>
            <w:pPr>
              <w:spacing w:after="0"/>
              <w:rPr>
                <w:sz w:val="17"/>
                <w:szCs w:val="17"/>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1,109</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7"/>
                <w:szCs w:val="17"/>
                <w:color w:val="auto"/>
              </w:rPr>
            </w:pPr>
          </w:p>
        </w:tc>
      </w:tr>
      <w:tr>
        <w:trPr>
          <w:trHeight w:val="121"/>
        </w:trPr>
        <w:tc>
          <w:tcPr>
            <w:tcW w:w="20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193,368</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842,914</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127,473</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81,421</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96,517</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1,341,693</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3,408</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9,453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1,689</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348</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392</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(261)</w:t>
            </w:r>
          </w:p>
        </w:tc>
      </w:tr>
      <w:tr>
        <w:trPr>
          <w:trHeight w:val="201"/>
        </w:trPr>
        <w:tc>
          <w:tcPr>
            <w:tcW w:w="208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2,498</w:t>
            </w:r>
          </w:p>
        </w:tc>
        <w:tc>
          <w:tcPr>
            <w:tcW w:w="40" w:type="dxa"/>
            <w:vAlign w:val="bottom"/>
          </w:tcPr>
          <w:p>
            <w:pPr>
              <w:spacing w:after="0"/>
              <w:rPr>
                <w:sz w:val="17"/>
                <w:szCs w:val="17"/>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2,775</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457</w:t>
            </w:r>
          </w:p>
        </w:tc>
        <w:tc>
          <w:tcPr>
            <w:tcW w:w="60" w:type="dxa"/>
            <w:vAlign w:val="bottom"/>
            <w:gridSpan w:val="2"/>
          </w:tcPr>
          <w:p>
            <w:pPr>
              <w:spacing w:after="0"/>
              <w:rPr>
                <w:sz w:val="17"/>
                <w:szCs w:val="17"/>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569</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7"/>
                <w:szCs w:val="17"/>
                <w:color w:val="auto"/>
              </w:rPr>
            </w:pPr>
          </w:p>
        </w:tc>
      </w:tr>
      <w:tr>
        <w:trPr>
          <w:trHeight w:val="121"/>
        </w:trPr>
        <w:tc>
          <w:tcPr>
            <w:tcW w:w="20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212,867</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654,723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153,763</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52,187</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42,602</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1,116,142</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following table presents ACL by type and its individual percentage to total loans for the periods indicated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6"/>
              </w:rPr>
              <w:t>2021</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center"/>
              <w:ind w:left="56"/>
              <w:spacing w:after="0"/>
              <w:rPr>
                <w:sz w:val="20"/>
                <w:szCs w:val="20"/>
                <w:color w:val="auto"/>
              </w:rPr>
            </w:pPr>
            <w:r>
              <w:rPr>
                <w:rFonts w:ascii="Arial" w:cs="Arial" w:eastAsia="Arial" w:hAnsi="Arial"/>
                <w:sz w:val="13"/>
                <w:szCs w:val="13"/>
                <w:b w:val="1"/>
                <w:bCs w:val="1"/>
                <w:color w:val="auto"/>
                <w:w w:val="99"/>
              </w:rPr>
              <w:t>% of Loans in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center"/>
              <w:ind w:left="76"/>
              <w:spacing w:after="0"/>
              <w:rPr>
                <w:sz w:val="20"/>
                <w:szCs w:val="20"/>
                <w:color w:val="auto"/>
              </w:rPr>
            </w:pPr>
            <w:r>
              <w:rPr>
                <w:rFonts w:ascii="Arial" w:cs="Arial" w:eastAsia="Arial" w:hAnsi="Arial"/>
                <w:sz w:val="13"/>
                <w:szCs w:val="13"/>
                <w:b w:val="1"/>
                <w:bCs w:val="1"/>
                <w:color w:val="auto"/>
                <w:w w:val="96"/>
              </w:rPr>
              <w:t>% of Loans in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1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 Category</w:t>
            </w:r>
          </w:p>
        </w:tc>
        <w:tc>
          <w:tcPr>
            <w:tcW w:w="220" w:type="dxa"/>
            <w:vAlign w:val="bottom"/>
          </w:tcPr>
          <w:p>
            <w:pPr>
              <w:spacing w:after="0"/>
              <w:rPr>
                <w:sz w:val="12"/>
                <w:szCs w:val="12"/>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Allowance</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Each Category to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15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Each Category to</w:t>
            </w:r>
          </w:p>
        </w:tc>
        <w:tc>
          <w:tcPr>
            <w:tcW w:w="20" w:type="dxa"/>
            <w:vAlign w:val="bottom"/>
          </w:tcPr>
          <w:p>
            <w:pPr>
              <w:spacing w:after="0"/>
              <w:rPr>
                <w:sz w:val="12"/>
                <w:szCs w:val="12"/>
                <w:color w:val="auto"/>
              </w:rPr>
            </w:pPr>
          </w:p>
        </w:tc>
      </w:tr>
      <w:tr>
        <w:trPr>
          <w:trHeight w:val="170"/>
        </w:trPr>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left="56"/>
              <w:spacing w:after="0"/>
              <w:rPr>
                <w:sz w:val="20"/>
                <w:szCs w:val="20"/>
                <w:color w:val="auto"/>
              </w:rPr>
            </w:pPr>
            <w:r>
              <w:rPr>
                <w:rFonts w:ascii="Arial" w:cs="Arial" w:eastAsia="Arial" w:hAnsi="Arial"/>
                <w:sz w:val="13"/>
                <w:szCs w:val="13"/>
                <w:b w:val="1"/>
                <w:bCs w:val="1"/>
                <w:color w:val="auto"/>
                <w:w w:val="98"/>
              </w:rPr>
              <w:t>Total Loans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76"/>
              <w:spacing w:after="0"/>
              <w:rPr>
                <w:sz w:val="20"/>
                <w:szCs w:val="20"/>
                <w:color w:val="auto"/>
              </w:rPr>
            </w:pPr>
            <w:r>
              <w:rPr>
                <w:rFonts w:ascii="Arial" w:cs="Arial" w:eastAsia="Arial" w:hAnsi="Arial"/>
                <w:sz w:val="13"/>
                <w:szCs w:val="13"/>
                <w:b w:val="1"/>
                <w:bCs w:val="1"/>
                <w:color w:val="auto"/>
                <w:w w:val="95"/>
              </w:rPr>
              <w:t>Total Loans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
        </w:trPr>
        <w:tc>
          <w:tcPr>
            <w:tcW w:w="220" w:type="dxa"/>
            <w:vAlign w:val="bottom"/>
            <w:tcBorders>
              <w:bottom w:val="single" w:sz="8" w:color="CCEEFF"/>
            </w:tcBorders>
          </w:tcPr>
          <w:p>
            <w:pPr>
              <w:spacing w:after="0"/>
              <w:rPr>
                <w:sz w:val="3"/>
                <w:szCs w:val="3"/>
                <w:color w:val="auto"/>
              </w:rPr>
            </w:pPr>
          </w:p>
        </w:tc>
        <w:tc>
          <w:tcPr>
            <w:tcW w:w="1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51"/>
        </w:trPr>
        <w:tc>
          <w:tcPr>
            <w:tcW w:w="2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68"/>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10,143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64.4</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8,758</w:t>
            </w:r>
          </w:p>
        </w:tc>
        <w:tc>
          <w:tcPr>
            <w:tcW w:w="1300" w:type="dxa"/>
            <w:vAlign w:val="bottom"/>
            <w:gridSpan w:val="6"/>
          </w:tcPr>
          <w:p>
            <w:pPr>
              <w:jc w:val="right"/>
              <w:spacing w:after="0"/>
              <w:rPr>
                <w:sz w:val="20"/>
                <w:szCs w:val="20"/>
                <w:color w:val="auto"/>
              </w:rPr>
            </w:pPr>
            <w:r>
              <w:rPr>
                <w:rFonts w:ascii="Arial" w:cs="Arial" w:eastAsia="Arial" w:hAnsi="Arial"/>
                <w:sz w:val="13"/>
                <w:szCs w:val="13"/>
                <w:color w:val="auto"/>
              </w:rPr>
              <w:t>59.2</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3"/>
        </w:trPr>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w:t>
            </w:r>
          </w:p>
        </w:tc>
        <w:tc>
          <w:tcPr>
            <w:tcW w:w="260" w:type="dxa"/>
            <w:vAlign w:val="bottom"/>
            <w:gridSpan w:val="3"/>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5"/>
                <w:szCs w:val="15"/>
                <w:color w:val="auto"/>
              </w:rPr>
            </w:pPr>
          </w:p>
        </w:tc>
      </w:tr>
      <w:tr>
        <w:trPr>
          <w:trHeight w:val="168"/>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457</w:t>
            </w:r>
          </w:p>
        </w:tc>
        <w:tc>
          <w:tcPr>
            <w:tcW w:w="1300" w:type="dxa"/>
            <w:vAlign w:val="bottom"/>
            <w:gridSpan w:val="6"/>
          </w:tcPr>
          <w:p>
            <w:pPr>
              <w:jc w:val="right"/>
              <w:spacing w:after="0"/>
              <w:rPr>
                <w:sz w:val="20"/>
                <w:szCs w:val="20"/>
                <w:color w:val="auto"/>
              </w:rPr>
            </w:pPr>
            <w:r>
              <w:rPr>
                <w:rFonts w:ascii="Arial" w:cs="Arial" w:eastAsia="Arial" w:hAnsi="Arial"/>
                <w:sz w:val="13"/>
                <w:szCs w:val="13"/>
                <w:color w:val="auto"/>
              </w:rPr>
              <w:t>5.0</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68"/>
        </w:trPr>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83"/>
        </w:trPr>
        <w:tc>
          <w:tcPr>
            <w:tcW w:w="22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17,487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500" w:type="dxa"/>
            <w:vAlign w:val="bottom"/>
            <w:gridSpan w:val="3"/>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15,057</w:t>
            </w:r>
          </w:p>
        </w:tc>
        <w:tc>
          <w:tcPr>
            <w:tcW w:w="1460" w:type="dxa"/>
            <w:vAlign w:val="bottom"/>
            <w:gridSpan w:val="7"/>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5"/>
                <w:szCs w:val="15"/>
                <w:color w:val="auto"/>
              </w:rPr>
            </w:pPr>
          </w:p>
        </w:tc>
      </w:tr>
      <w:tr>
        <w:trPr>
          <w:trHeight w:val="26"/>
        </w:trPr>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8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At December 31, 2022, the combined cash surrender value of all bank-owned life insurance (“BOLI”) policies was $42.8 million. Changes in cash surrender value are recorded in non-interest income on the Consolidated Statements of Operations. In 2022, the Company maintained BOLI policies with five insurance carriers. The Company is the beneficiary of these policies.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core deposits. In addition to our banking centers network, we developed business verticals to diversify our portfolio in different specialty industries and we offer public fund deposit products to municipalities and public agencies in our geographical footprint.</w:t>
      </w:r>
    </w:p>
    <w:p>
      <w:pPr>
        <w:spacing w:after="0" w:line="15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daily average balance and average rate paid on deposits by category as of</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2022 and 2021 (in thousands, except ratios):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3"/>
                <w:szCs w:val="13"/>
                <w:b w:val="1"/>
                <w:bCs w:val="1"/>
                <w:color w:val="auto"/>
                <w:w w:val="97"/>
              </w:rPr>
              <w:t>Twelve Months Ended December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right"/>
              <w:ind w:right="89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b w:val="1"/>
                <w:bCs w:val="1"/>
                <w:color w:val="auto"/>
              </w:rPr>
              <w:t>Average Rate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r>
      <w:tr>
        <w:trPr>
          <w:trHeight w:val="173"/>
        </w:trPr>
        <w:tc>
          <w:tcPr>
            <w:tcW w:w="32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Average Balance</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Average Balance</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gridSpan w:val="2"/>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r>
      <w:tr>
        <w:trPr>
          <w:trHeight w:val="141"/>
        </w:trPr>
        <w:tc>
          <w:tcPr>
            <w:tcW w:w="32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Non-interest bearing demand deposits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645,366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80" w:type="dxa"/>
            <w:vAlign w:val="bottom"/>
            <w:gridSpan w:val="2"/>
            <w:shd w:val="clear" w:color="auto" w:fill="CCEEFF"/>
          </w:tcPr>
          <w:p>
            <w:pPr>
              <w:spacing w:after="0"/>
              <w:rPr>
                <w:sz w:val="12"/>
                <w:szCs w:val="12"/>
                <w:color w:val="auto"/>
              </w:rPr>
            </w:pPr>
          </w:p>
        </w:tc>
        <w:tc>
          <w:tcPr>
            <w:tcW w:w="28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547,116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64,835</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52,379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0.11%</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803,426</w:t>
            </w:r>
          </w:p>
        </w:tc>
        <w:tc>
          <w:tcPr>
            <w:tcW w:w="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619,810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220,319</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0.68%</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235,127</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0.65%</w:t>
            </w:r>
          </w:p>
        </w:tc>
        <w:tc>
          <w:tcPr>
            <w:tcW w:w="20" w:type="dxa"/>
            <w:vAlign w:val="bottom"/>
          </w:tcPr>
          <w:p>
            <w:pPr>
              <w:spacing w:after="0"/>
              <w:rPr>
                <w:sz w:val="14"/>
                <w:szCs w:val="14"/>
                <w:color w:val="auto"/>
              </w:rPr>
            </w:pPr>
          </w:p>
        </w:tc>
      </w:tr>
      <w:tr>
        <w:trPr>
          <w:trHeight w:val="161"/>
        </w:trPr>
        <w:tc>
          <w:tcPr>
            <w:tcW w:w="3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1,733,946</w:t>
            </w:r>
          </w:p>
        </w:tc>
        <w:tc>
          <w:tcPr>
            <w:tcW w:w="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360" w:type="dxa"/>
            <w:vAlign w:val="bottom"/>
            <w:gridSpan w:val="3"/>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1,454,431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20" w:type="dxa"/>
            <w:vAlign w:val="bottom"/>
            <w:shd w:val="clear" w:color="auto" w:fill="CCEEFF"/>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Total average deposits for the year ended December 31, 2022 was $1.7 billion, an increase of $279.5 million, or 19.2% over total average deposits of $1.5 billion for the same period in 2021. Our focus on demand deposits resulted in an increase in average balances of $98.3 million, or 18.0%, in non-interest bearing demand deposits and an increase of $183.6 million, or 29.6%, in saving and money market deposits when comparing the average balances for the years ended December 31, 2022 and 2021.</w:t>
      </w:r>
    </w:p>
    <w:p>
      <w:pPr>
        <w:spacing w:after="0" w:line="160" w:lineRule="exact"/>
        <w:rPr>
          <w:sz w:val="20"/>
          <w:szCs w:val="20"/>
          <w:color w:val="auto"/>
        </w:rPr>
      </w:pPr>
    </w:p>
    <w:p>
      <w:pPr>
        <w:ind w:left="660" w:right="659" w:firstLine="256"/>
        <w:spacing w:after="0" w:line="252"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were $1.1 billion and $897.8 million at</w:t>
      </w:r>
    </w:p>
    <w:p>
      <w:pPr>
        <w:spacing w:after="0" w:line="17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December 31, 2022 and 2021, respectively. U.S. Century Bank maintains a well-diversified deposit base. Our top 15 depositors only hold 12% of our total portfolio. As of December 31, 2022, 39% of our deposits are estimated to be FDIC-insured. Our public funds are 11% of total deposits and are partially collateralized. The estimated average account size of our deposit portfolio is $95 thousand. Time deposits with balances of $250 thousand or more totaled $122.9 million and $119.4 million at December 31, 2022 and 2021, respectively.</w:t>
      </w:r>
    </w:p>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active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9"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following table shows scheduled maturities of uninsured time deposits as of December 31, 2022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10,669</w:t>
            </w:r>
          </w:p>
        </w:tc>
        <w:tc>
          <w:tcPr>
            <w:tcW w:w="2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17,573</w:t>
            </w:r>
          </w:p>
        </w:tc>
        <w:tc>
          <w:tcPr>
            <w:tcW w:w="2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29,891</w:t>
            </w:r>
          </w:p>
        </w:tc>
        <w:tc>
          <w:tcPr>
            <w:tcW w:w="20" w:type="dxa"/>
            <w:vAlign w:val="bottom"/>
            <w:shd w:val="clear" w:color="auto" w:fill="CCEEFF"/>
          </w:tcPr>
          <w:p>
            <w:pPr>
              <w:spacing w:after="0"/>
              <w:rPr>
                <w:sz w:val="14"/>
                <w:szCs w:val="14"/>
                <w:color w:val="auto"/>
              </w:rPr>
            </w:pPr>
          </w:p>
        </w:tc>
      </w:tr>
      <w:tr>
        <w:trPr>
          <w:trHeight w:val="180"/>
        </w:trPr>
        <w:tc>
          <w:tcPr>
            <w:tcW w:w="5420" w:type="dxa"/>
            <w:vAlign w:val="bottom"/>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23,840</w:t>
            </w:r>
          </w:p>
        </w:tc>
        <w:tc>
          <w:tcPr>
            <w:tcW w:w="20" w:type="dxa"/>
            <w:vAlign w:val="bottom"/>
          </w:tcPr>
          <w:p>
            <w:pPr>
              <w:spacing w:after="0"/>
              <w:rPr>
                <w:sz w:val="15"/>
                <w:szCs w:val="15"/>
                <w:color w:val="auto"/>
              </w:rPr>
            </w:pPr>
          </w:p>
        </w:tc>
      </w:tr>
      <w:tr>
        <w:trPr>
          <w:trHeight w:val="152"/>
        </w:trPr>
        <w:tc>
          <w:tcPr>
            <w:tcW w:w="54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81,973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8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5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Outstanding fixed-rate advances from the FHLB were at $46.0 million and $36.0 million, as of December 31, 2022, and December 31, 2021, respectively. The weighted average rate for outstanding FHLB advances at December 31, 2022 was 2.60%. Most of the advances are due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59" w:name="page60"/>
    <w:bookmarkEnd w:id="5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December 31, 2022 (in thousands):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2022</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5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July 18,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0.81%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August 17,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2023</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65"/>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January 13, 2023</w:t>
            </w:r>
          </w:p>
        </w:tc>
        <w:tc>
          <w:tcPr>
            <w:tcW w:w="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 w:type="dxa"/>
            <w:vAlign w:val="bottom"/>
            <w:shd w:val="clear" w:color="auto" w:fill="CCEEFF"/>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46,000</w:t>
            </w:r>
          </w:p>
        </w:tc>
        <w:tc>
          <w:tcPr>
            <w:tcW w:w="20" w:type="dxa"/>
            <w:vAlign w:val="bottom"/>
          </w:tcPr>
          <w:p>
            <w:pPr>
              <w:spacing w:after="0"/>
              <w:rPr>
                <w:sz w:val="14"/>
                <w:szCs w:val="14"/>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2021</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5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August 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1.04%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July 30,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2024</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March 28,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April 17, 2025</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July 18,</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61"/>
        </w:trPr>
        <w:tc>
          <w:tcPr>
            <w:tcW w:w="1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20" w:type="dxa"/>
            <w:vAlign w:val="bottom"/>
            <w:shd w:val="clear" w:color="auto" w:fill="CCEEFF"/>
          </w:tcPr>
          <w:p>
            <w:pPr>
              <w:spacing w:after="0"/>
              <w:rPr>
                <w:sz w:val="14"/>
                <w:szCs w:val="14"/>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December 31, 2022, there were no outstanding balances under the Fed Funds line of credit.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the actual future cash funding requirements. The following table presents lending related commitments outstanding as of December 31, 2022 and 2021 (in thousands):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r>
      <w:tr>
        <w:trPr>
          <w:trHeight w:val="141"/>
        </w:trPr>
        <w:tc>
          <w:tcPr>
            <w:tcW w:w="5020" w:type="dxa"/>
            <w:vAlign w:val="bottom"/>
            <w:tcBorders>
              <w:top w:val="single" w:sz="8" w:color="CCEEFF"/>
            </w:tcBorders>
            <w:gridSpan w:val="2"/>
            <w:shd w:val="clear" w:color="auto" w:fill="CCEEFF"/>
          </w:tcPr>
          <w:p>
            <w:pPr>
              <w:ind w:left="40"/>
              <w:spacing w:after="0" w:line="134"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36"/>
              <w:spacing w:after="0" w:line="141" w:lineRule="exact"/>
              <w:rPr>
                <w:sz w:val="20"/>
                <w:szCs w:val="20"/>
                <w:color w:val="auto"/>
              </w:rPr>
            </w:pPr>
            <w:r>
              <w:rPr>
                <w:rFonts w:ascii="Arial" w:cs="Arial" w:eastAsia="Arial" w:hAnsi="Arial"/>
                <w:sz w:val="13"/>
                <w:szCs w:val="13"/>
                <w:color w:val="auto"/>
                <w:shd w:val="clear" w:color="auto" w:fill="CCEEFF"/>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95,461</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2"/>
                <w:szCs w:val="12"/>
                <w:color w:val="auto"/>
              </w:rPr>
            </w:pPr>
          </w:p>
        </w:tc>
      </w:tr>
      <w:tr>
        <w:trPr>
          <w:trHeight w:val="180"/>
        </w:trPr>
        <w:tc>
          <w:tcPr>
            <w:tcW w:w="5020" w:type="dxa"/>
            <w:vAlign w:val="bottom"/>
            <w:gridSpan w:val="2"/>
          </w:tcPr>
          <w:p>
            <w:pPr>
              <w:ind w:left="40"/>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4,320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5"/>
                <w:szCs w:val="15"/>
                <w:color w:val="auto"/>
              </w:rPr>
            </w:pPr>
          </w:p>
        </w:tc>
      </w:tr>
      <w:tr>
        <w:trPr>
          <w:trHeight w:val="152"/>
        </w:trPr>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900" w:type="dxa"/>
            <w:vAlign w:val="bottom"/>
            <w:tcBorders>
              <w:top w:val="single" w:sz="8" w:color="CCEEFF"/>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Total</w:t>
            </w: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36"/>
              <w:spacing w:after="0" w:line="131" w:lineRule="exact"/>
              <w:rPr>
                <w:sz w:val="20"/>
                <w:szCs w:val="20"/>
                <w:color w:val="auto"/>
              </w:rPr>
            </w:pPr>
            <w:r>
              <w:rPr>
                <w:rFonts w:ascii="Arial" w:cs="Arial" w:eastAsia="Arial" w:hAnsi="Arial"/>
                <w:sz w:val="13"/>
                <w:szCs w:val="13"/>
                <w:color w:val="auto"/>
                <w:shd w:val="clear" w:color="auto" w:fill="CCEEFF"/>
              </w:rPr>
              <w:t>$</w:t>
            </w:r>
          </w:p>
        </w:tc>
        <w:tc>
          <w:tcPr>
            <w:tcW w:w="4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99,781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141,297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6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0" w:name="page61"/>
    <w:bookmarkEnd w:id="6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156"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42"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While some degree of interest rate risk (“IRR”) exposure is inherent to the banking business, our ALCO has established sound risk management practices in place to identify, measure, monitor and mitigate IRR exposures.</w:t>
      </w:r>
    </w:p>
    <w:p>
      <w:pPr>
        <w:spacing w:after="0" w:line="142"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deposits volatility and reduced earnings or outright losses could adversely affect the Company’s liquidity, performance, and capital adequacy.</w:t>
      </w:r>
    </w:p>
    <w:p>
      <w:pPr>
        <w:spacing w:after="0" w:line="15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To have a more complete picture of IRR, the Company also evaluates the economic value of equity, or EVE.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88" w:lineRule="exact"/>
        <w:rPr>
          <w:sz w:val="20"/>
          <w:szCs w:val="20"/>
          <w:color w:val="auto"/>
        </w:rPr>
      </w:pPr>
    </w:p>
    <w:p>
      <w:pPr>
        <w:jc w:val="both"/>
        <w:ind w:left="660" w:right="659" w:firstLine="299"/>
        <w:spacing w:after="0" w:line="246" w:lineRule="auto"/>
        <w:rPr>
          <w:sz w:val="20"/>
          <w:szCs w:val="20"/>
          <w:color w:val="auto"/>
        </w:rPr>
      </w:pPr>
      <w:r>
        <w:rPr>
          <w:rFonts w:ascii="Arial" w:cs="Arial" w:eastAsia="Arial" w:hAnsi="Arial"/>
          <w:sz w:val="14"/>
          <w:szCs w:val="14"/>
          <w:color w:val="auto"/>
        </w:rPr>
        <w:t>According to our ALCO model, as of December 31, 2022, we were a liability sensitive bank for year one modeling and asset sensitive for year two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5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EVEs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47"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According to our model, as of December 31, 2022, the NIM will remain fairly stable for static rate scenarios (-400 basis points: +400 basis points). For the static forecast for year one, the estimated NIM will decrease from 3.38% base case scenario to 3.20% under a +400-basis points scenario. Additionally, utilizing an economic value of equity, or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w:t>
      </w:r>
    </w:p>
    <w:p>
      <w:pPr>
        <w:spacing w:after="0" w:line="14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Additionally, in the last couple of quarters we have been reducing our asset sensitivity by extending asset duration. This has reduced our NII volatility for the first and second year in the analysis and has helped us to maintain the NII in accordance with ALCO expectations.</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1" w:name="page62"/>
    <w:bookmarkEnd w:id="6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88" w:lineRule="exact"/>
        <w:rPr>
          <w:sz w:val="20"/>
          <w:szCs w:val="20"/>
          <w:color w:val="auto"/>
        </w:rPr>
      </w:pPr>
    </w:p>
    <w:p>
      <w:pPr>
        <w:jc w:val="both"/>
        <w:ind w:left="660" w:right="679" w:firstLine="299"/>
        <w:spacing w:after="0" w:line="273"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41"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adequate funding on acceptable terms.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5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Bank’s contingency funding plan.</w:t>
      </w:r>
    </w:p>
    <w:p>
      <w:pPr>
        <w:spacing w:after="0" w:line="14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Changes in macroeconomic conditions or exposure to credit, market, operational, legal and reputational risks, including cybersecurity risk could also affect the Company ’s liquidity risk profile unexpectedly and are considered in the assessment of liquidity and ALM framework.</w:t>
      </w:r>
    </w:p>
    <w:p>
      <w:pPr>
        <w:spacing w:after="0" w:line="152"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and ALM policy.</w:t>
      </w:r>
    </w:p>
    <w:p>
      <w:pPr>
        <w:spacing w:after="0" w:line="15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active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6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2" w:name="page63"/>
    <w:bookmarkEnd w:id="6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88"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As of December 31, 2022, the Bank was well capitalized under the FDIC’s prompt corrective action framework. Additionally, we follow the capital conservation buffer framework, and according to our actual ratios the Bank exceeds the capital conversation buffer in all capital ratios as of December 31, 2022. The following table presents the capital ratios for both the Bank and the Company at December 31, 2022 and 2021 (in thousands, except ratios):</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98"/>
              </w:rPr>
              <w:t>Under Prompt Corrective</w:t>
            </w:r>
          </w:p>
        </w:tc>
      </w:tr>
      <w:tr>
        <w:trPr>
          <w:trHeight w:val="164"/>
        </w:trPr>
        <w:tc>
          <w:tcPr>
            <w:tcW w:w="2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Actual</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Requirements</w:t>
            </w: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Action Provisions</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Ratio</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42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December 31, 2022:</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216,693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13.58</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127,616</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159,520</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95,712</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127,616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12.47</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71,784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103,688</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6.50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83,210</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104,012</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42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b w:val="1"/>
                <w:bCs w:val="1"/>
                <w:color w:val="auto"/>
              </w:rPr>
              <w:t xml:space="preserve">December 31, 2021: </w:t>
            </w:r>
            <w:r>
              <w:rPr>
                <w:rFonts w:ascii="Arial" w:cs="Arial" w:eastAsia="Arial" w:hAnsi="Arial"/>
                <w:sz w:val="17"/>
                <w:szCs w:val="17"/>
                <w:b w:val="1"/>
                <w:bCs w:val="1"/>
                <w:color w:val="auto"/>
                <w:vertAlign w:val="superscript"/>
              </w:rPr>
              <w:t>(1)</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186,735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14.92</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125,157</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75,094</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56,321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81,352</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6.50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71,825</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89,781</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bl>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88"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3" w:name="page64"/>
    <w:bookmarkEnd w:id="6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88" w:lineRule="exact"/>
        <w:rPr>
          <w:sz w:val="20"/>
          <w:szCs w:val="20"/>
          <w:color w:val="auto"/>
        </w:rPr>
      </w:pPr>
    </w:p>
    <w:p>
      <w:pPr>
        <w:ind w:left="660" w:right="659" w:firstLine="256"/>
        <w:spacing w:after="0" w:line="245"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3"/>
                <w:szCs w:val="13"/>
                <w:b w:val="1"/>
                <w:bCs w:val="1"/>
                <w:color w:val="auto"/>
                <w:w w:val="98"/>
              </w:rPr>
              <w:t>As of and for the years ended December 31,</w:t>
            </w:r>
          </w:p>
        </w:tc>
        <w:tc>
          <w:tcPr>
            <w:tcW w:w="20" w:type="dxa"/>
            <w:vAlign w:val="bottom"/>
          </w:tcPr>
          <w:p>
            <w:pPr>
              <w:spacing w:after="0"/>
              <w:rPr>
                <w:sz w:val="14"/>
                <w:szCs w:val="14"/>
                <w:color w:val="auto"/>
              </w:rPr>
            </w:pPr>
          </w:p>
        </w:tc>
      </w:tr>
      <w:tr>
        <w:trPr>
          <w:trHeight w:val="151"/>
        </w:trPr>
        <w:tc>
          <w:tcPr>
            <w:tcW w:w="220" w:type="dxa"/>
            <w:vAlign w:val="bottom"/>
            <w:tcBorders>
              <w:bottom w:val="single" w:sz="8" w:color="CCEEFF"/>
            </w:tcBorders>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r>
      <w:tr>
        <w:trPr>
          <w:trHeight w:val="151"/>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20,141</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21,077</w:t>
            </w: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Plus: Provision for income taxes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w:t>
            </w:r>
          </w:p>
        </w:tc>
        <w:tc>
          <w:tcPr>
            <w:tcW w:w="20" w:type="dxa"/>
            <w:vAlign w:val="bottom"/>
            <w:shd w:val="clear" w:color="auto" w:fill="CCEEFF"/>
          </w:tcPr>
          <w:p>
            <w:pPr>
              <w:spacing w:after="0"/>
              <w:rPr>
                <w:sz w:val="14"/>
                <w:szCs w:val="14"/>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Plus: Provision for (recovery of) credit losses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2,495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r>
      <w:tr>
        <w:trPr>
          <w:trHeight w:val="151"/>
        </w:trPr>
        <w:tc>
          <w:tcPr>
            <w:tcW w:w="22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29,580</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27,517</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PTPP Return on 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PTPP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29,580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27,517</w:t>
            </w: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1,990,610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1,701,658</w:t>
            </w:r>
          </w:p>
        </w:tc>
        <w:tc>
          <w:tcPr>
            <w:tcW w:w="20" w:type="dxa"/>
            <w:vAlign w:val="bottom"/>
            <w:shd w:val="clear" w:color="auto" w:fill="CCEEFF"/>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PTPP return on average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1.49%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1.62%</w:t>
            </w: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476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 Net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20,141</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21,077</w:t>
            </w:r>
          </w:p>
        </w:tc>
        <w:tc>
          <w:tcPr>
            <w:tcW w:w="20" w:type="dxa"/>
            <w:vAlign w:val="bottom"/>
            <w:shd w:val="clear" w:color="auto" w:fill="CCEEFF"/>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214</w:t>
            </w: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Less: Tax effect on sale of securities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641</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0" w:type="dxa"/>
            <w:vAlign w:val="bottom"/>
            <w:shd w:val="clear" w:color="auto" w:fill="CCEEFF"/>
          </w:tcPr>
          <w:p>
            <w:pPr>
              <w:spacing w:after="0"/>
              <w:rPr>
                <w:sz w:val="14"/>
                <w:szCs w:val="14"/>
                <w:color w:val="auto"/>
              </w:rPr>
            </w:pPr>
          </w:p>
        </w:tc>
      </w:tr>
      <w:tr>
        <w:trPr>
          <w:trHeight w:val="191"/>
        </w:trPr>
        <w:tc>
          <w:tcPr>
            <w:tcW w:w="2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net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22,029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20,915</w:t>
            </w:r>
          </w:p>
        </w:tc>
        <w:tc>
          <w:tcPr>
            <w:tcW w:w="20" w:type="dxa"/>
            <w:vAlign w:val="bottom"/>
          </w:tcPr>
          <w:p>
            <w:pPr>
              <w:spacing w:after="0"/>
              <w:rPr>
                <w:sz w:val="16"/>
                <w:szCs w:val="16"/>
                <w:color w:val="auto"/>
              </w:rPr>
            </w:pPr>
          </w:p>
        </w:tc>
      </w:tr>
      <w:tr>
        <w:trPr>
          <w:trHeight w:val="111"/>
        </w:trPr>
        <w:tc>
          <w:tcPr>
            <w:tcW w:w="220" w:type="dxa"/>
            <w:vAlign w:val="bottom"/>
            <w:tcBorders>
              <w:top w:val="single" w:sz="8" w:color="CCEEFF"/>
            </w:tcBorders>
            <w:shd w:val="clear" w:color="auto" w:fill="CCEEFF"/>
          </w:tcPr>
          <w:p>
            <w:pPr>
              <w:spacing w:after="0"/>
              <w:rPr>
                <w:sz w:val="9"/>
                <w:szCs w:val="9"/>
                <w:color w:val="auto"/>
              </w:rPr>
            </w:pPr>
          </w:p>
        </w:tc>
        <w:tc>
          <w:tcPr>
            <w:tcW w:w="45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0"/>
        </w:trPr>
        <w:tc>
          <w:tcPr>
            <w:tcW w:w="476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 PTPP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29,580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27,517</w:t>
            </w:r>
          </w:p>
        </w:tc>
        <w:tc>
          <w:tcPr>
            <w:tcW w:w="20" w:type="dxa"/>
            <w:vAlign w:val="bottom"/>
            <w:shd w:val="clear" w:color="auto" w:fill="CCEEFF"/>
          </w:tcPr>
          <w:p>
            <w:pPr>
              <w:spacing w:after="0"/>
              <w:rPr>
                <w:sz w:val="14"/>
                <w:szCs w:val="14"/>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20" w:type="dxa"/>
            <w:vAlign w:val="bottom"/>
            <w:tcBorders>
              <w:bottom w:val="single" w:sz="8" w:color="CCEEFF"/>
            </w:tcBorders>
          </w:tcPr>
          <w:p>
            <w:pPr>
              <w:spacing w:after="0"/>
              <w:rPr>
                <w:sz w:val="14"/>
                <w:szCs w:val="14"/>
                <w:color w:val="auto"/>
              </w:rPr>
            </w:pPr>
          </w:p>
        </w:tc>
      </w:tr>
      <w:tr>
        <w:trPr>
          <w:trHeight w:val="151"/>
        </w:trPr>
        <w:tc>
          <w:tcPr>
            <w:tcW w:w="22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Operating PTPP Income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32,109</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PTPP Return on 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PTPP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32,109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27,303</w:t>
            </w:r>
          </w:p>
        </w:tc>
        <w:tc>
          <w:tcPr>
            <w:tcW w:w="20" w:type="dxa"/>
            <w:vAlign w:val="bottom"/>
          </w:tcPr>
          <w:p>
            <w:pPr>
              <w:spacing w:after="0"/>
              <w:rPr>
                <w:sz w:val="14"/>
                <w:szCs w:val="14"/>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1,990,610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1,701,658</w:t>
            </w:r>
          </w:p>
        </w:tc>
        <w:tc>
          <w:tcPr>
            <w:tcW w:w="20" w:type="dxa"/>
            <w:vAlign w:val="bottom"/>
            <w:shd w:val="clear" w:color="auto" w:fill="CCEEFF"/>
          </w:tcPr>
          <w:p>
            <w:pPr>
              <w:spacing w:after="0"/>
              <w:rPr>
                <w:sz w:val="14"/>
                <w:szCs w:val="14"/>
                <w:color w:val="auto"/>
              </w:rPr>
            </w:pPr>
          </w:p>
        </w:tc>
      </w:tr>
      <w:tr>
        <w:trPr>
          <w:trHeight w:val="181"/>
        </w:trPr>
        <w:tc>
          <w:tcPr>
            <w:tcW w:w="2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PTPP Return on average 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1.61%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5"/>
                <w:szCs w:val="15"/>
                <w:color w:val="auto"/>
              </w:rPr>
            </w:pPr>
          </w:p>
        </w:tc>
      </w:tr>
      <w:tr>
        <w:trPr>
          <w:trHeight w:val="171"/>
        </w:trPr>
        <w:tc>
          <w:tcPr>
            <w:tcW w:w="2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476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 Return on Average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20" w:type="dxa"/>
            <w:vAlign w:val="bottom"/>
            <w:tcBorders>
              <w:bottom w:val="single" w:sz="8" w:color="CCEEFF"/>
            </w:tcBorders>
            <w:shd w:val="clear" w:color="auto" w:fill="CCEEFF"/>
          </w:tcPr>
          <w:p>
            <w:pPr>
              <w:spacing w:after="0"/>
              <w:rPr>
                <w:sz w:val="13"/>
                <w:szCs w:val="1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net income</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22,029</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20,915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Average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1,990,610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1,701,658</w:t>
            </w:r>
          </w:p>
        </w:tc>
        <w:tc>
          <w:tcPr>
            <w:tcW w:w="20" w:type="dxa"/>
            <w:vAlign w:val="bottom"/>
          </w:tcPr>
          <w:p>
            <w:pPr>
              <w:spacing w:after="0"/>
              <w:rPr>
                <w:sz w:val="14"/>
                <w:szCs w:val="14"/>
                <w:color w:val="auto"/>
              </w:rPr>
            </w:pPr>
          </w:p>
        </w:tc>
      </w:tr>
      <w:tr>
        <w:trPr>
          <w:trHeight w:val="149"/>
        </w:trPr>
        <w:tc>
          <w:tcPr>
            <w:tcW w:w="22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Operating return on average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 w:type="dxa"/>
            <w:vAlign w:val="bottom"/>
            <w:shd w:val="clear" w:color="auto" w:fill="CCEEFF"/>
          </w:tcPr>
          <w:p>
            <w:pPr>
              <w:spacing w:after="0"/>
              <w:rPr>
                <w:sz w:val="12"/>
                <w:szCs w:val="12"/>
                <w:color w:val="auto"/>
              </w:rPr>
            </w:pPr>
          </w:p>
        </w:tc>
      </w:tr>
      <w:tr>
        <w:trPr>
          <w:trHeight w:val="21"/>
        </w:trPr>
        <w:tc>
          <w:tcPr>
            <w:tcW w:w="22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4" w:name="page65"/>
    <w:bookmarkEnd w:id="6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5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7"/>
              </w:rPr>
              <w:t>Years Ended December 31,</w:t>
            </w:r>
          </w:p>
        </w:tc>
        <w:tc>
          <w:tcPr>
            <w:tcW w:w="20" w:type="dxa"/>
            <w:vAlign w:val="bottom"/>
          </w:tcPr>
          <w:p>
            <w:pPr>
              <w:spacing w:after="0"/>
              <w:rPr>
                <w:sz w:val="13"/>
                <w:szCs w:val="13"/>
                <w:color w:val="auto"/>
              </w:rPr>
            </w:pPr>
          </w:p>
        </w:tc>
      </w:tr>
      <w:tr>
        <w:trPr>
          <w:trHeight w:val="151"/>
        </w:trPr>
        <w:tc>
          <w:tcPr>
            <w:tcW w:w="57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574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b w:val="1"/>
                <w:bCs w:val="1"/>
                <w:color w:val="auto"/>
              </w:rPr>
              <w:t>Adjusted Net Income Available to Common Stockholders: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5740" w:type="dxa"/>
            <w:vAlign w:val="bottom"/>
          </w:tcPr>
          <w:p>
            <w:pPr>
              <w:ind w:left="140"/>
              <w:spacing w:after="0"/>
              <w:rPr>
                <w:sz w:val="20"/>
                <w:szCs w:val="20"/>
                <w:color w:val="auto"/>
              </w:rPr>
            </w:pPr>
            <w:r>
              <w:rPr>
                <w:rFonts w:ascii="Arial" w:cs="Arial" w:eastAsia="Arial" w:hAnsi="Arial"/>
                <w:sz w:val="13"/>
                <w:szCs w:val="13"/>
                <w:color w:val="auto"/>
              </w:rPr>
              <w:t>Net income (GAAP)</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20,141</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21,077</w:t>
            </w:r>
          </w:p>
        </w:tc>
        <w:tc>
          <w:tcPr>
            <w:tcW w:w="20" w:type="dxa"/>
            <w:vAlign w:val="bottom"/>
          </w:tcPr>
          <w:p>
            <w:pPr>
              <w:spacing w:after="0"/>
              <w:rPr>
                <w:sz w:val="14"/>
                <w:szCs w:val="14"/>
                <w:color w:val="auto"/>
              </w:rPr>
            </w:pPr>
          </w:p>
        </w:tc>
      </w:tr>
      <w:tr>
        <w:trPr>
          <w:trHeight w:val="171"/>
        </w:trPr>
        <w:tc>
          <w:tcPr>
            <w:tcW w:w="5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Less: Preferred dividends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20" w:type="dxa"/>
            <w:vAlign w:val="bottom"/>
            <w:shd w:val="clear" w:color="auto" w:fill="CCEEFF"/>
          </w:tcPr>
          <w:p>
            <w:pPr>
              <w:spacing w:after="0"/>
              <w:rPr>
                <w:sz w:val="14"/>
                <w:szCs w:val="14"/>
                <w:color w:val="auto"/>
              </w:rPr>
            </w:pPr>
          </w:p>
        </w:tc>
      </w:tr>
      <w:tr>
        <w:trPr>
          <w:trHeight w:val="16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Less: Exchange and redemption of preferred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89,585</w:t>
            </w:r>
          </w:p>
        </w:tc>
        <w:tc>
          <w:tcPr>
            <w:tcW w:w="20" w:type="dxa"/>
            <w:vAlign w:val="bottom"/>
          </w:tcPr>
          <w:p>
            <w:pPr>
              <w:spacing w:after="0"/>
              <w:rPr>
                <w:sz w:val="13"/>
                <w:szCs w:val="13"/>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574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Net income (loss) available to common stockholders (GAAP)</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(70,585)</w:t>
            </w:r>
          </w:p>
        </w:tc>
        <w:tc>
          <w:tcPr>
            <w:tcW w:w="20" w:type="dxa"/>
            <w:vAlign w:val="bottom"/>
            <w:shd w:val="clear" w:color="auto" w:fill="CCEEFF"/>
          </w:tcPr>
          <w:p>
            <w:pPr>
              <w:spacing w:after="0"/>
              <w:rPr>
                <w:sz w:val="12"/>
                <w:szCs w:val="12"/>
                <w:color w:val="auto"/>
              </w:rPr>
            </w:pPr>
          </w:p>
        </w:tc>
      </w:tr>
      <w:tr>
        <w:trPr>
          <w:trHeight w:val="16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Add back: Exchange and redemption of preferred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89,585</w:t>
            </w:r>
          </w:p>
        </w:tc>
        <w:tc>
          <w:tcPr>
            <w:tcW w:w="20" w:type="dxa"/>
            <w:vAlign w:val="bottom"/>
          </w:tcPr>
          <w:p>
            <w:pPr>
              <w:spacing w:after="0"/>
              <w:rPr>
                <w:sz w:val="13"/>
                <w:szCs w:val="13"/>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574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Adjusted net income available to common stock (non-GAAP)</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20,141</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19,000</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5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Weighted average shares outstanding: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8"/>
        </w:trPr>
        <w:tc>
          <w:tcPr>
            <w:tcW w:w="5740" w:type="dxa"/>
            <w:vAlign w:val="bottom"/>
          </w:tcPr>
          <w:p>
            <w:pPr>
              <w:ind w:left="140"/>
              <w:spacing w:after="0"/>
              <w:rPr>
                <w:sz w:val="20"/>
                <w:szCs w:val="20"/>
                <w:color w:val="auto"/>
              </w:rPr>
            </w:pPr>
            <w:r>
              <w:rPr>
                <w:rFonts w:ascii="Arial" w:cs="Arial" w:eastAsia="Arial" w:hAnsi="Arial"/>
                <w:sz w:val="13"/>
                <w:szCs w:val="13"/>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19,999,323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10,507,530</w:t>
            </w:r>
          </w:p>
        </w:tc>
        <w:tc>
          <w:tcPr>
            <w:tcW w:w="20" w:type="dxa"/>
            <w:vAlign w:val="bottom"/>
            <w:shd w:val="clear" w:color="auto" w:fill="CCEEFF"/>
          </w:tcPr>
          <w:p>
            <w:pPr>
              <w:spacing w:after="0"/>
              <w:rPr>
                <w:sz w:val="15"/>
                <w:szCs w:val="15"/>
                <w:color w:val="auto"/>
              </w:rPr>
            </w:pPr>
          </w:p>
        </w:tc>
      </w:tr>
      <w:tr>
        <w:trPr>
          <w:trHeight w:val="171"/>
        </w:trPr>
        <w:tc>
          <w:tcPr>
            <w:tcW w:w="5740" w:type="dxa"/>
            <w:vAlign w:val="bottom"/>
          </w:tcPr>
          <w:p>
            <w:pPr>
              <w:ind w:left="240"/>
              <w:spacing w:after="0"/>
              <w:rPr>
                <w:sz w:val="20"/>
                <w:szCs w:val="20"/>
                <w:color w:val="auto"/>
              </w:rPr>
            </w:pPr>
            <w:r>
              <w:rPr>
                <w:rFonts w:ascii="Arial" w:cs="Arial" w:eastAsia="Arial" w:hAnsi="Arial"/>
                <w:sz w:val="13"/>
                <w:szCs w:val="13"/>
                <w:color w:val="auto"/>
              </w:rPr>
              <w:t>Diluted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20,176,838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r>
      <w:tr>
        <w:trPr>
          <w:trHeight w:val="171"/>
        </w:trPr>
        <w:tc>
          <w:tcPr>
            <w:tcW w:w="5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5740" w:type="dxa"/>
            <w:vAlign w:val="bottom"/>
          </w:tcPr>
          <w:p>
            <w:pPr>
              <w:ind w:left="40"/>
              <w:spacing w:after="0"/>
              <w:rPr>
                <w:sz w:val="20"/>
                <w:szCs w:val="20"/>
                <w:color w:val="auto"/>
              </w:rPr>
            </w:pPr>
            <w:r>
              <w:rPr>
                <w:rFonts w:ascii="Arial" w:cs="Arial" w:eastAsia="Arial" w:hAnsi="Arial"/>
                <w:sz w:val="13"/>
                <w:szCs w:val="13"/>
                <w:b w:val="1"/>
                <w:bCs w:val="1"/>
                <w:color w:val="auto"/>
              </w:rPr>
              <w:t>Diluted EPS: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740" w:type="dxa"/>
            <w:vAlign w:val="bottom"/>
          </w:tcPr>
          <w:p>
            <w:pPr>
              <w:ind w:left="220"/>
              <w:spacing w:after="0"/>
              <w:rPr>
                <w:sz w:val="20"/>
                <w:szCs w:val="20"/>
                <w:color w:val="auto"/>
              </w:rPr>
            </w:pPr>
            <w:r>
              <w:rPr>
                <w:rFonts w:ascii="Arial" w:cs="Arial" w:eastAsia="Arial" w:hAnsi="Arial"/>
                <w:sz w:val="13"/>
                <w:szCs w:val="13"/>
                <w:color w:val="auto"/>
              </w:rPr>
              <w:t>Net income (loss) per diluted share (GAAP)</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(6.72)</w:t>
            </w:r>
          </w:p>
        </w:tc>
        <w:tc>
          <w:tcPr>
            <w:tcW w:w="20" w:type="dxa"/>
            <w:vAlign w:val="bottom"/>
          </w:tcPr>
          <w:p>
            <w:pPr>
              <w:spacing w:after="0"/>
              <w:rPr>
                <w:sz w:val="14"/>
                <w:szCs w:val="14"/>
                <w:color w:val="auto"/>
              </w:rPr>
            </w:pPr>
          </w:p>
        </w:tc>
      </w:tr>
      <w:tr>
        <w:trPr>
          <w:trHeight w:val="16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Add back: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5740" w:type="dxa"/>
            <w:vAlign w:val="bottom"/>
          </w:tcPr>
          <w:p>
            <w:pPr>
              <w:ind w:left="160"/>
              <w:spacing w:after="0"/>
              <w:rPr>
                <w:sz w:val="20"/>
                <w:szCs w:val="20"/>
                <w:color w:val="auto"/>
              </w:rPr>
            </w:pPr>
            <w:r>
              <w:rPr>
                <w:rFonts w:ascii="Arial" w:cs="Arial" w:eastAsia="Arial" w:hAnsi="Arial"/>
                <w:sz w:val="13"/>
                <w:szCs w:val="13"/>
                <w:color w:val="auto"/>
              </w:rPr>
              <w:t>Adjusted net income available to common stockholders per diluted share (non-GAAP)</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1.81</w:t>
            </w:r>
          </w:p>
        </w:tc>
        <w:tc>
          <w:tcPr>
            <w:tcW w:w="20" w:type="dxa"/>
            <w:vAlign w:val="bottom"/>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5" w:name="page66"/>
    <w:bookmarkEnd w:id="6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8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00" w:type="dxa"/>
            <w:vAlign w:val="bottom"/>
            <w:gridSpan w:val="2"/>
          </w:tcPr>
          <w:p>
            <w:pPr>
              <w:jc w:val="right"/>
              <w:spacing w:after="0"/>
              <w:rPr>
                <w:sz w:val="20"/>
                <w:szCs w:val="20"/>
                <w:color w:val="auto"/>
              </w:rPr>
            </w:pPr>
            <w:r>
              <w:rPr>
                <w:rFonts w:ascii="Arial" w:cs="Arial" w:eastAsia="Arial" w:hAnsi="Arial"/>
                <w:sz w:val="14"/>
                <w:szCs w:val="14"/>
                <w:color w:val="0000FF"/>
              </w:rPr>
              <w:t>67</w:t>
            </w:r>
          </w:p>
        </w:tc>
      </w:tr>
      <w:tr>
        <w:trPr>
          <w:trHeight w:val="311"/>
        </w:trPr>
        <w:tc>
          <w:tcPr>
            <w:tcW w:w="3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Balance Sheets</w:t>
            </w:r>
          </w:p>
        </w:tc>
        <w:tc>
          <w:tcPr>
            <w:tcW w:w="29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89"/>
              </w:rPr>
              <w:t>68</w:t>
            </w: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51"/>
        </w:trPr>
        <w:tc>
          <w:tcPr>
            <w:tcW w:w="2480" w:type="dxa"/>
            <w:vAlign w:val="bottom"/>
            <w:tcBorders>
              <w:bottom w:val="single" w:sz="8" w:color="0000FF"/>
            </w:tcBorders>
            <w:gridSpan w:val="2"/>
          </w:tcPr>
          <w:p>
            <w:pPr>
              <w:spacing w:after="0" w:line="151" w:lineRule="exact"/>
              <w:rPr>
                <w:sz w:val="20"/>
                <w:szCs w:val="20"/>
                <w:color w:val="auto"/>
              </w:rPr>
            </w:pPr>
            <w:r>
              <w:rPr>
                <w:rFonts w:ascii="Arial" w:cs="Arial" w:eastAsia="Arial" w:hAnsi="Arial"/>
                <w:sz w:val="14"/>
                <w:szCs w:val="14"/>
                <w:color w:val="0000FF"/>
              </w:rPr>
              <w:t>Consolidated Statements of Operations</w:t>
            </w:r>
          </w:p>
        </w:tc>
        <w:tc>
          <w:tcPr>
            <w:tcW w:w="410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69</w:t>
            </w: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Comprehensive Income (Loss)</w:t>
            </w:r>
          </w:p>
        </w:tc>
        <w:tc>
          <w:tcPr>
            <w:tcW w:w="110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70</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Changes in Stockholders’ Equity</w:t>
            </w:r>
          </w:p>
        </w:tc>
        <w:tc>
          <w:tcPr>
            <w:tcW w:w="110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71</w:t>
            </w:r>
          </w:p>
        </w:tc>
      </w:tr>
      <w:tr>
        <w:trPr>
          <w:trHeight w:val="140"/>
        </w:trPr>
        <w:tc>
          <w:tcPr>
            <w:tcW w:w="342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4"/>
                <w:szCs w:val="14"/>
                <w:color w:val="0000FF"/>
              </w:rPr>
              <w:t>Consolidated Statements of Cash Flows</w:t>
            </w:r>
          </w:p>
        </w:tc>
        <w:tc>
          <w:tcPr>
            <w:tcW w:w="20" w:type="dxa"/>
            <w:vAlign w:val="bottom"/>
          </w:tcPr>
          <w:p>
            <w:pPr>
              <w:spacing w:after="0"/>
              <w:rPr>
                <w:sz w:val="12"/>
                <w:szCs w:val="12"/>
                <w:color w:val="auto"/>
              </w:rPr>
            </w:pPr>
          </w:p>
        </w:tc>
        <w:tc>
          <w:tcPr>
            <w:tcW w:w="400" w:type="dxa"/>
            <w:vAlign w:val="bottom"/>
            <w:tcBorders>
              <w:top w:val="single" w:sz="8" w:color="0000FF"/>
            </w:tcBorders>
            <w:gridSpan w:val="3"/>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72</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51"/>
        </w:trPr>
        <w:tc>
          <w:tcPr>
            <w:tcW w:w="3000" w:type="dxa"/>
            <w:vAlign w:val="bottom"/>
            <w:tcBorders>
              <w:bottom w:val="single" w:sz="8" w:color="0000FF"/>
            </w:tcBorders>
            <w:gridSpan w:val="4"/>
          </w:tcPr>
          <w:p>
            <w:pPr>
              <w:spacing w:after="0" w:line="151" w:lineRule="exact"/>
              <w:rPr>
                <w:sz w:val="20"/>
                <w:szCs w:val="20"/>
                <w:color w:val="auto"/>
              </w:rPr>
            </w:pPr>
            <w:r>
              <w:rPr>
                <w:rFonts w:ascii="Arial" w:cs="Arial" w:eastAsia="Arial" w:hAnsi="Arial"/>
                <w:sz w:val="14"/>
                <w:szCs w:val="14"/>
                <w:color w:val="0000FF"/>
              </w:rPr>
              <w:t>Notes to the Consolidated Financial Statements</w:t>
            </w:r>
          </w:p>
        </w:tc>
        <w:tc>
          <w:tcPr>
            <w:tcW w:w="35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66" w:name="page67"/>
    <w:bookmarkEnd w:id="66"/>
    <w:p>
      <w:pPr>
        <w:ind w:left="574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9"/>
          <w:szCs w:val="9"/>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0" w:lineRule="exact"/>
        <w:rPr>
          <w:sz w:val="20"/>
          <w:szCs w:val="20"/>
          <w:color w:val="auto"/>
        </w:rPr>
      </w:pPr>
    </w:p>
    <w:p>
      <w:pPr>
        <w:spacing w:after="0" w:line="30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Stockholders and the Board of Directors of</w:t>
      </w:r>
    </w:p>
    <w:p>
      <w:pPr>
        <w:ind w:left="1180"/>
        <w:spacing w:after="0"/>
        <w:rPr>
          <w:sz w:val="20"/>
          <w:szCs w:val="20"/>
          <w:color w:val="auto"/>
        </w:rPr>
      </w:pPr>
      <w:r>
        <w:rPr>
          <w:rFonts w:ascii="Arial" w:cs="Arial" w:eastAsia="Arial" w:hAnsi="Arial"/>
          <w:sz w:val="14"/>
          <w:szCs w:val="14"/>
          <w:color w:val="auto"/>
        </w:rPr>
        <w:t>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8" w:lineRule="exact"/>
        <w:rPr>
          <w:sz w:val="20"/>
          <w:szCs w:val="20"/>
          <w:color w:val="auto"/>
        </w:rPr>
      </w:pPr>
    </w:p>
    <w:p>
      <w:pPr>
        <w:jc w:val="both"/>
        <w:ind w:left="1180" w:right="1159"/>
        <w:spacing w:after="0" w:line="246"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2022 and 2021, the related consolidated statements of operations, comprehensive income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88" w:lineRule="exact"/>
        <w:rPr>
          <w:sz w:val="20"/>
          <w:szCs w:val="20"/>
          <w:color w:val="auto"/>
        </w:rPr>
      </w:pPr>
    </w:p>
    <w:p>
      <w:pPr>
        <w:jc w:val="both"/>
        <w:ind w:left="1180" w:right="1199"/>
        <w:spacing w:after="0" w:line="269"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1180" w:right="1199"/>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2" w:lineRule="exact"/>
        <w:rPr>
          <w:sz w:val="20"/>
          <w:szCs w:val="20"/>
          <w:color w:val="auto"/>
        </w:rPr>
      </w:pPr>
    </w:p>
    <w:p>
      <w:pPr>
        <w:jc w:val="both"/>
        <w:ind w:left="1180" w:right="1199"/>
        <w:spacing w:after="0" w:line="24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119"/>
        <w:spacing w:after="0"/>
        <w:rPr>
          <w:sz w:val="20"/>
          <w:szCs w:val="20"/>
          <w:color w:val="auto"/>
        </w:rPr>
      </w:pPr>
      <w:r>
        <w:rPr>
          <w:rFonts w:ascii="Arial" w:cs="Arial" w:eastAsia="Arial" w:hAnsi="Arial"/>
          <w:sz w:val="14"/>
          <w:szCs w:val="14"/>
          <w:i w:val="1"/>
          <w:iCs w:val="1"/>
          <w:color w:val="auto"/>
        </w:rPr>
        <w:t>/s/ Crowe LLP</w:t>
      </w:r>
    </w:p>
    <w:p>
      <w:pPr>
        <w:spacing w:after="0" w:line="13" w:lineRule="exact"/>
        <w:rPr>
          <w:sz w:val="20"/>
          <w:szCs w:val="20"/>
          <w:color w:val="auto"/>
        </w:rPr>
      </w:pPr>
    </w:p>
    <w:p>
      <w:pPr>
        <w:jc w:val="right"/>
        <w:ind w:right="4159"/>
        <w:spacing w:after="0"/>
        <w:rPr>
          <w:sz w:val="20"/>
          <w:szCs w:val="20"/>
          <w:color w:val="auto"/>
        </w:rPr>
      </w:pPr>
      <w:r>
        <w:rPr>
          <w:rFonts w:ascii="Arial" w:cs="Arial" w:eastAsia="Arial" w:hAnsi="Arial"/>
          <w:sz w:val="14"/>
          <w:szCs w:val="14"/>
          <w:color w:val="auto"/>
        </w:rPr>
        <w:t>Crowe LLP</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ind w:left="1180"/>
        <w:spacing w:after="0"/>
        <w:rPr>
          <w:sz w:val="20"/>
          <w:szCs w:val="20"/>
          <w:color w:val="auto"/>
        </w:rPr>
      </w:pPr>
      <w:r>
        <w:rPr>
          <w:rFonts w:ascii="Arial" w:cs="Arial" w:eastAsia="Arial" w:hAnsi="Arial"/>
          <w:sz w:val="14"/>
          <w:szCs w:val="14"/>
          <w:color w:val="auto"/>
        </w:rPr>
        <w:t>March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756" w:right="1440" w:bottom="1440" w:gutter="0" w:footer="0" w:header="0"/>
        </w:sectPr>
      </w:pPr>
    </w:p>
    <w:bookmarkStart w:id="67" w:name="page68"/>
    <w:bookmarkEnd w:id="67"/>
    <w:p>
      <w:pPr>
        <w:ind w:left="52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9"/>
          <w:szCs w:val="9"/>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6,605</w:t>
            </w:r>
          </w:p>
        </w:tc>
        <w:tc>
          <w:tcPr>
            <w:tcW w:w="40" w:type="dxa"/>
            <w:vAlign w:val="bottom"/>
          </w:tcPr>
          <w:p>
            <w:pPr>
              <w:spacing w:after="0"/>
              <w:rPr>
                <w:sz w:val="13"/>
                <w:szCs w:val="13"/>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6,477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39,751</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54,168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(fair value $169,088 and $120,157, respectively)</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230,140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$17,487 and $15,057, respectively</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1,489,851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1,175,024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5,263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5,278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41,720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42,360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34,929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49"/>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4,300</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915,853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703,856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 accounts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225,220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46,000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49"/>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Accrued interest and other liabilities</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9,478</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1"/>
                <w:szCs w:val="11"/>
                <w:color w:val="auto"/>
              </w:rPr>
            </w:pPr>
          </w:p>
        </w:tc>
      </w:tr>
      <w:tr>
        <w:trPr>
          <w:trHeight w:val="140"/>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 10 and 18)</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issued and outstanding as of December 31, 2022 and 2021</w:t>
            </w:r>
          </w:p>
        </w:tc>
        <w:tc>
          <w:tcPr>
            <w:tcW w:w="14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outstanding as of December 31, 2022 and 2021</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issued and outstanding as of December 31, 2022 and 2021</w:t>
            </w:r>
          </w:p>
        </w:tc>
        <w:tc>
          <w:tcPr>
            <w:tcW w:w="14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20,000,753 and</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19,991,753 issued and outstanding as of December 31, 2022 and 2021</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19,992</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issued and</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outstanding as of December 31, 2022 and 2021</w:t>
            </w:r>
          </w:p>
        </w:tc>
        <w:tc>
          <w:tcPr>
            <w:tcW w:w="14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1"/>
                <w:szCs w:val="11"/>
                <w:color w:val="auto"/>
              </w:rPr>
              <w:t>(104,104)</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(124,245)</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income (loss)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(2,516)</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756" w:right="1440" w:bottom="1440" w:gutter="0" w:footer="0" w:header="0"/>
        </w:sectPr>
      </w:pPr>
    </w:p>
    <w:bookmarkStart w:id="68" w:name="page69"/>
    <w:bookmarkEnd w:id="68"/>
    <w:p>
      <w:pPr>
        <w:ind w:left="52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9"/>
          <w:szCs w:val="9"/>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Years Ended December 31,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24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60,825</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48,730</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9,346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56,722</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2,082</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1,531</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4,226</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63,661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52,496</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61,166</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52,656</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4,010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3,609</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Bank owned life insurance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214</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on sale of premises and equipment,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983</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1,007</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10,698</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21,438</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5,058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5,257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783</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1,454</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Audit and tax services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975</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4,304</w:t>
            </w:r>
          </w:p>
        </w:tc>
        <w:tc>
          <w:tcPr>
            <w:tcW w:w="20" w:type="dxa"/>
            <w:vAlign w:val="bottom"/>
            <w:shd w:val="clear" w:color="auto" w:fill="CCEEFF"/>
          </w:tcPr>
          <w:p>
            <w:pPr>
              <w:spacing w:after="0"/>
              <w:rPr>
                <w:sz w:val="14"/>
                <w:szCs w:val="14"/>
                <w:color w:val="auto"/>
              </w:rPr>
            </w:pPr>
          </w:p>
        </w:tc>
      </w:tr>
      <w:tr>
        <w:trPr>
          <w:trHeight w:val="151"/>
        </w:trPr>
        <w:tc>
          <w:tcPr>
            <w:tcW w:w="5240" w:type="dxa"/>
            <w:vAlign w:val="bottom"/>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39,309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35,677</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27,677</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6,944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6,600</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Less: Preferred stock dividend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2,077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4"/>
                <w:szCs w:val="14"/>
                <w:color w:val="auto"/>
              </w:rPr>
            </w:pPr>
          </w:p>
        </w:tc>
      </w:tr>
      <w:tr>
        <w:trPr>
          <w:trHeight w:val="201"/>
        </w:trPr>
        <w:tc>
          <w:tcPr>
            <w:tcW w:w="5240" w:type="dxa"/>
            <w:vAlign w:val="bottom"/>
          </w:tcPr>
          <w:p>
            <w:pPr>
              <w:ind w:left="300"/>
              <w:spacing w:after="0"/>
              <w:rPr>
                <w:sz w:val="20"/>
                <w:szCs w:val="20"/>
                <w:color w:val="auto"/>
              </w:rPr>
            </w:pPr>
            <w:r>
              <w:rPr>
                <w:rFonts w:ascii="Arial" w:cs="Arial" w:eastAsia="Arial" w:hAnsi="Arial"/>
                <w:sz w:val="11"/>
                <w:szCs w:val="11"/>
                <w:color w:val="auto"/>
              </w:rPr>
              <w:t>Net income (loss) available to common stockholders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20,141</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(70,585)</w:t>
            </w:r>
          </w:p>
        </w:tc>
      </w:tr>
      <w:tr>
        <w:trPr>
          <w:trHeight w:val="111"/>
        </w:trPr>
        <w:tc>
          <w:tcPr>
            <w:tcW w:w="52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basic</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800" w:type="dxa"/>
            <w:vAlign w:val="bottom"/>
            <w:gridSpan w:val="3"/>
            <w:shd w:val="clear" w:color="auto" w:fill="CCEEFF"/>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(6.72)</w:t>
            </w:r>
          </w:p>
        </w:tc>
      </w:tr>
      <w:tr>
        <w:trPr>
          <w:trHeight w:val="183"/>
        </w:trPr>
        <w:tc>
          <w:tcPr>
            <w:tcW w:w="5240" w:type="dxa"/>
            <w:vAlign w:val="bottom"/>
          </w:tcPr>
          <w:p>
            <w:pPr>
              <w:ind w:left="200"/>
              <w:spacing w:after="0"/>
              <w:rPr>
                <w:sz w:val="20"/>
                <w:szCs w:val="20"/>
                <w:color w:val="auto"/>
              </w:rPr>
            </w:pPr>
            <w:r>
              <w:rPr>
                <w:rFonts w:ascii="Arial" w:cs="Arial" w:eastAsia="Arial" w:hAnsi="Arial"/>
                <w:sz w:val="11"/>
                <w:szCs w:val="11"/>
                <w:color w:val="auto"/>
              </w:rPr>
              <w:t>Net income (loss) per share, diluted</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1.00</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(6.72)</w:t>
            </w:r>
          </w:p>
        </w:tc>
      </w:tr>
    </w:tbl>
    <w:p>
      <w:pPr>
        <w:spacing w:after="0" w:line="172" w:lineRule="exact"/>
        <w:rPr>
          <w:sz w:val="20"/>
          <w:szCs w:val="20"/>
          <w:color w:val="auto"/>
        </w:rPr>
      </w:pPr>
    </w:p>
    <w:p>
      <w:pPr>
        <w:ind w:left="2280" w:right="2299" w:hanging="1617"/>
        <w:spacing w:after="0" w:line="648" w:lineRule="auto"/>
        <w:tabs>
          <w:tab w:leader="none" w:pos="862" w:val="left"/>
        </w:tabs>
        <w:numPr>
          <w:ilvl w:val="0"/>
          <w:numId w:val="29"/>
        </w:numPr>
        <w:rPr>
          <w:rFonts w:ascii="Arial" w:cs="Arial" w:eastAsia="Arial" w:hAnsi="Arial"/>
          <w:sz w:val="11"/>
          <w:szCs w:val="11"/>
          <w:color w:val="auto"/>
        </w:rPr>
      </w:pPr>
      <w:r>
        <w:rPr>
          <w:rFonts w:ascii="Arial" w:cs="Arial" w:eastAsia="Arial" w:hAnsi="Arial"/>
          <w:sz w:val="11"/>
          <w:szCs w:val="11"/>
          <w:color w:val="auto"/>
        </w:rPr>
        <w:t>See Note 14 "Earnings per Share" for informationon the allocation of income available to common stockholders. The accompanying notes are an integral part ofthese consolidated financial statements.</w:t>
      </w:r>
    </w:p>
    <w:p>
      <w:pPr>
        <w:spacing w:after="0" w:line="1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756" w:right="1440" w:bottom="1440" w:gutter="0" w:footer="0" w:header="0"/>
        </w:sectPr>
      </w:pPr>
    </w:p>
    <w:bookmarkStart w:id="69" w:name="page70"/>
    <w:bookmarkEnd w:id="69"/>
    <w:p>
      <w:pPr>
        <w:ind w:left="52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9"/>
          <w:szCs w:val="9"/>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tcPr>
          <w:p>
            <w:pPr>
              <w:jc w:val="right"/>
              <w:ind w:right="243"/>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r>
      <w:tr>
        <w:trPr>
          <w:trHeight w:val="15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20,141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21,077</w:t>
            </w:r>
          </w:p>
        </w:tc>
      </w:tr>
      <w:tr>
        <w:trPr>
          <w:trHeight w:val="160"/>
        </w:trPr>
        <w:tc>
          <w:tcPr>
            <w:tcW w:w="56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loss on investment securities</w:t>
            </w:r>
          </w:p>
        </w:tc>
        <w:tc>
          <w:tcPr>
            <w:tcW w:w="16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(59,260)</w:t>
            </w:r>
          </w:p>
        </w:tc>
        <w:tc>
          <w:tcPr>
            <w:tcW w:w="2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(9,561)</w:t>
            </w: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 available-for-sale to held-to-maturity</w:t>
            </w:r>
          </w:p>
        </w:tc>
        <w:tc>
          <w:tcPr>
            <w:tcW w:w="16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108</w:t>
            </w: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loss included in net income</w:t>
            </w:r>
          </w:p>
        </w:tc>
        <w:tc>
          <w:tcPr>
            <w:tcW w:w="16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2,529</w:t>
            </w:r>
          </w:p>
        </w:tc>
        <w:tc>
          <w:tcPr>
            <w:tcW w:w="2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(214)</w:t>
            </w:r>
          </w:p>
        </w:tc>
      </w:tr>
      <w:tr>
        <w:trPr>
          <w:trHeight w:val="160"/>
        </w:trPr>
        <w:tc>
          <w:tcPr>
            <w:tcW w:w="56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Tax effect</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14,376</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2,370</w:t>
            </w:r>
          </w:p>
        </w:tc>
      </w:tr>
      <w:tr>
        <w:trPr>
          <w:trHeight w:val="140"/>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comprehensive loss, net of tax</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(42,235)</w:t>
            </w: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(7,297)</w:t>
            </w:r>
          </w:p>
        </w:tc>
      </w:tr>
      <w:tr>
        <w:trPr>
          <w:trHeight w:val="20"/>
        </w:trPr>
        <w:tc>
          <w:tcPr>
            <w:tcW w:w="56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1"/>
                <w:szCs w:val="11"/>
                <w:color w:val="auto"/>
              </w:rPr>
              <w:t>Total comprehensive income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(22,094)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13,780</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756"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tcPr>
          <w:p>
            <w:pPr>
              <w:spacing w:after="0"/>
              <w:rPr>
                <w:sz w:val="12"/>
                <w:szCs w:val="12"/>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center"/>
              <w:ind w:right="83"/>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3"/>
              <w:spacing w:after="0"/>
              <w:rPr>
                <w:sz w:val="20"/>
                <w:szCs w:val="20"/>
                <w:color w:val="auto"/>
              </w:rPr>
            </w:pPr>
            <w:r>
              <w:rPr>
                <w:rFonts w:ascii="Arial" w:cs="Arial" w:eastAsia="Arial" w:hAnsi="Arial"/>
                <w:sz w:val="11"/>
                <w:szCs w:val="11"/>
                <w:b w:val="1"/>
                <w:bCs w:val="1"/>
                <w:color w:val="auto"/>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1"/>
                <w:szCs w:val="11"/>
                <w:color w:val="auto"/>
              </w:rPr>
            </w:pPr>
          </w:p>
        </w:tc>
        <w:tc>
          <w:tcPr>
            <w:tcW w:w="9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Comprehensive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Income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2022</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(124,245)</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20,141</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Issuance of common stock - exercised options</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3"/>
              <w:spacing w:after="0"/>
              <w:rPr>
                <w:sz w:val="20"/>
                <w:szCs w:val="20"/>
                <w:color w:val="auto"/>
              </w:rPr>
            </w:pPr>
            <w:r>
              <w:rPr>
                <w:rFonts w:ascii="Arial" w:cs="Arial" w:eastAsia="Arial" w:hAnsi="Arial"/>
                <w:sz w:val="11"/>
                <w:szCs w:val="11"/>
                <w:color w:val="auto"/>
              </w:rPr>
              <w:t>9,000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Stock based compensation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0" w:type="dxa"/>
            <w:vAlign w:val="bottom"/>
          </w:tcPr>
          <w:p>
            <w:pPr>
              <w:spacing w:after="0"/>
              <w:rPr>
                <w:sz w:val="1"/>
                <w:szCs w:val="1"/>
                <w:color w:val="auto"/>
              </w:rPr>
            </w:pPr>
          </w:p>
        </w:tc>
      </w:tr>
      <w:tr>
        <w:trPr>
          <w:trHeight w:val="201"/>
        </w:trPr>
        <w:tc>
          <w:tcPr>
            <w:tcW w:w="2600" w:type="dxa"/>
            <w:vAlign w:val="bottom"/>
          </w:tcPr>
          <w:p>
            <w:pPr>
              <w:spacing w:after="0"/>
              <w:rPr>
                <w:sz w:val="20"/>
                <w:szCs w:val="20"/>
                <w:color w:val="auto"/>
              </w:rPr>
            </w:pPr>
            <w:r>
              <w:rPr>
                <w:rFonts w:ascii="Arial" w:cs="Arial" w:eastAsia="Arial" w:hAnsi="Arial"/>
                <w:sz w:val="11"/>
                <w:szCs w:val="11"/>
                <w:color w:val="auto"/>
              </w:rPr>
              <w:t>Balance at December 31, 2022</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(104,104)</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11"/>
        </w:trPr>
        <w:tc>
          <w:tcPr>
            <w:tcW w:w="26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20"/>
                <w:szCs w:val="20"/>
                <w:color w:val="auto"/>
              </w:rPr>
            </w:pPr>
            <w:r>
              <w:rPr>
                <w:rFonts w:ascii="Arial" w:cs="Arial" w:eastAsia="Arial" w:hAnsi="Arial"/>
                <w:sz w:val="11"/>
                <w:szCs w:val="11"/>
                <w:color w:val="auto"/>
              </w:rPr>
              <w:t>Balance at January 1, 2021</w:t>
            </w:r>
          </w:p>
        </w:tc>
        <w:tc>
          <w:tcPr>
            <w:tcW w:w="800" w:type="dxa"/>
            <w:vAlign w:val="bottom"/>
          </w:tcPr>
          <w:p>
            <w:pPr>
              <w:jc w:val="right"/>
              <w:spacing w:after="0"/>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3"/>
                <w:szCs w:val="13"/>
                <w:color w:val="auto"/>
              </w:rPr>
            </w:pPr>
          </w:p>
        </w:tc>
        <w:tc>
          <w:tcPr>
            <w:tcW w:w="14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32,077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10,010,521</w:t>
            </w:r>
          </w:p>
        </w:tc>
        <w:tc>
          <w:tcPr>
            <w:tcW w:w="20" w:type="dxa"/>
            <w:vAlign w:val="bottom"/>
          </w:tcPr>
          <w:p>
            <w:pPr>
              <w:spacing w:after="0"/>
              <w:rPr>
                <w:sz w:val="13"/>
                <w:szCs w:val="13"/>
                <w:color w:val="auto"/>
              </w:rPr>
            </w:pPr>
          </w:p>
        </w:tc>
        <w:tc>
          <w:tcPr>
            <w:tcW w:w="160" w:type="dxa"/>
            <w:vAlign w:val="bottom"/>
            <w:gridSpan w:val="2"/>
          </w:tcPr>
          <w:p>
            <w:pPr>
              <w:jc w:val="center"/>
              <w:ind w:right="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177,755</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(53,622)</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4,781</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171,001</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(7,297)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(7,297)</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0" w:type="dxa"/>
            <w:vAlign w:val="bottom"/>
          </w:tcPr>
          <w:p>
            <w:pPr>
              <w:spacing w:after="0"/>
              <w:rPr>
                <w:sz w:val="1"/>
                <w:szCs w:val="1"/>
                <w:color w:val="auto"/>
              </w:rPr>
            </w:pPr>
          </w:p>
        </w:tc>
      </w:tr>
      <w:tr>
        <w:trPr>
          <w:trHeight w:val="185"/>
        </w:trPr>
        <w:tc>
          <w:tcPr>
            <w:tcW w:w="2600" w:type="dxa"/>
            <w:vAlign w:val="bottom"/>
          </w:tcPr>
          <w:p>
            <w:pPr>
              <w:ind w:left="100"/>
              <w:spacing w:after="0"/>
              <w:rPr>
                <w:sz w:val="20"/>
                <w:szCs w:val="20"/>
                <w:color w:val="auto"/>
              </w:rPr>
            </w:pPr>
            <w:r>
              <w:rPr>
                <w:rFonts w:ascii="Arial" w:cs="Arial" w:eastAsia="Arial" w:hAnsi="Arial"/>
                <w:sz w:val="11"/>
                <w:szCs w:val="11"/>
                <w:color w:val="auto"/>
              </w:rPr>
              <w:t>Issuance of Class A common stock, net of</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100"/>
              <w:spacing w:after="0"/>
              <w:rPr>
                <w:sz w:val="20"/>
                <w:szCs w:val="20"/>
                <w:color w:val="auto"/>
              </w:rPr>
            </w:pPr>
            <w:r>
              <w:rPr>
                <w:rFonts w:ascii="Arial" w:cs="Arial" w:eastAsia="Arial" w:hAnsi="Arial"/>
                <w:sz w:val="11"/>
                <w:szCs w:val="11"/>
                <w:color w:val="auto"/>
              </w:rPr>
              <w:t>offering costs of $6,048</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4,600,000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4,600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35,226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39,826</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of preferred stock</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(11,109,025)</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(22,154)</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10,278,072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10,279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92,501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(80,626)</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Redemption of preferred stock</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(1,241,854)</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(9,923)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(18,920)</w:t>
            </w:r>
          </w:p>
        </w:tc>
        <w:tc>
          <w:tcPr>
            <w:tcW w:w="0" w:type="dxa"/>
            <w:vAlign w:val="bottom"/>
          </w:tcPr>
          <w:p>
            <w:pPr>
              <w:spacing w:after="0"/>
              <w:rPr>
                <w:sz w:val="1"/>
                <w:szCs w:val="1"/>
                <w:color w:val="auto"/>
              </w:rPr>
            </w:pPr>
          </w:p>
        </w:tc>
      </w:tr>
      <w:tr>
        <w:trPr>
          <w:trHeight w:val="30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of Class B to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(4,896,840)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4,897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600" w:type="dxa"/>
            <w:vAlign w:val="bottom"/>
          </w:tcPr>
          <w:p>
            <w:pPr>
              <w:ind w:left="100"/>
              <w:spacing w:after="0"/>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41"/>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19,991,753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19,992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10240"/>
          </w:cols>
          <w:pgMar w:left="900" w:top="491" w:right="759" w:bottom="1440" w:gutter="0" w:footer="0" w:header="0"/>
        </w:sectPr>
      </w:pPr>
    </w:p>
    <w:bookmarkStart w:id="71" w:name="page72"/>
    <w:bookmarkEnd w:id="7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4"/>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r>
      <w:tr>
        <w:trPr>
          <w:trHeight w:val="14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20,141</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21,077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Provision for credit losses</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2,495</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(160)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688</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Amortization of premiums on securities, net</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433</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596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Accretion of deferred loan fees,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(1,497)</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(3,754)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Stock based compensation</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523</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287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Loss (Gain) on sale of available for sale securities,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2,529</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Gain on sale of loans held for sale</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(891)</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(1,626)</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Gain on sale of premises and equipment,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(983)</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Increase in cash surrender value of bank owned life insurance</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(1,061)</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(759)</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Decrease in deferred tax asset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6,945</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(1,571)</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(428)</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(3,449)</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(2,270)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4,252</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2,652</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ind w:left="380"/>
              <w:spacing w:after="0"/>
              <w:rPr>
                <w:sz w:val="20"/>
                <w:szCs w:val="20"/>
                <w:color w:val="auto"/>
              </w:rPr>
            </w:pPr>
            <w:r>
              <w:rPr>
                <w:rFonts w:ascii="Arial" w:cs="Arial" w:eastAsia="Arial" w:hAnsi="Arial"/>
                <w:sz w:val="11"/>
                <w:szCs w:val="11"/>
                <w:color w:val="auto"/>
              </w:rPr>
              <w:t>Net cash provided by operating activities</w:t>
            </w:r>
          </w:p>
        </w:tc>
        <w:tc>
          <w:tcPr>
            <w:tcW w:w="260" w:type="dxa"/>
            <w:vAlign w:val="bottom"/>
          </w:tcPr>
          <w:p>
            <w:pPr>
              <w:spacing w:after="0"/>
              <w:rPr>
                <w:sz w:val="12"/>
                <w:szCs w:val="12"/>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29,537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22,051</w:t>
            </w: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held to maturity</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(14,739)</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(57,917)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12,237</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3,736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(53,113)</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(258,767)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available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40,754</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61,047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60,649</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48,940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call of investment securities available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3,034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(257,580)</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(33,515)</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loans held for investment</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(70,175)</w:t>
            </w:r>
          </w:p>
        </w:tc>
        <w:tc>
          <w:tcPr>
            <w:tcW w:w="2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(129,531)</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Additions to premises and equipment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(673)</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(633)</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sale of loans held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12,821</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16,980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the sale of property</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3,440</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611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(4,222)</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bank owned life insurance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(15,000)</w:t>
            </w:r>
          </w:p>
        </w:tc>
      </w:tr>
      <w:tr>
        <w:trPr>
          <w:trHeight w:val="20"/>
        </w:trPr>
        <w:tc>
          <w:tcPr>
            <w:tcW w:w="5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cash used in investment activities</w:t>
            </w:r>
          </w:p>
        </w:tc>
        <w:tc>
          <w:tcPr>
            <w:tcW w:w="2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(270,601)</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(359,363)</w:t>
            </w:r>
          </w:p>
        </w:tc>
      </w:tr>
      <w:tr>
        <w:trPr>
          <w:trHeight w:val="173"/>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72" w:name="page73"/>
    <w:bookmarkEnd w:id="7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1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2"/>
                <w:szCs w:val="12"/>
                <w:color w:val="auto"/>
              </w:rPr>
            </w:pPr>
          </w:p>
        </w:tc>
      </w:tr>
      <w:tr>
        <w:trPr>
          <w:trHeight w:val="140"/>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39,826</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(2,077)</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1"/>
                <w:szCs w:val="11"/>
                <w:color w:val="auto"/>
              </w:rPr>
              <w:t>(5,275)</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Preferred stock Class 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(6,145)</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1"/>
                <w:szCs w:val="11"/>
                <w:color w:val="auto"/>
              </w:rPr>
              <w:t>(7,500)</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238,902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316,977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126,000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9"/>
        </w:trPr>
        <w:tc>
          <w:tcPr>
            <w:tcW w:w="120" w:type="dxa"/>
            <w:vAlign w:val="bottom"/>
            <w:tcBorders>
              <w:bottom w:val="single" w:sz="8" w:color="CCEEFF"/>
            </w:tcBorders>
            <w:shd w:val="clear" w:color="auto" w:fill="CCEEFF"/>
          </w:tcPr>
          <w:p>
            <w:pPr>
              <w:spacing w:after="0"/>
              <w:rPr>
                <w:sz w:val="12"/>
                <w:szCs w:val="1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(116,000)</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120" w:type="dxa"/>
            <w:vAlign w:val="bottom"/>
          </w:tcPr>
          <w:p>
            <w:pPr>
              <w:spacing w:after="0"/>
              <w:rPr>
                <w:sz w:val="13"/>
                <w:szCs w:val="13"/>
                <w:color w:val="auto"/>
              </w:rPr>
            </w:pPr>
          </w:p>
        </w:tc>
        <w:tc>
          <w:tcPr>
            <w:tcW w:w="5120" w:type="dxa"/>
            <w:vAlign w:val="bottom"/>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249,004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335,806</w:t>
            </w:r>
          </w:p>
        </w:tc>
        <w:tc>
          <w:tcPr>
            <w:tcW w:w="20" w:type="dxa"/>
            <w:vAlign w:val="bottom"/>
          </w:tcPr>
          <w:p>
            <w:pPr>
              <w:spacing w:after="0"/>
              <w:rPr>
                <w:sz w:val="13"/>
                <w:szCs w:val="13"/>
                <w:color w:val="auto"/>
              </w:rPr>
            </w:pPr>
          </w:p>
        </w:tc>
      </w:tr>
      <w:tr>
        <w:trPr>
          <w:trHeight w:val="160"/>
        </w:trPr>
        <w:tc>
          <w:tcPr>
            <w:tcW w:w="52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7,940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1"/>
                <w:szCs w:val="11"/>
                <w:color w:val="auto"/>
              </w:rPr>
              <w:t>(1,506)</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 of year</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46,228</w:t>
            </w: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47,734</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201"/>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Cash and cash equivalents at end of year</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54,168</w:t>
            </w:r>
          </w:p>
        </w:tc>
        <w:tc>
          <w:tcPr>
            <w:tcW w:w="18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7"/>
                <w:szCs w:val="17"/>
                <w:color w:val="auto"/>
              </w:rPr>
            </w:pPr>
          </w:p>
        </w:tc>
      </w:tr>
      <w:tr>
        <w:trPr>
          <w:trHeight w:val="111"/>
        </w:trPr>
        <w:tc>
          <w:tcPr>
            <w:tcW w:w="52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7,306</w:t>
            </w:r>
          </w:p>
        </w:tc>
        <w:tc>
          <w:tcPr>
            <w:tcW w:w="8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1"/>
        </w:trPr>
        <w:tc>
          <w:tcPr>
            <w:tcW w:w="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Transfer of loans held for investment to loans held for sale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11,930</w:t>
            </w:r>
          </w:p>
        </w:tc>
        <w:tc>
          <w:tcPr>
            <w:tcW w:w="18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15,354</w:t>
            </w:r>
          </w:p>
        </w:tc>
        <w:tc>
          <w:tcPr>
            <w:tcW w:w="20" w:type="dxa"/>
            <w:vAlign w:val="bottom"/>
          </w:tcPr>
          <w:p>
            <w:pPr>
              <w:spacing w:after="0"/>
              <w:rPr>
                <w:sz w:val="18"/>
                <w:szCs w:val="18"/>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Transfer of investment securities from available-for-sale to held-to-maturity</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63,798</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100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68,667</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1"/>
        </w:trPr>
        <w:tc>
          <w:tcPr>
            <w:tcW w:w="120" w:type="dxa"/>
            <w:vAlign w:val="bottom"/>
          </w:tcPr>
          <w:p>
            <w:pPr>
              <w:spacing w:after="0"/>
              <w:rPr>
                <w:sz w:val="15"/>
                <w:szCs w:val="15"/>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Transfer of premises and equipment to assets held for sale</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652</w:t>
            </w:r>
          </w:p>
        </w:tc>
        <w:tc>
          <w:tcPr>
            <w:tcW w:w="20" w:type="dxa"/>
            <w:vAlign w:val="bottom"/>
          </w:tcPr>
          <w:p>
            <w:pPr>
              <w:spacing w:after="0"/>
              <w:rPr>
                <w:sz w:val="15"/>
                <w:szCs w:val="15"/>
                <w:color w:val="auto"/>
              </w:rPr>
            </w:pPr>
          </w:p>
        </w:tc>
      </w:tr>
      <w:tr>
        <w:trPr>
          <w:trHeight w:val="101"/>
        </w:trPr>
        <w:tc>
          <w:tcPr>
            <w:tcW w:w="120" w:type="dxa"/>
            <w:vAlign w:val="bottom"/>
            <w:tcBorders>
              <w:top w:val="single" w:sz="8" w:color="CCEEFF"/>
            </w:tcBorders>
            <w:shd w:val="clear" w:color="auto" w:fill="CCEEFF"/>
          </w:tcPr>
          <w:p>
            <w:pPr>
              <w:spacing w:after="0"/>
              <w:rPr>
                <w:sz w:val="8"/>
                <w:szCs w:val="8"/>
                <w:color w:val="auto"/>
              </w:rPr>
            </w:pPr>
          </w:p>
        </w:tc>
        <w:tc>
          <w:tcPr>
            <w:tcW w:w="51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Lease liability arising from obtaining right-of-use assets</w:t>
            </w: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shd w:val="clear" w:color="auto" w:fill="CCEEFF"/>
              </w:rPr>
              <w:t>$</w:t>
            </w: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3,203</w:t>
            </w:r>
          </w:p>
        </w:tc>
        <w:tc>
          <w:tcPr>
            <w:tcW w:w="80" w:type="dxa"/>
            <w:vAlign w:val="bottom"/>
            <w:tcBorders>
              <w:top w:val="single" w:sz="8" w:color="auto"/>
              <w:bottom w:val="single" w:sz="8" w:color="auto"/>
            </w:tcBorders>
            <w:shd w:val="clear" w:color="auto" w:fill="CCEEFF"/>
          </w:tcPr>
          <w:p>
            <w:pPr>
              <w:spacing w:after="0"/>
              <w:rPr>
                <w:sz w:val="8"/>
                <w:szCs w:val="8"/>
                <w:color w:val="auto"/>
              </w:rPr>
            </w:pP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4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shd w:val="clear" w:color="auto" w:fill="CCEEFF"/>
              </w:rPr>
              <w:t>$</w:t>
            </w:r>
          </w:p>
        </w:tc>
        <w:tc>
          <w:tcPr>
            <w:tcW w:w="10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328</w:t>
            </w: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20" w:type="dxa"/>
            <w:vAlign w:val="bottom"/>
            <w:tcBorders>
              <w:top w:val="single" w:sz="8" w:color="auto"/>
              <w:bottom w:val="single" w:sz="8" w:color="auto"/>
            </w:tcBorders>
            <w:shd w:val="clear" w:color="auto" w:fill="CCEEFF"/>
          </w:tcPr>
          <w:p>
            <w:pPr>
              <w:spacing w:after="0"/>
              <w:rPr>
                <w:sz w:val="8"/>
                <w:szCs w:val="8"/>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4"/>
                <w:szCs w:val="14"/>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Preferred C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47,473</w:t>
            </w:r>
          </w:p>
        </w:tc>
        <w:tc>
          <w:tcPr>
            <w:tcW w:w="20" w:type="dxa"/>
            <w:vAlign w:val="bottom"/>
          </w:tcPr>
          <w:p>
            <w:pPr>
              <w:spacing w:after="0"/>
              <w:rPr>
                <w:sz w:val="14"/>
                <w:szCs w:val="14"/>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Exchange of Preferred D for Class A common stock</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100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55,308</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120" w:type="dxa"/>
            <w:vAlign w:val="bottom"/>
          </w:tcPr>
          <w:p>
            <w:pPr>
              <w:spacing w:after="0"/>
              <w:rPr>
                <w:sz w:val="10"/>
                <w:szCs w:val="10"/>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Class B common stock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4,897</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73" w:name="page74"/>
    <w:bookmarkEnd w:id="7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20" w:hanging="378"/>
        <w:spacing w:after="0"/>
        <w:tabs>
          <w:tab w:leader="none" w:pos="102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45"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December 2021, USCB Financial Holdings, Inc. acquired all issued and outstanding shares of the Class A common stock of the Bank. Each of the outstanding shares of the Bank’s common stock, par value $1.00 per share, formerly held by its shareholders were converted into and exchanged for one newly issued share of the Company’s common stock, par value $1.00 per share.</w:t>
      </w:r>
    </w:p>
    <w:p>
      <w:pPr>
        <w:spacing w:after="0" w:line="15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ind w:left="620" w:right="719" w:firstLine="256"/>
        <w:spacing w:after="0" w:line="252"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U.S. Generally Accepted Accounting Principles ("GAAP").</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Initial Public Offering and Exchange and Redemption of Shares</w:t>
      </w:r>
    </w:p>
    <w:p>
      <w:pPr>
        <w:spacing w:after="0" w:line="188" w:lineRule="exact"/>
        <w:rPr>
          <w:sz w:val="20"/>
          <w:szCs w:val="20"/>
          <w:color w:val="auto"/>
        </w:rPr>
      </w:pPr>
    </w:p>
    <w:p>
      <w:pPr>
        <w:jc w:val="both"/>
        <w:ind w:left="620" w:right="699" w:firstLine="256"/>
        <w:spacing w:after="0" w:line="248" w:lineRule="auto"/>
        <w:rPr>
          <w:sz w:val="20"/>
          <w:szCs w:val="20"/>
          <w:color w:val="auto"/>
        </w:rPr>
      </w:pPr>
      <w:r>
        <w:rPr>
          <w:rFonts w:ascii="Arial" w:cs="Arial" w:eastAsia="Arial" w:hAnsi="Arial"/>
          <w:sz w:val="14"/>
          <w:szCs w:val="14"/>
          <w:color w:val="auto"/>
        </w:rPr>
        <w:t>On July 27, 2021, the Company completed an initial public offering (the “IPO”) and its Class A voting common shares began trading on the Nasdaq Stock Market under ticker symbol “USCB”. Following the IPO, the Company completed an exchange of then outstanding preferred shares for Class A common shares and thereafter redeemed the remaining outstanding preferred shares.</w:t>
      </w:r>
    </w:p>
    <w:p>
      <w:pPr>
        <w:spacing w:after="0" w:line="156" w:lineRule="exact"/>
        <w:rPr>
          <w:sz w:val="20"/>
          <w:szCs w:val="20"/>
          <w:color w:val="auto"/>
        </w:rPr>
      </w:pPr>
    </w:p>
    <w:p>
      <w:pPr>
        <w:jc w:val="both"/>
        <w:ind w:left="620" w:right="719" w:firstLine="256"/>
        <w:spacing w:after="0" w:line="243" w:lineRule="auto"/>
        <w:rPr>
          <w:sz w:val="20"/>
          <w:szCs w:val="20"/>
          <w:color w:val="auto"/>
        </w:rPr>
      </w:pPr>
      <w:r>
        <w:rPr>
          <w:rFonts w:ascii="Arial" w:cs="Arial" w:eastAsia="Arial" w:hAnsi="Arial"/>
          <w:sz w:val="14"/>
          <w:szCs w:val="14"/>
          <w:color w:val="auto"/>
        </w:rPr>
        <w:t>In December 2021, the Company reached agreements with the Class B common shareholders to receive Class A voting common stock in exchange for all outstanding Class B non-voting common stock in a 1 for 5 stock exchange. As of December 31, 2022, there were no issued and outstanding preferred shares or Class B common shares. See Note 13 “Stockholders’ Equity” for further information about the IPO and the exchange and redemption of shares.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Risk and Uncertainties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Current Banking Environment</w:t>
      </w:r>
    </w:p>
    <w:p>
      <w:pPr>
        <w:spacing w:after="0" w:line="173" w:lineRule="exact"/>
        <w:rPr>
          <w:sz w:val="20"/>
          <w:szCs w:val="20"/>
          <w:color w:val="auto"/>
        </w:rPr>
      </w:pPr>
    </w:p>
    <w:p>
      <w:pPr>
        <w:jc w:val="both"/>
        <w:ind w:left="620" w:right="699" w:firstLine="256"/>
        <w:spacing w:after="0" w:line="249" w:lineRule="auto"/>
        <w:rPr>
          <w:sz w:val="20"/>
          <w:szCs w:val="20"/>
          <w:color w:val="auto"/>
        </w:rPr>
      </w:pPr>
      <w:r>
        <w:rPr>
          <w:rFonts w:ascii="Arial" w:cs="Arial" w:eastAsia="Arial" w:hAnsi="Arial"/>
          <w:sz w:val="14"/>
          <w:szCs w:val="14"/>
          <w:color w:val="auto"/>
        </w:rPr>
        <w:t>Industry events transpiring prior to the Company’s filing date, including bank failures, have led to uncertainty and concerns regarding the liquidity positions of the banking sector. These failures underscore the importance of maintaining access to diverse sources of funding. The Company’s deposit base includes a combination of consumer, commercial, and public funds deposits. The Company’s largest depositors include a mixture of government-related organizations and commercial clients without a high level of industry concentration.</w:t>
      </w:r>
    </w:p>
    <w:p>
      <w:pPr>
        <w:spacing w:after="0" w:line="146" w:lineRule="exact"/>
        <w:rPr>
          <w:sz w:val="20"/>
          <w:szCs w:val="20"/>
          <w:color w:val="auto"/>
        </w:rPr>
      </w:pPr>
    </w:p>
    <w:p>
      <w:pPr>
        <w:jc w:val="both"/>
        <w:ind w:left="620" w:right="739" w:firstLine="256"/>
        <w:spacing w:after="0" w:line="247" w:lineRule="auto"/>
        <w:rPr>
          <w:sz w:val="20"/>
          <w:szCs w:val="20"/>
          <w:color w:val="auto"/>
        </w:rPr>
      </w:pPr>
      <w:r>
        <w:rPr>
          <w:rFonts w:ascii="Arial" w:cs="Arial" w:eastAsia="Arial" w:hAnsi="Arial"/>
          <w:sz w:val="14"/>
          <w:szCs w:val="14"/>
          <w:color w:val="auto"/>
        </w:rPr>
        <w:t>In response to these events, the Treasury Department, Federal Reserve, and FDIC jointly announced the Bank Term Funding Program (BTFP) on March 12, 2023. This program aims to enhance liquidity by allowing institutions to pledge certain securities at the par value of the securities, and at a borrowing rate of ten basis points over the one-year overnight index swap rate. The BTFP is available to eligible U.S. federally insured depository institutions, with advances having a term of up to one year and no prepayment penalties. As of the date of the release of the Audited Consolidated Financial Statements, the Company has not accessed the BTFP.</w:t>
      </w:r>
    </w:p>
    <w:p>
      <w:pPr>
        <w:spacing w:after="0" w:line="158"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Market conditions and external factors may unpredictably impact the competitive landscape for deposits in the banking industry. Additionally, the rising interest rate environment has increased competition for liquidity and the premium at which liquidity is available to meet funding needs. The Company believes its sources of liquidity are sufficient to meet its needs on the balance sheet date.</w:t>
      </w:r>
    </w:p>
    <w:p>
      <w:pPr>
        <w:spacing w:after="0" w:line="156" w:lineRule="exact"/>
        <w:rPr>
          <w:sz w:val="20"/>
          <w:szCs w:val="20"/>
          <w:color w:val="auto"/>
        </w:rPr>
      </w:pPr>
    </w:p>
    <w:p>
      <w:pPr>
        <w:jc w:val="both"/>
        <w:ind w:left="620" w:right="719" w:firstLine="256"/>
        <w:spacing w:after="0" w:line="290" w:lineRule="auto"/>
        <w:rPr>
          <w:sz w:val="20"/>
          <w:szCs w:val="20"/>
          <w:color w:val="auto"/>
        </w:rPr>
      </w:pPr>
      <w:r>
        <w:rPr>
          <w:rFonts w:ascii="Arial" w:cs="Arial" w:eastAsia="Arial" w:hAnsi="Arial"/>
          <w:sz w:val="13"/>
          <w:szCs w:val="13"/>
          <w:color w:val="auto"/>
        </w:rPr>
        <w:t>An unexpected influx of withdrawals of deposits could adversely impact the Company's ability to rely on organic deposits to primarily fund its operations, potentially requiring greater reliance on secondary sources of liquidity to meet withdrawal</w:t>
      </w:r>
    </w:p>
    <w:p>
      <w:pPr>
        <w:spacing w:after="0" w:line="16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74" w:name="page75"/>
    <w:bookmarkEnd w:id="7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39"/>
        <w:spacing w:after="0" w:line="252" w:lineRule="auto"/>
        <w:rPr>
          <w:sz w:val="20"/>
          <w:szCs w:val="20"/>
          <w:color w:val="auto"/>
        </w:rPr>
      </w:pPr>
      <w:r>
        <w:rPr>
          <w:rFonts w:ascii="Arial" w:cs="Arial" w:eastAsia="Arial" w:hAnsi="Arial"/>
          <w:sz w:val="14"/>
          <w:szCs w:val="14"/>
          <w:color w:val="auto"/>
        </w:rPr>
        <w:t>demands or to fund continuing operations. These sources may include proceeds from FHLB advances, sales of investment securities and loans, federal funds lines of credit from correspondent banks, and out-of-market time deposits.</w:t>
      </w:r>
    </w:p>
    <w:p>
      <w:pPr>
        <w:spacing w:after="0" w:line="153"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Such reliance on secondary funding sources could increase the Company's overall cost of funding and thereby reduce net income. While the Company believes its current sources of liquidity are adequate to fund operations, there is no guarantee they will suffice to meet future liquidity demands. This may necessitate slowing or discontinuing loan growth, capital expenditures, or other investments, or liquidating assets.</w:t>
      </w:r>
    </w:p>
    <w:p>
      <w:pPr>
        <w:spacing w:after="0" w:line="156" w:lineRule="exact"/>
        <w:rPr>
          <w:sz w:val="20"/>
          <w:szCs w:val="20"/>
          <w:color w:val="auto"/>
        </w:rPr>
      </w:pPr>
    </w:p>
    <w:p>
      <w:pPr>
        <w:ind w:left="600" w:right="859" w:firstLine="277"/>
        <w:spacing w:after="0" w:line="485" w:lineRule="auto"/>
        <w:rPr>
          <w:sz w:val="20"/>
          <w:szCs w:val="20"/>
          <w:color w:val="auto"/>
        </w:rPr>
      </w:pPr>
      <w:r>
        <w:rPr>
          <w:rFonts w:ascii="Arial" w:cs="Arial" w:eastAsia="Arial" w:hAnsi="Arial"/>
          <w:sz w:val="14"/>
          <w:szCs w:val="14"/>
          <w:color w:val="auto"/>
        </w:rPr>
        <w:t xml:space="preserve">For further discussion of the Company's liquidity practices, see page 59 and 62 of this Annual Report on Form 10-K. </w:t>
      </w:r>
      <w:r>
        <w:rPr>
          <w:rFonts w:ascii="Arial" w:cs="Arial" w:eastAsia="Arial" w:hAnsi="Arial"/>
          <w:sz w:val="14"/>
          <w:szCs w:val="14"/>
          <w:b w:val="1"/>
          <w:bCs w:val="1"/>
          <w:color w:val="auto"/>
        </w:rPr>
        <w:t>Use of Estimates</w:t>
      </w:r>
    </w:p>
    <w:p>
      <w:pPr>
        <w:jc w:val="both"/>
        <w:ind w:left="600" w:right="739" w:firstLine="256"/>
        <w:spacing w:after="0" w:line="252" w:lineRule="auto"/>
        <w:rPr>
          <w:sz w:val="20"/>
          <w:szCs w:val="20"/>
          <w:color w:val="auto"/>
        </w:rPr>
      </w:pPr>
      <w:r>
        <w:rPr>
          <w:rFonts w:ascii="Arial" w:cs="Arial" w:eastAsia="Arial" w:hAnsi="Arial"/>
          <w:sz w:val="14"/>
          <w:szCs w:val="14"/>
          <w:color w:val="auto"/>
        </w:rPr>
        <w:t>In preparing the consolidated financial statements, management is required to make estimates and assumptions based on available information that affect the amounts reported in the financial statements and the disclosures provided.</w:t>
      </w:r>
    </w:p>
    <w:p>
      <w:pPr>
        <w:spacing w:after="0" w:line="153"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The coronavirus (“COVID-19”) pandemic has negatively affected many of the Company’s clients and could still impair their ability to fulfill their financial obligations. The Company’s business is dependent upon the willingness and ability of its associates and customers to conduct banking and other financial transactions. While we believe conditions have improved as of December 31, 2022, if there is a resurgence in the virus, the Company could experience further adverse effects on its business, financial condition, results of operations and cash flows. While it is not possible to know the full extent of the impact the COVID-19 pandemic will have on the Company's future operations, the Company continues to communicate with its associates and customers to understand their challenges, which allows us to respond to their needs and issues as they arise.</w:t>
      </w:r>
    </w:p>
    <w:p>
      <w:pPr>
        <w:spacing w:after="0" w:line="15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While there was not a material impact to the Company’s Consolidated Financial Statements as of and for the year ended December 31, 2022, future increases in the allowance for credit losses (“ACL”) may be required because of the potential economic downturn that a resurgence in the virus may cause and those ACL increases can be material. It is difficult to quantify the impact that COVID-19 will have on the estimates and assumptions used to prepare the financial statements. Actual results could differ from those estimates.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Cash and Cash Equivalents</w:t>
      </w:r>
    </w:p>
    <w:p>
      <w:pPr>
        <w:spacing w:after="0" w:line="188" w:lineRule="exact"/>
        <w:rPr>
          <w:sz w:val="20"/>
          <w:szCs w:val="20"/>
          <w:color w:val="auto"/>
        </w:rPr>
      </w:pPr>
    </w:p>
    <w:p>
      <w:pPr>
        <w:jc w:val="both"/>
        <w:ind w:left="600" w:right="759" w:firstLine="256"/>
        <w:spacing w:after="0" w:line="245"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Restricted Cash</w:t>
      </w:r>
    </w:p>
    <w:p>
      <w:pPr>
        <w:spacing w:after="0" w:line="188" w:lineRule="exact"/>
        <w:rPr>
          <w:sz w:val="20"/>
          <w:szCs w:val="20"/>
          <w:color w:val="auto"/>
        </w:rPr>
      </w:pPr>
    </w:p>
    <w:p>
      <w:pPr>
        <w:jc w:val="both"/>
        <w:ind w:left="600" w:right="739" w:firstLine="256"/>
        <w:spacing w:after="0" w:line="252" w:lineRule="auto"/>
        <w:rPr>
          <w:sz w:val="20"/>
          <w:szCs w:val="20"/>
          <w:color w:val="auto"/>
        </w:rPr>
      </w:pPr>
      <w:r>
        <w:rPr>
          <w:rFonts w:ascii="Arial" w:cs="Arial" w:eastAsia="Arial" w:hAnsi="Arial"/>
          <w:sz w:val="14"/>
          <w:szCs w:val="14"/>
          <w:color w:val="auto"/>
        </w:rPr>
        <w:t>The Company may be required to maintain funds at other banks to satisfy a loan participation agreement. The Company reports restricted cash within cash and cash equivalents.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Interest-Bearing Deposits in Other Financial Institutions</w:t>
      </w:r>
    </w:p>
    <w:p>
      <w:pPr>
        <w:spacing w:after="0" w:line="188" w:lineRule="exact"/>
        <w:rPr>
          <w:sz w:val="20"/>
          <w:szCs w:val="20"/>
          <w:color w:val="auto"/>
        </w:rPr>
      </w:pPr>
    </w:p>
    <w:p>
      <w:pPr>
        <w:jc w:val="both"/>
        <w:ind w:left="600" w:right="739" w:firstLine="256"/>
        <w:spacing w:after="0" w:line="252" w:lineRule="auto"/>
        <w:rPr>
          <w:sz w:val="20"/>
          <w:szCs w:val="20"/>
          <w:color w:val="auto"/>
        </w:rPr>
      </w:pPr>
      <w:r>
        <w:rPr>
          <w:rFonts w:ascii="Arial" w:cs="Arial" w:eastAsia="Arial" w:hAnsi="Arial"/>
          <w:sz w:val="14"/>
          <w:szCs w:val="14"/>
          <w:color w:val="auto"/>
        </w:rPr>
        <w:t>Interest-bearing deposits in other financial institutions consist of Federal Reserve Bank, Federal Home Loan Bank and other accounts.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Investment Securities</w:t>
      </w:r>
    </w:p>
    <w:p>
      <w:pPr>
        <w:spacing w:after="0" w:line="188" w:lineRule="exact"/>
        <w:rPr>
          <w:sz w:val="20"/>
          <w:szCs w:val="20"/>
          <w:color w:val="auto"/>
        </w:rPr>
      </w:pPr>
    </w:p>
    <w:p>
      <w:pPr>
        <w:jc w:val="both"/>
        <w:ind w:left="600" w:right="759" w:firstLine="256"/>
        <w:spacing w:after="0" w:line="245"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determines the appropriate classification of its securities at the time of purchase and accounts for them on a trade date basis.</w:t>
      </w:r>
    </w:p>
    <w:p>
      <w:pPr>
        <w:spacing w:after="0" w:line="158" w:lineRule="exact"/>
        <w:rPr>
          <w:sz w:val="20"/>
          <w:szCs w:val="20"/>
          <w:color w:val="auto"/>
        </w:rPr>
      </w:pPr>
    </w:p>
    <w:p>
      <w:pPr>
        <w:jc w:val="both"/>
        <w:ind w:left="600" w:right="759" w:firstLine="256"/>
        <w:spacing w:after="0" w:line="245"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recorded at fair value with changes in fair value included in earnings.</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75" w:name="page76"/>
    <w:bookmarkEnd w:id="7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60" w:lineRule="exact"/>
        <w:rPr>
          <w:sz w:val="20"/>
          <w:szCs w:val="20"/>
          <w:color w:val="auto"/>
        </w:rPr>
      </w:pPr>
    </w:p>
    <w:p>
      <w:pPr>
        <w:jc w:val="both"/>
        <w:ind w:left="620" w:right="719" w:firstLine="256"/>
        <w:spacing w:after="0" w:line="247" w:lineRule="auto"/>
        <w:rPr>
          <w:sz w:val="20"/>
          <w:szCs w:val="20"/>
          <w:color w:val="auto"/>
        </w:rPr>
      </w:pPr>
      <w:r>
        <w:rPr>
          <w:rFonts w:ascii="Arial" w:cs="Arial" w:eastAsia="Arial" w:hAnsi="Arial"/>
          <w:sz w:val="14"/>
          <w:szCs w:val="14"/>
          <w:color w:val="auto"/>
        </w:rPr>
        <w:t>Declines in the fair value of available-for-sale debt securities below their cost that are deemed to be other-than-temporary are reflected in earnings as realized losses. In determining whether other-than-temporary impairment exists, management considers several factors in their analysis including (i) severity and duration of the impairment, (ii) credit rating of security including any downgrade, (iii) intent to sell the security, or if it is more likely than not that it will be required to sell the security before recovery, (iv) whether there have been any payment defaults and (v) underlying guarantor of the securities.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Federal Home Loan Bank (FHLB) Stock</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2022 and 2021, FHLB stock amounted to $ 2.9 million and $2.1 million, respectively, with no impairment deemed necessary. Both cash and stock dividends are reported as interest income.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Loans Held for Investment and Allowance for Credit Losses</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fees,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56"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49"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Company has determined that the entire balance of a loan is contractually delinquent for all classes if the minimum payment is not received by the specified due date on the borrower's statement. Interest and fees continue to accrue on past due loans until the date the loan goes into nonaccrual status.</w:t>
      </w:r>
    </w:p>
    <w:p>
      <w:pPr>
        <w:spacing w:after="0" w:line="152"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158"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ACL reflects management's judgment of probable loan losses inherent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55" w:lineRule="exact"/>
        <w:rPr>
          <w:sz w:val="20"/>
          <w:szCs w:val="20"/>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Residential real estate</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real estate</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and industrial</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Foreign banks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76" w:name="page77"/>
    <w:bookmarkEnd w:id="7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Residential real estate loans are underwritten following the policies of the Company which includes a review of the borrower’s credit, capacity and the collateral securing the loan. The borrower’s ability to repay involves an analysis of factors including: current income, employment status, monthly payment of loan, current debt obligations, monthly debt to income ratio and credit history. The Company relies on appraisals in determining the value of the property. Risk is mitigated by this analysis and the diversity of the residential portfolio.</w:t>
      </w:r>
    </w:p>
    <w:p>
      <w:pPr>
        <w:spacing w:after="0" w:line="160"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57" w:lineRule="exact"/>
        <w:rPr>
          <w:sz w:val="20"/>
          <w:szCs w:val="20"/>
          <w:color w:val="auto"/>
        </w:rPr>
      </w:pPr>
    </w:p>
    <w:p>
      <w:pPr>
        <w:jc w:val="both"/>
        <w:ind w:left="620" w:right="699" w:firstLine="256"/>
        <w:spacing w:after="0" w:line="248" w:lineRule="auto"/>
        <w:rPr>
          <w:sz w:val="20"/>
          <w:szCs w:val="20"/>
          <w:color w:val="auto"/>
        </w:rPr>
      </w:pPr>
      <w:r>
        <w:rPr>
          <w:rFonts w:ascii="Arial" w:cs="Arial" w:eastAsia="Arial" w:hAnsi="Arial"/>
          <w:sz w:val="14"/>
          <w:szCs w:val="14"/>
          <w:color w:val="auto"/>
        </w:rPr>
        <w:t>Commercial and industrial loans are secured by the business assets of the company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45" w:lineRule="exact"/>
        <w:rPr>
          <w:sz w:val="20"/>
          <w:szCs w:val="20"/>
          <w:color w:val="auto"/>
        </w:rPr>
      </w:pPr>
    </w:p>
    <w:p>
      <w:pPr>
        <w:jc w:val="both"/>
        <w:ind w:left="620" w:right="739" w:firstLine="256"/>
        <w:spacing w:after="0" w:line="249" w:lineRule="auto"/>
        <w:rPr>
          <w:sz w:val="20"/>
          <w:szCs w:val="20"/>
          <w:color w:val="auto"/>
        </w:rPr>
      </w:pPr>
      <w:r>
        <w:rPr>
          <w:rFonts w:ascii="Arial" w:cs="Arial" w:eastAsia="Arial" w:hAnsi="Arial"/>
          <w:sz w:val="14"/>
          <w:szCs w:val="14"/>
          <w:color w:val="auto"/>
        </w:rPr>
        <w:t>Foreign Banks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and a review of authorized signer within the Company. The risk is mitigated as these loans are short term, have limited exposure, and are geographically dispersed.</w:t>
      </w:r>
    </w:p>
    <w:p>
      <w:pPr>
        <w:spacing w:after="0" w:line="146" w:lineRule="exact"/>
        <w:rPr>
          <w:sz w:val="20"/>
          <w:szCs w:val="20"/>
          <w:color w:val="auto"/>
        </w:rPr>
      </w:pPr>
    </w:p>
    <w:p>
      <w:pPr>
        <w:jc w:val="both"/>
        <w:ind w:left="620" w:right="699" w:firstLine="256"/>
        <w:spacing w:after="0" w:line="253" w:lineRule="auto"/>
        <w:rPr>
          <w:sz w:val="20"/>
          <w:szCs w:val="20"/>
          <w:color w:val="auto"/>
        </w:rPr>
      </w:pPr>
      <w:r>
        <w:rPr>
          <w:rFonts w:ascii="Arial" w:cs="Arial" w:eastAsia="Arial" w:hAnsi="Arial"/>
          <w:sz w:val="14"/>
          <w:szCs w:val="14"/>
          <w:color w:val="auto"/>
        </w:rPr>
        <w:t>Other loans are secured and unsecured consumer loans including personal loans,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52"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In determining the balance of the ACL, loans are pooled by product segments with similar risk characteristics and management evaluates the ACL on each segment and as a whole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The ACL consists of general and specific components. The following is how management determines the balance of the general component for the ACL account for each segment of the loans as described above.</w:t>
      </w:r>
    </w:p>
    <w:p>
      <w:pPr>
        <w:spacing w:after="0" w:line="153"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loan segments are primarily grouped by collateral type with similar risk characteristics and a historical loss rate is determined based on a ten year look back period. The Company applies time weights to consider various stages of a credit cycle.</w:t>
      </w:r>
    </w:p>
    <w:p>
      <w:pPr>
        <w:spacing w:after="0" w:line="15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ACL calculation is based on the Company’s own net loss experience adjusted for certain qualitative and environmental factors. To estimate the impact of non-recurrent losses, management has developed a statistical study that tracks historical non-recurring losses at a loan level. This analysis is used to estimate an adjusted loss rate for each loan pool. Management believes the effect of these losses results in a loss rate that is more consistent with the behavior of the loan portfolio in the normal course of business.</w:t>
      </w:r>
    </w:p>
    <w:p>
      <w:pPr>
        <w:spacing w:after="0" w:line="160" w:lineRule="exact"/>
        <w:rPr>
          <w:sz w:val="20"/>
          <w:szCs w:val="20"/>
          <w:color w:val="auto"/>
        </w:rPr>
      </w:pPr>
    </w:p>
    <w:p>
      <w:pPr>
        <w:jc w:val="both"/>
        <w:ind w:left="620" w:right="699" w:firstLine="256"/>
        <w:spacing w:after="0" w:line="252" w:lineRule="auto"/>
        <w:rPr>
          <w:sz w:val="20"/>
          <w:szCs w:val="20"/>
          <w:color w:val="auto"/>
        </w:rPr>
      </w:pPr>
      <w:r>
        <w:rPr>
          <w:rFonts w:ascii="Arial" w:cs="Arial" w:eastAsia="Arial" w:hAnsi="Arial"/>
          <w:sz w:val="14"/>
          <w:szCs w:val="14"/>
          <w:color w:val="auto"/>
        </w:rPr>
        <w:t>Qualitative factors are applied to historical loss rates based on management's experience and assessment. The following are the factors used to adjust the historical loss rates:</w:t>
      </w:r>
    </w:p>
    <w:p>
      <w:pPr>
        <w:spacing w:after="0" w:line="152" w:lineRule="exact"/>
        <w:rPr>
          <w:sz w:val="20"/>
          <w:szCs w:val="20"/>
          <w:color w:val="auto"/>
        </w:rPr>
      </w:pP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Loan quality review</w:t>
      </w: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Lending and credit management /staff expertise and practices</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Economic and business conditions</w:t>
      </w: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Lending and credit underwriting policies and procedures</w:t>
      </w: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Problem loan levels and trends</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Collateral concentrations</w:t>
      </w: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Large obligor concentration</w:t>
      </w:r>
    </w:p>
    <w:p>
      <w:pPr>
        <w:ind w:left="1120" w:hanging="244"/>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New loan volumes</w:t>
      </w:r>
    </w:p>
    <w:p>
      <w:pPr>
        <w:spacing w:after="0" w:line="24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77" w:name="page78"/>
    <w:bookmarkEnd w:id="7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1120" w:hanging="244"/>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Combined loan to value (“CLTV”) qualitative adjustment for substandard accrual loan segment</w:t>
      </w:r>
    </w:p>
    <w:p>
      <w:pPr>
        <w:spacing w:after="0" w:line="17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Changes in these factors could result in material adjustments to the ACL. The losses the Company may ultimately incur could differ materially from the amounts estimated in arriving at the ACL.</w:t>
      </w:r>
    </w:p>
    <w:p>
      <w:pPr>
        <w:spacing w:after="0" w:line="153"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In addition to the ACL, the Company also estimates probable losses related to financial instruments with off-balance sheet risk, such as letters of credit and unfunded loan commitments, and records these estimates in other liabilities on the Consolidated Balance Sheets with the offset recorded in non-interest expense on the Consolidated Statements of Operations. Financial instruments with off-balance sheet risk are subject to review on an aggregate basis. Past loss experience and any other pertinent information is reviewed, resulting in the estimation of the reserve for financial instruments with off-balance sheet risk.</w:t>
      </w:r>
    </w:p>
    <w:p>
      <w:pPr>
        <w:spacing w:after="0" w:line="16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A loan is considered impaired when, based on current information and events, it is probable that the Company will be unable to collect the scheduled payments of principal or interest when due according to the contractual terms of the loan agreement or when the loan is designated as a Troubled Debt Restructuring (“TDR”).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Impairment is measured on a loan by loan basis by either the present value of expected future cash flows discounted at the loan's effective interest rate, the loan's obtainable fair value, or the fair value of the collateral, if the loan is collateral dependent. If management determines that the value of the impaired loan is less than the recorded investment in the loan (outstanding principal balance plus accrued interest, net of previous charge-offs, and net of deferred loan fees or cost), impairment is recognized through an allowance estimate or a charge-off to the ACL.</w:t>
      </w:r>
    </w:p>
    <w:p>
      <w:pPr>
        <w:spacing w:after="0" w:line="160" w:lineRule="exact"/>
        <w:rPr>
          <w:sz w:val="20"/>
          <w:szCs w:val="20"/>
          <w:color w:val="auto"/>
        </w:rPr>
      </w:pPr>
    </w:p>
    <w:p>
      <w:pPr>
        <w:ind w:left="620" w:right="759" w:firstLine="256"/>
        <w:spacing w:after="0" w:line="252" w:lineRule="auto"/>
        <w:rPr>
          <w:sz w:val="20"/>
          <w:szCs w:val="20"/>
          <w:color w:val="auto"/>
        </w:rPr>
      </w:pPr>
      <w:r>
        <w:rPr>
          <w:rFonts w:ascii="Arial" w:cs="Arial" w:eastAsia="Arial" w:hAnsi="Arial"/>
          <w:sz w:val="14"/>
          <w:szCs w:val="14"/>
          <w:color w:val="auto"/>
        </w:rPr>
        <w:t>In situations where, due to a borrower's financial difficulties, management grants a concession for other than an insignificant period of time to the borrower that would not otherwise be granted, the loan is classified as a TDR.</w:t>
      </w:r>
    </w:p>
    <w:p>
      <w:pPr>
        <w:spacing w:after="0" w:line="153"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On March 27, 2020, the Coronavirus Aid, Relief, and Economic Security Act (“CARES Act”) was signed by the President of the United States. The CARES Act has certain provisions which encourage financial institutions to prudently work with borrowers impacted by COVID-19. Under these provisions, modifications deemed to be COVID-19 related would not be considered a TDR if the loan was not more than 30 days past due as of December 31, 2019. The deferral would need to be executed March 1, 2020 and the earlier of 60 days after the date of termination of the COVID-19 national emergency or December 31, 2020. Additional legislation was passed in December of 2020 that extended the TDR relief to January 1, 2022. Banking regulators issued similar guidance clarifying that a COVID-19 related modification should not be considered a TDR if the borrower was current on payments at the time the underlying loan modification program was implemented and considered short-term. See Note 3 “Loans” for additional disclosures of loans that were modified and not considered TDR.</w:t>
      </w:r>
    </w:p>
    <w:p>
      <w:pPr>
        <w:spacing w:after="0" w:line="159"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In addition to the allowance for the pooled portfolios, management has developed a separate allowance for loans that are identified as impaired through a TDR. These loans are excluded from the general component of the ACL, and a separate reserve is provided under the accounting guidance for loan impairment. Residential loans whose terms have been modified in a TDR are also individually analyzed for estimated impairment.</w:t>
      </w:r>
    </w:p>
    <w:p>
      <w:pPr>
        <w:spacing w:after="0" w:line="156"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Company's charge-off policy is to review all impaired loans on a quarterly basis in order to monitor the Company's ability to collect them in full at maturity date and/or in accordance with terms of any restructurings. For loans which are collateral dependent, or deemed to be uncollectible, any shortfall in the fair value of the collateral relative to the recorded investment in the loan is charged off.</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Concentration of Credit Risks</w:t>
      </w:r>
    </w:p>
    <w:p>
      <w:pPr>
        <w:spacing w:after="0" w:line="188" w:lineRule="exact"/>
        <w:rPr>
          <w:sz w:val="20"/>
          <w:szCs w:val="20"/>
          <w:color w:val="auto"/>
        </w:rPr>
      </w:pPr>
    </w:p>
    <w:p>
      <w:pPr>
        <w:jc w:val="both"/>
        <w:ind w:left="620" w:right="719" w:firstLine="256"/>
        <w:spacing w:after="0" w:line="247"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47"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w:t>
      </w: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78" w:name="page79"/>
    <w:bookmarkEnd w:id="7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39"/>
        <w:spacing w:after="0" w:line="252" w:lineRule="auto"/>
        <w:rPr>
          <w:sz w:val="20"/>
          <w:szCs w:val="20"/>
          <w:color w:val="auto"/>
        </w:rPr>
      </w:pPr>
      <w:r>
        <w:rPr>
          <w:rFonts w:ascii="Arial" w:cs="Arial" w:eastAsia="Arial" w:hAnsi="Arial"/>
          <w:sz w:val="14"/>
          <w:szCs w:val="14"/>
          <w:color w:val="auto"/>
        </w:rPr>
        <w:t>the South Florida real estate industry or the South Florida economy, in general, could adversely impact the Company's loan portfolio.</w:t>
      </w:r>
    </w:p>
    <w:p>
      <w:pPr>
        <w:spacing w:after="0" w:line="153" w:lineRule="exact"/>
        <w:rPr>
          <w:sz w:val="20"/>
          <w:szCs w:val="20"/>
          <w:color w:val="auto"/>
        </w:rPr>
      </w:pPr>
    </w:p>
    <w:p>
      <w:pPr>
        <w:jc w:val="both"/>
        <w:ind w:left="620" w:right="719" w:firstLine="256"/>
        <w:spacing w:after="0" w:line="231" w:lineRule="auto"/>
        <w:rPr>
          <w:sz w:val="20"/>
          <w:szCs w:val="20"/>
          <w:color w:val="auto"/>
        </w:rPr>
      </w:pPr>
      <w:r>
        <w:rPr>
          <w:rFonts w:ascii="Arial" w:cs="Arial" w:eastAsia="Arial" w:hAnsi="Arial"/>
          <w:sz w:val="14"/>
          <w:szCs w:val="14"/>
          <w:color w:val="auto"/>
        </w:rPr>
        <w:t>At December 31, 2022 and 2021, the Company had a concentration of risk with loans outstanding to the Company’s top ten lending relationships totaling $197.9 million and $156.4 million, respectively. At December 31, 2022 and 2021, this concentration represented 13.1%, of the net loans outstanding. For the period ended December 31, 2022 there was one commercial real estate loan note with an outstanding balance of $20 million collateralized by a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lien commercial property located in New York State.</w:t>
      </w:r>
    </w:p>
    <w:p>
      <w:pPr>
        <w:spacing w:after="0" w:line="163"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At December 31, 2022, the Company also had a concentration of risk with loans outstanding totaling $88.8 million to foreign banks located in Ecuador, Dominican Republic, Honduras, and El Salvador. At December 31, 2021, the Company also had a concentration of risk with loans outstanding totaling $47.9 million to foreign banks located in Ecuador, Honduras, and El Salvador. These banks maintained deposits with right of offset totaling $31.4 million and $28.9 million at December 31, 2022 and 2021, respectively.</w:t>
      </w:r>
    </w:p>
    <w:p>
      <w:pPr>
        <w:spacing w:after="0" w:line="160" w:lineRule="exact"/>
        <w:rPr>
          <w:sz w:val="20"/>
          <w:szCs w:val="20"/>
          <w:color w:val="auto"/>
        </w:rPr>
      </w:pPr>
    </w:p>
    <w:p>
      <w:pPr>
        <w:jc w:val="both"/>
        <w:ind w:left="620" w:right="739" w:firstLine="256"/>
        <w:spacing w:after="0" w:line="253"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Premises and Equipment, net</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90" w:right="1440" w:bottom="1440" w:gutter="0" w:footer="0" w:header="0"/>
        </w:sectPr>
      </w:pPr>
    </w:p>
    <w:p>
      <w:pPr>
        <w:spacing w:after="0" w:line="15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Building</w:t>
      </w:r>
    </w:p>
    <w:p>
      <w:pPr>
        <w:ind w:left="1640"/>
        <w:spacing w:after="0"/>
        <w:rPr>
          <w:sz w:val="20"/>
          <w:szCs w:val="20"/>
          <w:color w:val="auto"/>
        </w:rPr>
      </w:pPr>
      <w:r>
        <w:rPr>
          <w:rFonts w:ascii="Arial" w:cs="Arial" w:eastAsia="Arial" w:hAnsi="Arial"/>
          <w:sz w:val="14"/>
          <w:szCs w:val="14"/>
          <w:color w:val="auto"/>
        </w:rPr>
        <w:t>Furniture, fixtures and equipment</w:t>
      </w:r>
    </w:p>
    <w:p>
      <w:pPr>
        <w:ind w:left="1640"/>
        <w:spacing w:after="0"/>
        <w:rPr>
          <w:sz w:val="20"/>
          <w:szCs w:val="20"/>
          <w:color w:val="auto"/>
        </w:rPr>
      </w:pPr>
      <w:r>
        <w:rPr>
          <w:rFonts w:ascii="Arial" w:cs="Arial" w:eastAsia="Arial" w:hAnsi="Arial"/>
          <w:sz w:val="14"/>
          <w:szCs w:val="14"/>
          <w:color w:val="auto"/>
        </w:rPr>
        <w:t>Computer hardware and software</w:t>
      </w:r>
    </w:p>
    <w:p>
      <w:pPr>
        <w:ind w:left="164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170" w:lineRule="exact"/>
        <w:rPr>
          <w:sz w:val="20"/>
          <w:szCs w:val="20"/>
          <w:color w:val="auto"/>
        </w:rPr>
      </w:pPr>
    </w:p>
    <w:p>
      <w:pPr>
        <w:sectPr>
          <w:pgSz w:w="11900" w:h="16838" w:orient="portrait"/>
          <w:cols w:equalWidth="0" w:num="2">
            <w:col w:w="4000" w:space="720"/>
            <w:col w:w="4299"/>
          </w:cols>
          <w:pgMar w:left="1440" w:top="490" w:right="1440" w:bottom="1440" w:gutter="0" w:footer="0" w:header="0"/>
          <w:type w:val="continuous"/>
        </w:sectPr>
      </w:pPr>
    </w:p>
    <w:p>
      <w:pPr>
        <w:jc w:val="both"/>
        <w:ind w:left="620" w:right="739" w:firstLine="256"/>
        <w:spacing w:after="0" w:line="253"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Other Real Estate Owned</w:t>
      </w:r>
    </w:p>
    <w:p>
      <w:pPr>
        <w:spacing w:after="0" w:line="188"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Other real estate owned (“OREO”) consists of real estate property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Bank Owned Life Insurance</w:t>
      </w:r>
    </w:p>
    <w:p>
      <w:pPr>
        <w:spacing w:after="0" w:line="188"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Bank owned life insurance (“BOLI”) is carried at the amount that could be realized under the contract at the balance sheet date, which is typically cash surrender value. Changes in cash surrender value are recorded in non-interest income. At December 31, 2022, the Company maintained BOLI policies with five insurance carriers with a combined cash surrender value of $42.8 million. These policies cover certain present and former executives and officers, the Company is the beneficiary of these policies.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jc w:val="both"/>
        <w:ind w:left="620" w:right="699" w:firstLine="256"/>
        <w:spacing w:after="0" w:line="252" w:lineRule="auto"/>
        <w:rPr>
          <w:sz w:val="20"/>
          <w:szCs w:val="20"/>
          <w:color w:val="auto"/>
        </w:rPr>
      </w:pPr>
      <w:r>
        <w:rPr>
          <w:rFonts w:ascii="Arial" w:cs="Arial" w:eastAsia="Arial" w:hAnsi="Arial"/>
          <w:sz w:val="14"/>
          <w:szCs w:val="14"/>
          <w:color w:val="auto"/>
        </w:rPr>
        <w:t>The Company has an employee 401(k) plan covering substantially all eligible employees. Employee 401(k) plan expense is the amount of matching contributions.</w:t>
      </w: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type w:val="continuous"/>
        </w:sectPr>
      </w:pPr>
    </w:p>
    <w:bookmarkStart w:id="79" w:name="page80"/>
    <w:bookmarkEnd w:id="7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Income Taxes</w:t>
      </w:r>
    </w:p>
    <w:p>
      <w:pPr>
        <w:spacing w:after="0" w:line="188" w:lineRule="exact"/>
        <w:rPr>
          <w:sz w:val="20"/>
          <w:szCs w:val="20"/>
          <w:color w:val="auto"/>
        </w:rPr>
      </w:pPr>
    </w:p>
    <w:p>
      <w:pPr>
        <w:jc w:val="both"/>
        <w:ind w:left="620" w:right="699" w:firstLine="256"/>
        <w:spacing w:after="0" w:line="247"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56"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Impairment of Long-Lived Assets</w:t>
      </w:r>
    </w:p>
    <w:p>
      <w:pPr>
        <w:spacing w:after="0" w:line="188"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Transfer of Financial Assets</w:t>
      </w:r>
    </w:p>
    <w:p>
      <w:pPr>
        <w:spacing w:after="0" w:line="188" w:lineRule="exact"/>
        <w:rPr>
          <w:sz w:val="20"/>
          <w:szCs w:val="20"/>
          <w:color w:val="auto"/>
        </w:rPr>
      </w:pPr>
    </w:p>
    <w:p>
      <w:pPr>
        <w:jc w:val="both"/>
        <w:ind w:left="620" w:right="679" w:firstLine="256"/>
        <w:spacing w:after="0" w:line="247"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Comprehensive Income (Loss)</w:t>
      </w:r>
    </w:p>
    <w:p>
      <w:pPr>
        <w:spacing w:after="0" w:line="188"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(loss), are components of comprehensive income (loss). Additionally, any unrealized gains or losses on transfers of investment securities from available-for-sale to held-to-maturity are recorded to accumulated other comprehensive income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Advertising Costs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Advertising costs are expensed as incurred.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Earnings per Common Share</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Basic and diluted earnings per share are updated</w:t>
      </w:r>
    </w:p>
    <w:p>
      <w:pPr>
        <w:spacing w:after="0" w:line="3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0" w:name="page81"/>
    <w:bookmarkEnd w:id="8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19"/>
        <w:spacing w:after="0" w:line="252" w:lineRule="auto"/>
        <w:rPr>
          <w:sz w:val="20"/>
          <w:szCs w:val="20"/>
          <w:color w:val="auto"/>
        </w:rPr>
      </w:pPr>
      <w:r>
        <w:rPr>
          <w:rFonts w:ascii="Arial" w:cs="Arial" w:eastAsia="Arial" w:hAnsi="Arial"/>
          <w:sz w:val="14"/>
          <w:szCs w:val="14"/>
          <w:color w:val="auto"/>
        </w:rPr>
        <w:t>to reflect the effect of stock splits as occurred. See Note 14 “Earnings Per Share” for additional information on earnings per common share. See Note 13 “Stockholders’ Equity” for further discussion on stock splits.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Interest Income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Operating Segments</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Stock-Based Compensation</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Stock 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plans, performance-based awards, share appreciation rights, and employee share purchase plans.</w:t>
      </w:r>
    </w:p>
    <w:p>
      <w:pPr>
        <w:spacing w:after="0" w:line="160"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graded-vesting, compensation cost is recognized on a straight-line basis over the requisite service period for the entire award. A Black-Scholes model is used to estimate the fair value of stock options.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Loss Contingencies</w:t>
      </w:r>
    </w:p>
    <w:p>
      <w:pPr>
        <w:spacing w:after="0" w:line="188"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18 “Loss Contingencies” for further details.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Dividend Restrictions</w:t>
      </w:r>
    </w:p>
    <w:p>
      <w:pPr>
        <w:spacing w:after="0" w:line="188" w:lineRule="exact"/>
        <w:rPr>
          <w:sz w:val="20"/>
          <w:szCs w:val="20"/>
          <w:color w:val="auto"/>
        </w:rPr>
      </w:pPr>
    </w:p>
    <w:p>
      <w:pPr>
        <w:ind w:left="620" w:right="699" w:firstLine="256"/>
        <w:spacing w:after="0" w:line="252"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shareholders.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Fair Value Measurements</w:t>
      </w:r>
    </w:p>
    <w:p>
      <w:pPr>
        <w:spacing w:after="0" w:line="188"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Derivative Instruments</w:t>
      </w:r>
    </w:p>
    <w:p>
      <w:pPr>
        <w:spacing w:after="0" w:line="188"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42" w:lineRule="exact"/>
        <w:rPr>
          <w:sz w:val="20"/>
          <w:szCs w:val="20"/>
          <w:color w:val="auto"/>
        </w:rPr>
      </w:pPr>
    </w:p>
    <w:p>
      <w:pPr>
        <w:jc w:val="both"/>
        <w:ind w:left="620" w:right="699" w:firstLine="256"/>
        <w:spacing w:after="0" w:line="247" w:lineRule="auto"/>
        <w:rPr>
          <w:sz w:val="20"/>
          <w:szCs w:val="20"/>
          <w:color w:val="auto"/>
        </w:rPr>
      </w:pPr>
      <w:r>
        <w:rPr>
          <w:rFonts w:ascii="Arial" w:cs="Arial" w:eastAsia="Arial" w:hAnsi="Arial"/>
          <w:sz w:val="14"/>
          <w:szCs w:val="14"/>
          <w:color w:val="auto"/>
        </w:rPr>
        <w:t>The Company enters into interest rate swaps to provide commercial loan clients the ability to swap from a variable interest rate to a fixed rate. The Company enter into a floating-rate loan with a customer with a separately issued swap agreement allowing the customer to convert floating payments of the loan into a fixed interest rate. To mitigate risk, the Company will enter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1" w:name="page82"/>
    <w:bookmarkEnd w:id="8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88"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Cash Flow Statement</w:t>
      </w:r>
    </w:p>
    <w:p>
      <w:pPr>
        <w:spacing w:after="0" w:line="188"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 other assets, customer deposits, accrued interest payable, other liabilities, and proceeds from issuance of Class A common shares.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Reclassifications</w:t>
      </w:r>
    </w:p>
    <w:p>
      <w:pPr>
        <w:spacing w:after="0" w:line="188" w:lineRule="exact"/>
        <w:rPr>
          <w:sz w:val="20"/>
          <w:szCs w:val="20"/>
          <w:color w:val="auto"/>
        </w:rPr>
      </w:pPr>
    </w:p>
    <w:p>
      <w:pPr>
        <w:jc w:val="both"/>
        <w:ind w:left="620" w:right="719" w:firstLine="256"/>
        <w:spacing w:after="0" w:line="252"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Recently Issued Accounting Standards – Not Yet Adopted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Measurement of Credit Losses on Financial Instruments</w:t>
      </w:r>
    </w:p>
    <w:p>
      <w:pPr>
        <w:spacing w:after="0" w:line="170"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 June 2016, the FASB issued ASU 2016-13, Financial Instruments - Credit Losses (Topic 326); Measurement of Credit Losses on Financial Instruments. This accounting standard update (“ASU” or “Update”) on accounting for current expected credit losses on financial instruments (“CECL”) will replace the current probable incurred loss impairment methodology under U.S. GAAP with a methodology that reflects the expected credit losses. The Update is intended to provide financial statement users with more decision-useful information about expected credit losses. This Update is applicable to the Company on a modified retrospective basis for interim and annual periods in fiscal years beginning after December 15, 2022. The Company adopted this ASU on January 1, 2023. To date, the Company executed a detailed implementation plan through the adoption date, implemented a software solution to assist with the CECL estimation process, and has completed parallel run models, and finished a data gap analysis.</w:t>
      </w:r>
    </w:p>
    <w:p>
      <w:pPr>
        <w:spacing w:after="0" w:line="159"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The company expects its allowance for credit losses to increase in 2023 approximately $1.0 million to $2.0 million upon adoption of ASU 2016-13 compared to its allowance for loan losses at December 31, 2022. Reserve on unfunded commitments will also increase approximately $200 thousand to $600 thousand and it will be recognized as a liability on the Consolidated Balance Sheet. The Company reviewed it’s held-to-maturity debt securities and the allowance was deemed immaterial. The Company will initially apply the impact of the new guidance through a cumulative-effect adjustment to retained earnings as of January 1, 2023. Future adjustments to credit loss expectations will be recorded through the income statement as charges or credits to earnings.</w:t>
      </w:r>
    </w:p>
    <w:p>
      <w:pPr>
        <w:spacing w:after="0" w:line="157"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The disclosed estimates are subject to further refinement upon finalization of the Company’s review of the calculations, assumptions, methodologies and judgments. Internal controls over financial reporting relating to these new processes have been designed and implemented and are being evaluated. The Company is in the final stages of completing the formal governance and approval process. The ongoing impact to the Company’s results of operations in future periods will be influenced by the loan portfolio composition and by macroeconomic conditions and forecasts at each reporting date. Adoption of the standard on the first quarter of 2023 is expected to result in higher volatility in the quarterly provision for credit losses when compared to the Company’s historical results under the incurred loss model.</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u w:val="single" w:color="auto"/>
          <w:color w:val="auto"/>
        </w:rPr>
        <w:t>roubled Debt Restructurings and Vintage Disclosures</w:t>
      </w:r>
    </w:p>
    <w:p>
      <w:pPr>
        <w:spacing w:after="0" w:line="170" w:lineRule="exact"/>
        <w:rPr>
          <w:sz w:val="20"/>
          <w:szCs w:val="20"/>
          <w:color w:val="auto"/>
        </w:rPr>
      </w:pPr>
    </w:p>
    <w:p>
      <w:pPr>
        <w:jc w:val="both"/>
        <w:ind w:left="620" w:right="679" w:firstLine="256"/>
        <w:spacing w:after="0" w:line="247" w:lineRule="auto"/>
        <w:rPr>
          <w:sz w:val="20"/>
          <w:szCs w:val="20"/>
          <w:color w:val="auto"/>
        </w:rPr>
      </w:pPr>
      <w:r>
        <w:rPr>
          <w:rFonts w:ascii="Arial" w:cs="Arial" w:eastAsia="Arial" w:hAnsi="Arial"/>
          <w:sz w:val="14"/>
          <w:szCs w:val="14"/>
          <w:color w:val="auto"/>
        </w:rPr>
        <w:t>In March 2022, the FASB issued ASU 2022-02, Financial Instruments – Credit Losses (Topic 326): Troubled Debt Restructurings and Vintage Disclosures. This accounting standard eliminates the accounting guidance for troubled debt restructurings by creditors in ASC 310-40, and it enhances disclosure requirements for some loan refinancings and restructurings involving borrowers experiencing financial difficulty. Specifically, rather than applying the troubled debt restructuring recognition and measurement guidance, creditors will evaluate all loan modifications to determine if they result in a new loan or a continuation of the existing loan. Losses associated with troubled debt restructurings should be</w:t>
      </w:r>
    </w:p>
    <w:p>
      <w:pPr>
        <w:spacing w:after="0" w:line="22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2" w:name="page83"/>
    <w:bookmarkEnd w:id="8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20" w:right="759"/>
        <w:spacing w:after="0" w:line="252" w:lineRule="auto"/>
        <w:rPr>
          <w:sz w:val="20"/>
          <w:szCs w:val="20"/>
          <w:color w:val="auto"/>
        </w:rPr>
      </w:pPr>
      <w:r>
        <w:rPr>
          <w:rFonts w:ascii="Arial" w:cs="Arial" w:eastAsia="Arial" w:hAnsi="Arial"/>
          <w:sz w:val="14"/>
          <w:szCs w:val="14"/>
          <w:color w:val="auto"/>
        </w:rPr>
        <w:t>incorporated in a creditor’s estimate of its allowance for credit losses. Additionally, public business entities are required to disclose current-period gross write-offs by year of origination for loan financing receivables and net investment in leases.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March 12, 2020 through December 31, 2024. The Company is evaluating the impact of this ASU and has not yet determined whether LIBOR transition and this ASU will have material effects on our business operations and consolidated financial statements.</w:t>
      </w:r>
    </w:p>
    <w:p>
      <w:pPr>
        <w:spacing w:after="0" w:line="142" w:lineRule="exact"/>
        <w:rPr>
          <w:sz w:val="20"/>
          <w:szCs w:val="20"/>
          <w:color w:val="auto"/>
        </w:rPr>
      </w:pPr>
    </w:p>
    <w:p>
      <w:pPr>
        <w:ind w:left="1020" w:hanging="378"/>
        <w:spacing w:after="0"/>
        <w:tabs>
          <w:tab w:leader="none" w:pos="102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3"/>
                <w:szCs w:val="13"/>
                <w:color w:val="auto"/>
              </w:rPr>
            </w:pPr>
          </w:p>
        </w:tc>
      </w:tr>
      <w:tr>
        <w:trPr>
          <w:trHeight w:val="140"/>
        </w:trPr>
        <w:tc>
          <w:tcPr>
            <w:tcW w:w="308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10,177</w:t>
            </w:r>
          </w:p>
        </w:tc>
        <w:tc>
          <w:tcPr>
            <w:tcW w:w="60" w:type="dxa"/>
            <w:vAlign w:val="bottom"/>
          </w:tcPr>
          <w:p>
            <w:pPr>
              <w:spacing w:after="0"/>
              <w:rPr>
                <w:sz w:val="12"/>
                <w:szCs w:val="12"/>
                <w:color w:val="auto"/>
              </w:rPr>
            </w:pPr>
          </w:p>
        </w:tc>
        <w:tc>
          <w:tcPr>
            <w:tcW w:w="100" w:type="dxa"/>
            <w:vAlign w:val="bottom"/>
            <w:gridSpan w:val="3"/>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gridSpan w:val="3"/>
          </w:tcPr>
          <w:p>
            <w:pPr>
              <w:jc w:val="center"/>
              <w:ind w:right="40"/>
              <w:spacing w:after="0" w:line="140"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(1,522)</w:t>
            </w:r>
          </w:p>
        </w:tc>
        <w:tc>
          <w:tcPr>
            <w:tcW w:w="20" w:type="dxa"/>
            <w:vAlign w:val="bottom"/>
          </w:tcPr>
          <w:p>
            <w:pPr>
              <w:spacing w:after="0"/>
              <w:rPr>
                <w:sz w:val="12"/>
                <w:szCs w:val="12"/>
                <w:color w:val="auto"/>
              </w:rPr>
            </w:pPr>
          </w:p>
        </w:tc>
        <w:tc>
          <w:tcPr>
            <w:tcW w:w="60" w:type="dxa"/>
            <w:vAlign w:val="bottom"/>
          </w:tcPr>
          <w:p>
            <w:pPr>
              <w:jc w:val="right"/>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8,655</w:t>
            </w:r>
          </w:p>
        </w:tc>
        <w:tc>
          <w:tcPr>
            <w:tcW w:w="60" w:type="dxa"/>
            <w:vAlign w:val="bottom"/>
          </w:tcPr>
          <w:p>
            <w:pPr>
              <w:spacing w:after="0"/>
              <w:rPr>
                <w:sz w:val="12"/>
                <w:szCs w:val="12"/>
                <w:color w:val="auto"/>
              </w:rPr>
            </w:pPr>
          </w:p>
        </w:tc>
      </w:tr>
      <w:tr>
        <w:trPr>
          <w:trHeight w:val="18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118,951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(23,410)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95,541</w:t>
            </w:r>
          </w:p>
        </w:tc>
        <w:tc>
          <w:tcPr>
            <w:tcW w:w="6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(12,959)</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32,244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(4,305)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27,954</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15,964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14,919</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60" w:type="dxa"/>
            <w:vAlign w:val="bottom"/>
            <w:tcBorders>
              <w:left w:val="single" w:sz="8" w:color="CCEEFF"/>
            </w:tcBorders>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280,295</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(50,175)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230,140</w:t>
            </w:r>
          </w:p>
        </w:tc>
        <w:tc>
          <w:tcPr>
            <w:tcW w:w="6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44,914</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(5,877)</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39,062</w:t>
            </w:r>
          </w:p>
        </w:tc>
        <w:tc>
          <w:tcPr>
            <w:tcW w:w="60" w:type="dxa"/>
            <w:vAlign w:val="bottom"/>
          </w:tcPr>
          <w:p>
            <w:pPr>
              <w:spacing w:after="0"/>
              <w:rPr>
                <w:sz w:val="14"/>
                <w:szCs w:val="14"/>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2"/>
                <w:szCs w:val="12"/>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68,727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(7,830)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60,925</w:t>
            </w:r>
          </w:p>
        </w:tc>
        <w:tc>
          <w:tcPr>
            <w:tcW w:w="60" w:type="dxa"/>
            <w:vAlign w:val="bottom"/>
          </w:tcPr>
          <w:p>
            <w:pPr>
              <w:spacing w:after="0"/>
              <w:rPr>
                <w:sz w:val="16"/>
                <w:szCs w:val="16"/>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(4,574)</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68"/>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11,442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10,777</w:t>
            </w:r>
          </w:p>
        </w:tc>
        <w:tc>
          <w:tcPr>
            <w:tcW w:w="6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188,699</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425</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(20,036)</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169,088</w:t>
            </w:r>
          </w:p>
        </w:tc>
        <w:tc>
          <w:tcPr>
            <w:tcW w:w="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3" w:name="page84"/>
    <w:bookmarkEnd w:id="8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8"/>
          </w:tcPr>
          <w:p>
            <w:pPr>
              <w:jc w:val="right"/>
              <w:ind w:right="27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4"/>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r>
      <w:tr>
        <w:trPr>
          <w:trHeight w:val="160"/>
        </w:trPr>
        <w:tc>
          <w:tcPr>
            <w:tcW w:w="380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140" w:type="dxa"/>
            <w:vAlign w:val="bottom"/>
            <w:gridSpan w:val="3"/>
          </w:tcPr>
          <w:p>
            <w:pPr>
              <w:jc w:val="right"/>
              <w:ind w:right="60"/>
              <w:spacing w:after="0" w:line="140"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10,564</w:t>
            </w:r>
          </w:p>
        </w:tc>
        <w:tc>
          <w:tcPr>
            <w:tcW w:w="80" w:type="dxa"/>
            <w:vAlign w:val="bottom"/>
            <w:gridSpan w:val="2"/>
          </w:tcPr>
          <w:p>
            <w:pPr>
              <w:spacing w:after="0"/>
              <w:rPr>
                <w:sz w:val="13"/>
                <w:szCs w:val="13"/>
                <w:color w:val="auto"/>
              </w:rPr>
            </w:pPr>
          </w:p>
        </w:tc>
        <w:tc>
          <w:tcPr>
            <w:tcW w:w="10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w:t>
            </w:r>
          </w:p>
        </w:tc>
        <w:tc>
          <w:tcPr>
            <w:tcW w:w="80" w:type="dxa"/>
            <w:vAlign w:val="bottom"/>
            <w:gridSpan w:val="2"/>
          </w:tcPr>
          <w:p>
            <w:pPr>
              <w:spacing w:after="0"/>
              <w:rPr>
                <w:sz w:val="13"/>
                <w:szCs w:val="13"/>
                <w:color w:val="auto"/>
              </w:rPr>
            </w:pPr>
          </w:p>
        </w:tc>
        <w:tc>
          <w:tcPr>
            <w:tcW w:w="10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60" w:type="dxa"/>
            <w:vAlign w:val="bottom"/>
            <w:tcBorders>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(50)</w:t>
            </w:r>
          </w:p>
        </w:tc>
        <w:tc>
          <w:tcPr>
            <w:tcW w:w="100" w:type="dxa"/>
            <w:vAlign w:val="bottom"/>
            <w:tcBorders>
              <w:right w:val="single" w:sz="8" w:color="CCEEFF"/>
            </w:tcBorders>
            <w:gridSpan w:val="2"/>
          </w:tcPr>
          <w:p>
            <w:pPr>
              <w:spacing w:after="0"/>
              <w:rPr>
                <w:sz w:val="13"/>
                <w:szCs w:val="13"/>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13"/>
                <w:szCs w:val="13"/>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10,520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160,506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(3,699)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156,829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49,905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50,117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27,003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28,408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405,853</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2,982</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(7,293)</w:t>
            </w:r>
          </w:p>
        </w:tc>
        <w:tc>
          <w:tcPr>
            <w:tcW w:w="18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20" w:type="dxa"/>
            <w:vAlign w:val="bottom"/>
          </w:tcPr>
          <w:p>
            <w:pPr>
              <w:spacing w:after="0"/>
              <w:rPr>
                <w:sz w:val="10"/>
                <w:szCs w:val="10"/>
                <w:color w:val="auto"/>
              </w:rPr>
            </w:pPr>
          </w:p>
        </w:tc>
        <w:tc>
          <w:tcPr>
            <w:tcW w:w="378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34,505</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(615)</w:t>
            </w:r>
          </w:p>
        </w:tc>
        <w:tc>
          <w:tcPr>
            <w:tcW w:w="18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33,904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43,799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26,920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26,352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3,103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13,310</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13,089</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122,658</w:t>
            </w:r>
          </w:p>
        </w:tc>
        <w:tc>
          <w:tcPr>
            <w:tcW w:w="80" w:type="dxa"/>
            <w:vAlign w:val="bottom"/>
            <w:gridSpan w:val="2"/>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gridSpan w:val="2"/>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100" w:type="dxa"/>
            <w:vAlign w:val="bottom"/>
            <w:tcBorders>
              <w:righ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For the year ended December 31, 2022, there were 26 investment securities that were transferred from available-for-sale (“AFS”) to held-to-maturity (“HTM”) with an amortized cost basis and fair value amount of $74.4 million and $63.8 million, respectively. On the date of transfer, these securities had a total net unrealized loss of $ 10.6 million which was included in accumulated other comprehensive income (loss).</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Transfers of debt securities into the HTM category from the AFS category are made at fair value at the date of transfer. The unrealized gain or loss at the date of transfer is retained in accumulated other comprehensive income (“AOCI”) and in the carrying value of the held-to-maturity securities. Such amounts are amortized over the remaining life of the security. For the year ended December 31, 2022, total amortization out of AOCI for the net unrealized losses on securities transferred from AFS to HTM was $120 thousand and $108 thousand for year ended December 31, 2021.</w:t>
      </w:r>
    </w:p>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presents the proceeds, realized gross gains and realized gross losses on sales and calls of AFS debt securities for the years ended December 31,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and call of securities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60,649</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51,974</w:t>
            </w: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217</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(2,746)</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realized gains (losses)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4" w:name="page85"/>
    <w:bookmarkEnd w:id="8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55"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396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3,709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17,680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20" w:type="dxa"/>
            <w:vAlign w:val="bottom"/>
            <w:gridSpan w:val="2"/>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20" w:type="dxa"/>
            <w:vAlign w:val="bottom"/>
            <w:gridSpan w:val="2"/>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10,177</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8,655</w:t>
            </w:r>
          </w:p>
        </w:tc>
        <w:tc>
          <w:tcPr>
            <w:tcW w:w="8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44,914</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118,951</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68,727</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60,925</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73,838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60,879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42,685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32,244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10,777</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280,295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188,699</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169,088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At December 31, 2022 and 2021, there were no securities to any one issuer, in an amount greater than 10% of total stockholders’ equity other than the United States Government and Government Agencies. All the collateralized mortgage obligations and mortgage-backed securities are issued by United States sponsored entities at December 31, 2022 and 2021.</w:t>
      </w:r>
    </w:p>
    <w:p>
      <w:pPr>
        <w:spacing w:after="0" w:line="156"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w w:val="97"/>
              </w:rPr>
              <w:t>Less than 12 months</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ind w:right="78"/>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89"/>
              </w:rPr>
              <w:t>Losses</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3"/>
              </w:rPr>
              <w:t>Losses</w:t>
            </w:r>
          </w:p>
        </w:tc>
        <w:tc>
          <w:tcPr>
            <w:tcW w:w="2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r>
      <w:tr>
        <w:trPr>
          <w:trHeight w:val="155"/>
        </w:trPr>
        <w:tc>
          <w:tcPr>
            <w:tcW w:w="226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3"/>
                <w:szCs w:val="13"/>
                <w:color w:val="auto"/>
              </w:rPr>
            </w:pPr>
          </w:p>
        </w:tc>
        <w:tc>
          <w:tcPr>
            <w:tcW w:w="100" w:type="dxa"/>
            <w:vAlign w:val="bottom"/>
            <w:gridSpan w:val="2"/>
          </w:tcPr>
          <w:p>
            <w:pPr>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11,407</w:t>
            </w:r>
          </w:p>
        </w:tc>
        <w:tc>
          <w:tcPr>
            <w:tcW w:w="80" w:type="dxa"/>
            <w:vAlign w:val="bottom"/>
            <w:tcBorders>
              <w:right w:val="single" w:sz="8" w:color="CCEEFF"/>
            </w:tcBorders>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(1,093)</w:t>
            </w:r>
          </w:p>
        </w:tc>
        <w:tc>
          <w:tcPr>
            <w:tcW w:w="40" w:type="dxa"/>
            <w:vAlign w:val="bottom"/>
            <w:tcBorders>
              <w:right w:val="single" w:sz="8" w:color="CCEEFF"/>
            </w:tcBorders>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36,310</w:t>
            </w:r>
          </w:p>
        </w:tc>
        <w:tc>
          <w:tcPr>
            <w:tcW w:w="80" w:type="dxa"/>
            <w:vAlign w:val="bottom"/>
            <w:tcBorders>
              <w:right w:val="single" w:sz="8" w:color="CCEEFF"/>
            </w:tcBorders>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(7,616)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3"/>
                <w:szCs w:val="13"/>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47,717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tcPr>
          <w:p>
            <w:pPr>
              <w:jc w:val="right"/>
              <w:ind w:right="1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3"/>
                <w:szCs w:val="13"/>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(8,709)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4"/>
                <w:szCs w:val="14"/>
                <w:color w:val="auto"/>
              </w:rPr>
            </w:pPr>
          </w:p>
        </w:tc>
        <w:tc>
          <w:tcPr>
            <w:tcW w:w="3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139,965</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(34,962)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156,465</w:t>
            </w: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(35,925)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5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22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5,059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(564)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91,742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(19,348)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96,801</w:t>
            </w:r>
          </w:p>
        </w:tc>
        <w:tc>
          <w:tcPr>
            <w:tcW w:w="60" w:type="dxa"/>
            <w:vAlign w:val="bottom"/>
          </w:tcPr>
          <w:p>
            <w:pPr>
              <w:spacing w:after="0"/>
              <w:rPr>
                <w:sz w:val="12"/>
                <w:szCs w:val="12"/>
                <w:color w:val="auto"/>
              </w:rPr>
            </w:pPr>
          </w:p>
        </w:tc>
        <w:tc>
          <w:tcPr>
            <w:tcW w:w="320" w:type="dxa"/>
            <w:vAlign w:val="bottom"/>
            <w:gridSpan w:val="3"/>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(19,912)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40" w:type="dxa"/>
            <w:vAlign w:val="bottom"/>
          </w:tcPr>
          <w:p>
            <w:pPr>
              <w:spacing w:after="0"/>
              <w:rPr>
                <w:sz w:val="12"/>
                <w:szCs w:val="12"/>
                <w:color w:val="auto"/>
              </w:rPr>
            </w:pPr>
          </w:p>
        </w:tc>
        <w:tc>
          <w:tcPr>
            <w:tcW w:w="2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60" w:type="dxa"/>
            <w:vAlign w:val="bottom"/>
          </w:tcPr>
          <w:p>
            <w:pPr>
              <w:spacing w:after="0"/>
              <w:rPr>
                <w:sz w:val="14"/>
                <w:szCs w:val="14"/>
                <w:color w:val="auto"/>
              </w:rPr>
            </w:pPr>
          </w:p>
        </w:tc>
        <w:tc>
          <w:tcPr>
            <w:tcW w:w="3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11,295</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13,723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13,723</w:t>
            </w:r>
          </w:p>
        </w:tc>
        <w:tc>
          <w:tcPr>
            <w:tcW w:w="60" w:type="dxa"/>
            <w:vAlign w:val="bottom"/>
          </w:tcPr>
          <w:p>
            <w:pPr>
              <w:spacing w:after="0"/>
              <w:rPr>
                <w:sz w:val="14"/>
                <w:szCs w:val="14"/>
                <w:color w:val="auto"/>
              </w:rPr>
            </w:pPr>
          </w:p>
        </w:tc>
        <w:tc>
          <w:tcPr>
            <w:tcW w:w="3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77,864</w:t>
            </w:r>
          </w:p>
        </w:tc>
        <w:tc>
          <w:tcPr>
            <w:tcW w:w="8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(5,402)</w:t>
            </w:r>
          </w:p>
        </w:tc>
        <w:tc>
          <w:tcPr>
            <w:tcW w:w="4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315,942</w:t>
            </w:r>
          </w:p>
        </w:tc>
        <w:tc>
          <w:tcPr>
            <w:tcW w:w="8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(74,208)</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393,806</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(79,610)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3"/>
                <w:szCs w:val="13"/>
                <w:b w:val="1"/>
                <w:bCs w:val="1"/>
                <w:color w:val="auto"/>
                <w:w w:val="98"/>
              </w:rPr>
              <w:t>Less than 12 months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ind w:right="58"/>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3"/>
              </w:rPr>
              <w:t>Losses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r>
      <w:tr>
        <w:trPr>
          <w:trHeight w:val="151"/>
        </w:trPr>
        <w:tc>
          <w:tcPr>
            <w:tcW w:w="226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25,951</w:t>
            </w:r>
          </w:p>
        </w:tc>
        <w:tc>
          <w:tcPr>
            <w:tcW w:w="32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(254)</w:t>
            </w:r>
          </w:p>
        </w:tc>
        <w:tc>
          <w:tcPr>
            <w:tcW w:w="32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15,477</w:t>
            </w:r>
          </w:p>
        </w:tc>
        <w:tc>
          <w:tcPr>
            <w:tcW w:w="320" w:type="dxa"/>
            <w:vAlign w:val="bottom"/>
            <w:gridSpan w:val="3"/>
          </w:tcPr>
          <w:p>
            <w:pPr>
              <w:jc w:val="right"/>
              <w:ind w:right="24"/>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3"/>
                <w:szCs w:val="13"/>
                <w:color w:val="auto"/>
              </w:rPr>
              <w:t>41,428</w:t>
            </w:r>
          </w:p>
        </w:tc>
        <w:tc>
          <w:tcPr>
            <w:tcW w:w="20" w:type="dxa"/>
            <w:vAlign w:val="bottom"/>
          </w:tcPr>
          <w:p>
            <w:pPr>
              <w:spacing w:after="0"/>
              <w:rPr>
                <w:sz w:val="13"/>
                <w:szCs w:val="13"/>
                <w:color w:val="auto"/>
              </w:rPr>
            </w:pPr>
          </w:p>
        </w:tc>
        <w:tc>
          <w:tcPr>
            <w:tcW w:w="2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jc w:val="right"/>
              <w:ind w:right="18"/>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1"/>
        </w:trPr>
        <w:tc>
          <w:tcPr>
            <w:tcW w:w="226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155,668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(3,223)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38,459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(1,497)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194,127</w:t>
            </w:r>
          </w:p>
        </w:tc>
        <w:tc>
          <w:tcPr>
            <w:tcW w:w="60" w:type="dxa"/>
            <w:vAlign w:val="bottom"/>
          </w:tcPr>
          <w:p>
            <w:pPr>
              <w:spacing w:after="0"/>
              <w:rPr>
                <w:sz w:val="15"/>
                <w:szCs w:val="15"/>
                <w:color w:val="auto"/>
              </w:rPr>
            </w:pPr>
          </w:p>
        </w:tc>
        <w:tc>
          <w:tcPr>
            <w:tcW w:w="3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40" w:type="dxa"/>
            <w:vAlign w:val="bottom"/>
          </w:tcPr>
          <w:p>
            <w:pPr>
              <w:spacing w:after="0"/>
              <w:rPr>
                <w:sz w:val="12"/>
                <w:szCs w:val="12"/>
                <w:color w:val="auto"/>
              </w:rPr>
            </w:pPr>
          </w:p>
        </w:tc>
        <w:tc>
          <w:tcPr>
            <w:tcW w:w="2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88,772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(1,178)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37,373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126,145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1"/>
        </w:trPr>
        <w:tc>
          <w:tcPr>
            <w:tcW w:w="2260" w:type="dxa"/>
            <w:vAlign w:val="bottom"/>
            <w:gridSpan w:val="2"/>
          </w:tcPr>
          <w:p>
            <w:pPr>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2260" w:type="dxa"/>
            <w:vAlign w:val="bottom"/>
            <w:gridSpan w:val="2"/>
          </w:tcPr>
          <w:p>
            <w:pPr>
              <w:spacing w:after="0" w:line="148" w:lineRule="exact"/>
              <w:rPr>
                <w:sz w:val="20"/>
                <w:szCs w:val="20"/>
                <w:color w:val="auto"/>
              </w:rPr>
            </w:pPr>
            <w:r>
              <w:rPr>
                <w:rFonts w:ascii="Arial" w:cs="Arial" w:eastAsia="Arial" w:hAnsi="Arial"/>
                <w:sz w:val="13"/>
                <w:szCs w:val="13"/>
                <w:color w:val="auto"/>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25,289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(318)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7,507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32,796</w:t>
            </w:r>
          </w:p>
        </w:tc>
        <w:tc>
          <w:tcPr>
            <w:tcW w:w="320" w:type="dxa"/>
            <w:vAlign w:val="bottom"/>
            <w:gridSpan w:val="3"/>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11,292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11,978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23,270</w:t>
            </w: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4,487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4,487</w:t>
            </w:r>
          </w:p>
        </w:tc>
        <w:tc>
          <w:tcPr>
            <w:tcW w:w="60" w:type="dxa"/>
            <w:vAlign w:val="bottom"/>
          </w:tcPr>
          <w:p>
            <w:pPr>
              <w:spacing w:after="0"/>
              <w:rPr>
                <w:sz w:val="13"/>
                <w:szCs w:val="13"/>
                <w:color w:val="auto"/>
              </w:rPr>
            </w:pPr>
          </w:p>
        </w:tc>
        <w:tc>
          <w:tcPr>
            <w:tcW w:w="3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311,459</w:t>
            </w:r>
          </w:p>
        </w:tc>
        <w:tc>
          <w:tcPr>
            <w:tcW w:w="3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(5,381)</w:t>
            </w:r>
          </w:p>
        </w:tc>
        <w:tc>
          <w:tcPr>
            <w:tcW w:w="320" w:type="dxa"/>
            <w:vAlign w:val="bottom"/>
            <w:gridSpan w:val="3"/>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110,794</w:t>
            </w:r>
          </w:p>
        </w:tc>
        <w:tc>
          <w:tcPr>
            <w:tcW w:w="8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422,253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(9,476)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The unrealized losses associated with $134.7 million of investment securities transferred from the AFS portfolio to the HTM portfolio represent unrealized losses since the date of purchase, independent of the impact associated with changes in the cost basis upon transfer between portfolios.</w:t>
      </w:r>
    </w:p>
    <w:p>
      <w:pPr>
        <w:spacing w:after="0" w:line="31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5" w:name="page86"/>
    <w:bookmarkEnd w:id="8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performs a review of the investments that have an unrealized loss to determine whether there have been any changes in the economic circumstance of the security issuer to indicate that the unrealized loss is impaired on an other-than-temporary (“OTTI”) basis. Management considers several factors in their analysis including (i) severity and duration of the impairment, (ii) credit rating of the security including any downgrade, (iii) intent to sell the security, or if it is more likely than not that it will be required to sell the security before recovery, (iv) whether there have been any payment defaults and</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(v) underlying guarantor of the securities.</w:t>
      </w:r>
    </w:p>
    <w:p>
      <w:pPr>
        <w:spacing w:after="0" w:line="159" w:lineRule="exact"/>
        <w:rPr>
          <w:sz w:val="20"/>
          <w:szCs w:val="20"/>
          <w:color w:val="auto"/>
        </w:rPr>
      </w:pPr>
    </w:p>
    <w:p>
      <w:pPr>
        <w:jc w:val="both"/>
        <w:ind w:left="640" w:right="679" w:firstLine="256"/>
        <w:spacing w:after="0" w:line="247" w:lineRule="auto"/>
        <w:rPr>
          <w:sz w:val="20"/>
          <w:szCs w:val="20"/>
          <w:color w:val="auto"/>
        </w:rPr>
      </w:pPr>
      <w:r>
        <w:rPr>
          <w:rFonts w:ascii="Arial" w:cs="Arial" w:eastAsia="Arial" w:hAnsi="Arial"/>
          <w:sz w:val="14"/>
          <w:szCs w:val="14"/>
          <w:color w:val="auto"/>
        </w:rPr>
        <w:t>At December 31, 2022, the Company had $53.7 million of unrealized losses on mortgage backed securities and collateralized mortgage obligations of government sponsored entities having a fair value of $294.6 million that were attributable to a combination of factors, including relative changes in interest rates since the time of purchase. 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believes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7"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At December 31, 2022, the Company does not intend to sell debt securities that are in an unrealized loss position and it is not more than likely than not that the Company will be required to sell these securities before recovery of the amortized cost basis. Therefore, management does not consider any investment to be other than temporarily impaired at December 31, 2022.</w:t>
      </w:r>
    </w:p>
    <w:p>
      <w:pPr>
        <w:spacing w:after="0" w:line="156" w:lineRule="exact"/>
        <w:rPr>
          <w:sz w:val="20"/>
          <w:szCs w:val="20"/>
          <w:color w:val="auto"/>
        </w:rPr>
      </w:pPr>
    </w:p>
    <w:p>
      <w:pPr>
        <w:jc w:val="both"/>
        <w:ind w:left="640" w:right="659" w:firstLine="256"/>
        <w:spacing w:after="0" w:line="248" w:lineRule="auto"/>
        <w:rPr>
          <w:sz w:val="20"/>
          <w:szCs w:val="20"/>
          <w:color w:val="auto"/>
        </w:rPr>
      </w:pPr>
      <w:r>
        <w:rPr>
          <w:rFonts w:ascii="Arial" w:cs="Arial" w:eastAsia="Arial" w:hAnsi="Arial"/>
          <w:sz w:val="14"/>
          <w:szCs w:val="14"/>
          <w:color w:val="auto"/>
        </w:rPr>
        <w:t>As of December 31, 2022, 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At December 31, 2022, the Company did not have any securities pledged under this agreement.</w:t>
      </w:r>
    </w:p>
    <w:p>
      <w:pPr>
        <w:spacing w:after="0" w:line="15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2018, the Company became a Qualified Public Depositor (“QPD”) with the State of Florida. As a QPD, the Company has the authority to legally maintain public deposits from cities, municipalities, and the State of Florida.These public deposits are secured by securities pledged to the State of Florida at a ratio of 25% of the average outstanding uninsured deposits. The Company must also maintain a minimum amount of pledged securities to be in the program.</w:t>
      </w:r>
    </w:p>
    <w:p>
      <w:pPr>
        <w:spacing w:after="0" w:line="145"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At December 31, 2022, the Company had eighteen securities with a fair value of $49.0 million pledged to the State of Florida under the public funds program. The Company held a total of $204.2 million in public funds at December 31, 2022.</w:t>
      </w:r>
    </w:p>
    <w:p>
      <w:pPr>
        <w:spacing w:after="0" w:line="131"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At December 31, 2021, the Company had eleven securities with a fair value of $20.4 million pledged to the State of Florida under the public funds program. The Company held a total of $37.3 million in public funds at December 31, 2021.</w:t>
      </w:r>
    </w:p>
    <w:p>
      <w:pPr>
        <w:spacing w:after="0" w:line="113" w:lineRule="exact"/>
        <w:rPr>
          <w:sz w:val="20"/>
          <w:szCs w:val="20"/>
          <w:color w:val="auto"/>
        </w:rPr>
      </w:pPr>
    </w:p>
    <w:p>
      <w:pPr>
        <w:ind w:left="1020" w:hanging="378"/>
        <w:spacing w:after="0"/>
        <w:tabs>
          <w:tab w:leader="none" w:pos="102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r>
      <w:tr>
        <w:trPr>
          <w:trHeight w:val="171"/>
        </w:trPr>
        <w:tc>
          <w:tcPr>
            <w:tcW w:w="27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59.2 %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gridSpan w:val="2"/>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40" w:type="dxa"/>
            <w:vAlign w:val="bottom"/>
            <w:gridSpan w:val="2"/>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7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gross loans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121"/>
        </w:trPr>
        <w:tc>
          <w:tcPr>
            <w:tcW w:w="60" w:type="dxa"/>
            <w:vAlign w:val="bottom"/>
            <w:gridSpan w:val="2"/>
          </w:tcPr>
          <w:p>
            <w:pPr>
              <w:spacing w:after="0"/>
              <w:rPr>
                <w:sz w:val="10"/>
                <w:szCs w:val="10"/>
                <w:color w:val="auto"/>
              </w:rPr>
            </w:pPr>
          </w:p>
        </w:tc>
        <w:tc>
          <w:tcPr>
            <w:tcW w:w="266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Less: Unearned income</w:t>
            </w:r>
          </w:p>
        </w:tc>
        <w:tc>
          <w:tcPr>
            <w:tcW w:w="6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loans net of unearned income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1,507,338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net loans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1,489,851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1,175,024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At December 31, 2022 and 2021, the Company had $338.1 million and $185.1 million, respectively, of commercial real estate and residential mortgage loans pledged as collateral on lines of credit with the FHLB and the Federal Reserve Bank</w:t>
      </w:r>
    </w:p>
    <w:p>
      <w:pPr>
        <w:spacing w:after="0" w:line="30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6" w:name="page87"/>
    <w:bookmarkEnd w:id="8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spacing w:after="0" w:line="252" w:lineRule="auto"/>
        <w:rPr>
          <w:sz w:val="20"/>
          <w:szCs w:val="20"/>
          <w:color w:val="auto"/>
        </w:rPr>
      </w:pPr>
      <w:r>
        <w:rPr>
          <w:rFonts w:ascii="Arial" w:cs="Arial" w:eastAsia="Arial" w:hAnsi="Arial"/>
          <w:sz w:val="14"/>
          <w:szCs w:val="14"/>
          <w:color w:val="auto"/>
        </w:rPr>
        <w:t>of Atlanta. At December 31, 2022 and 2021 the Company had no loans and one loan for $1.2 million, respectively, in the process of foreclosure.</w:t>
      </w:r>
    </w:p>
    <w:p>
      <w:pPr>
        <w:spacing w:after="0" w:line="153"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was a participant of the Small Business Administration’s (“SBA”) Paycheck Protection Program (“PPP”) loans. These loans were designed to provide a direct incentive for small businesses to keep their workers on payroll and had to be used towards payroll cost, mortgage interest, rent, utilities and other costs related to COVID-19. These loans are forgivable under specific criteria as determined by the SBA. The Company had PPP loans of $1.3 million at December 31, 2022 and $42.4 million at December 31, 2021, which are categorized as commercial and industrial loans. These PPP loans had deferred loan fees of $13 thousand at December 31, 2022 and $1.5 million at December 31, 2021.</w:t>
      </w:r>
    </w:p>
    <w:p>
      <w:pPr>
        <w:spacing w:after="0" w:line="147"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The Company recognized $1.6 million and $4.5 million in PPP loan fees and interest income for the years ended December 31, 2022 and 2021, respectively, which is reported under loans, including fees within the Consolidated Statements of Operations.</w:t>
      </w:r>
    </w:p>
    <w:p>
      <w:pPr>
        <w:spacing w:after="0" w:line="152"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determines historical loss rates for each loan pool based on its own loss experience. In estimating credit losses, the Company also considers qualitative and environmental factors that may cause estimated credit losses for the loan portfolio to differ from historical losses.</w:t>
      </w:r>
    </w:p>
    <w:p>
      <w:pPr>
        <w:spacing w:after="0" w:line="145" w:lineRule="exact"/>
        <w:rPr>
          <w:sz w:val="20"/>
          <w:szCs w:val="20"/>
          <w:color w:val="auto"/>
        </w:rPr>
      </w:pPr>
    </w:p>
    <w:p>
      <w:pPr>
        <w:ind w:left="640" w:right="739" w:firstLine="256"/>
        <w:spacing w:after="0" w:line="268" w:lineRule="auto"/>
        <w:rPr>
          <w:sz w:val="20"/>
          <w:szCs w:val="20"/>
          <w:color w:val="auto"/>
        </w:rPr>
      </w:pPr>
      <w:r>
        <w:rPr>
          <w:rFonts w:ascii="Arial" w:cs="Arial" w:eastAsia="Arial" w:hAnsi="Arial"/>
          <w:sz w:val="14"/>
          <w:szCs w:val="14"/>
          <w:color w:val="auto"/>
        </w:rPr>
        <w:t>Changes in the allowance for credit losses for the years ended December 31, 2022 and 2021 are as follows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1,385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1,474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3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10,143</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4,163</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720</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1,109</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17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7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9,453</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1,689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2,775</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7" w:name="page88"/>
    <w:bookmarkEnd w:id="8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Allowance for credit losses and the outstanding balances in loans as of December 31, 2022 and 2021 are as follows (in thousands):</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5"/>
                <w:szCs w:val="15"/>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5"/>
                <w:szCs w:val="15"/>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4,122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1,011</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10,143</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4,163</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17,487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7,206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393</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82</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196</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178,430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970,017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126,902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130,233</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1,499,351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line="146" w:lineRule="exact"/>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185,636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93,769</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130,429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0" w:type="dxa"/>
            <w:vAlign w:val="bottom"/>
            <w:vMerge w:val="restart"/>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111</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line="146" w:lineRule="exact"/>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40" w:type="dxa"/>
            <w:vAlign w:val="bottom"/>
            <w:shd w:val="clear" w:color="auto" w:fill="CCEEFF"/>
          </w:tcPr>
          <w:p>
            <w:pPr>
              <w:spacing w:after="0"/>
              <w:rPr>
                <w:sz w:val="15"/>
                <w:szCs w:val="15"/>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5"/>
                <w:szCs w:val="15"/>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5"/>
                <w:szCs w:val="15"/>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10,067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192,353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704,292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146,451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79,005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1,181,592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59,491</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1,191,659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8" w:name="page89"/>
    <w:bookmarkEnd w:id="8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819"/>
        <w:spacing w:after="0" w:line="266"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6" w:lineRule="exact"/>
        <w:rPr>
          <w:sz w:val="20"/>
          <w:szCs w:val="20"/>
          <w:color w:val="auto"/>
        </w:rPr>
      </w:pPr>
    </w:p>
    <w:p>
      <w:pPr>
        <w:jc w:val="both"/>
        <w:ind w:left="1160" w:right="83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73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336"/>
              <w:spacing w:after="0"/>
              <w:rPr>
                <w:sz w:val="20"/>
                <w:szCs w:val="20"/>
                <w:color w:val="auto"/>
              </w:rPr>
            </w:pPr>
            <w:r>
              <w:rPr>
                <w:rFonts w:ascii="Arial" w:cs="Arial" w:eastAsia="Arial" w:hAnsi="Arial"/>
                <w:sz w:val="13"/>
                <w:szCs w:val="13"/>
                <w:b w:val="1"/>
                <w:bCs w:val="1"/>
                <w:color w:val="auto"/>
              </w:rPr>
              <w:t>As of December 31, 2022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Special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Mention</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623</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1300" w:type="dxa"/>
            <w:vAlign w:val="bottom"/>
            <w:gridSpan w:val="4"/>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0" w:type="dxa"/>
            <w:vAlign w:val="bottom"/>
          </w:tcPr>
          <w:p>
            <w:pPr>
              <w:spacing w:after="0"/>
              <w:rPr>
                <w:sz w:val="15"/>
                <w:szCs w:val="15"/>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68"/>
        </w:trPr>
        <w:tc>
          <w:tcPr>
            <w:tcW w:w="3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176,820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702,357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967,465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Secured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120,873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126,177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46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1,503,280</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3,948</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89" w:name="page90"/>
    <w:bookmarkEnd w:id="8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80"/>
              <w:spacing w:after="0"/>
              <w:rPr>
                <w:sz w:val="20"/>
                <w:szCs w:val="20"/>
                <w:color w:val="auto"/>
              </w:rPr>
            </w:pPr>
            <w:r>
              <w:rPr>
                <w:rFonts w:ascii="Arial" w:cs="Arial" w:eastAsia="Arial" w:hAnsi="Arial"/>
                <w:sz w:val="13"/>
                <w:szCs w:val="13"/>
                <w:b w:val="1"/>
                <w:bCs w:val="1"/>
                <w:color w:val="auto"/>
              </w:rPr>
              <w:t>As of December 31, 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3"/>
        </w:trPr>
        <w:tc>
          <w:tcPr>
            <w:tcW w:w="40" w:type="dxa"/>
            <w:vAlign w:val="bottom"/>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4"/>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Condo residential</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127,489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509,189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703,349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Secured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48,434</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146,039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1,184,662</w:t>
            </w:r>
          </w:p>
        </w:tc>
        <w:tc>
          <w:tcPr>
            <w:tcW w:w="60" w:type="dxa"/>
            <w:vAlign w:val="bottom"/>
            <w:gridSpan w:val="2"/>
            <w:shd w:val="clear" w:color="auto" w:fill="CCEEFF"/>
          </w:tcPr>
          <w:p>
            <w:pPr>
              <w:spacing w:after="0"/>
              <w:rPr>
                <w:sz w:val="14"/>
                <w:szCs w:val="14"/>
                <w:color w:val="auto"/>
              </w:rPr>
            </w:pPr>
          </w:p>
        </w:tc>
        <w:tc>
          <w:tcPr>
            <w:tcW w:w="80" w:type="dxa"/>
            <w:vAlign w:val="bottom"/>
            <w:gridSpan w:val="2"/>
            <w:shd w:val="clear" w:color="auto" w:fill="CCEEFF"/>
          </w:tcPr>
          <w:p>
            <w:pPr>
              <w:jc w:val="right"/>
              <w:ind w:right="4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1,222</w:t>
            </w:r>
          </w:p>
        </w:tc>
        <w:tc>
          <w:tcPr>
            <w:tcW w:w="300" w:type="dxa"/>
            <w:vAlign w:val="bottom"/>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w:t>
            </w: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1,191,659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0" w:name="page91"/>
    <w:bookmarkEnd w:id="9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88" w:lineRule="exact"/>
        <w:rPr>
          <w:sz w:val="20"/>
          <w:szCs w:val="20"/>
          <w:color w:val="auto"/>
        </w:rPr>
      </w:pPr>
    </w:p>
    <w:p>
      <w:pPr>
        <w:jc w:val="both"/>
        <w:ind w:left="640" w:right="699" w:firstLine="256"/>
        <w:spacing w:after="0" w:line="262" w:lineRule="auto"/>
        <w:rPr>
          <w:sz w:val="20"/>
          <w:szCs w:val="20"/>
          <w:color w:val="auto"/>
        </w:rPr>
      </w:pPr>
      <w:r>
        <w:rPr>
          <w:rFonts w:ascii="Arial" w:cs="Arial" w:eastAsia="Arial" w:hAnsi="Arial"/>
          <w:sz w:val="13"/>
          <w:szCs w:val="13"/>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2022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2021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Past Due &gt;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w w:val="97"/>
              </w:rPr>
              <w:t>90 Days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89 Days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88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596"/>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4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131,120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50,310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2,525</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182,053</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3,583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68"/>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704,884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970,385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Secured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121,649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4,332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125,981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1,502,357</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4,871</w:t>
            </w:r>
          </w:p>
        </w:tc>
        <w:tc>
          <w:tcPr>
            <w:tcW w:w="760" w:type="dxa"/>
            <w:vAlign w:val="bottom"/>
            <w:gridSpan w:val="3"/>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b w:val="1"/>
                <w:bCs w:val="1"/>
                <w:color w:val="auto"/>
                <w:w w:val="83"/>
              </w:rPr>
              <w:t>-</w:t>
            </w: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1,507,228</w:t>
            </w:r>
          </w:p>
        </w:tc>
        <w:tc>
          <w:tcPr>
            <w:tcW w:w="4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1,507,228</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1" w:name="page92"/>
    <w:bookmarkEnd w:id="9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center"/>
              <w:ind w:right="36"/>
              <w:spacing w:after="0" w:line="126" w:lineRule="exact"/>
              <w:rPr>
                <w:sz w:val="20"/>
                <w:szCs w:val="20"/>
                <w:color w:val="auto"/>
              </w:rPr>
            </w:pPr>
            <w:r>
              <w:rPr>
                <w:rFonts w:ascii="Arial" w:cs="Arial" w:eastAsia="Arial" w:hAnsi="Arial"/>
                <w:sz w:val="13"/>
                <w:szCs w:val="13"/>
                <w:b w:val="1"/>
                <w:bCs w:val="1"/>
                <w:color w:val="auto"/>
                <w:w w:val="98"/>
              </w:rPr>
              <w:t>Past Due &gt;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4"/>
          </w:tcPr>
          <w:p>
            <w:pPr>
              <w:jc w:val="center"/>
              <w:spacing w:after="0"/>
              <w:rPr>
                <w:sz w:val="20"/>
                <w:szCs w:val="20"/>
                <w:color w:val="auto"/>
              </w:rPr>
            </w:pPr>
            <w:r>
              <w:rPr>
                <w:rFonts w:ascii="Arial" w:cs="Arial" w:eastAsia="Arial" w:hAnsi="Arial"/>
                <w:sz w:val="13"/>
                <w:szCs w:val="13"/>
                <w:b w:val="1"/>
                <w:bCs w:val="1"/>
                <w:color w:val="auto"/>
              </w:rPr>
              <w:t>90 Days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515" w:type="dxa"/>
            <w:vAlign w:val="bottom"/>
          </w:tcPr>
          <w:p>
            <w:pPr>
              <w:jc w:val="center"/>
              <w:spacing w:after="0"/>
              <w:rPr>
                <w:sz w:val="20"/>
                <w:szCs w:val="20"/>
                <w:color w:val="auto"/>
              </w:rPr>
            </w:pPr>
            <w:r>
              <w:rPr>
                <w:rFonts w:ascii="Arial" w:cs="Arial" w:eastAsia="Arial" w:hAnsi="Arial"/>
                <w:sz w:val="13"/>
                <w:szCs w:val="13"/>
                <w:b w:val="1"/>
                <w:bCs w:val="1"/>
                <w:color w:val="auto"/>
              </w:rPr>
              <w:t>Still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660" w:type="dxa"/>
            <w:vAlign w:val="bottom"/>
            <w:gridSpan w:val="2"/>
          </w:tcPr>
          <w:p>
            <w:pPr>
              <w:jc w:val="center"/>
              <w:ind w:left="36"/>
              <w:spacing w:after="0"/>
              <w:rPr>
                <w:sz w:val="20"/>
                <w:szCs w:val="20"/>
                <w:color w:val="auto"/>
              </w:rPr>
            </w:pPr>
            <w:r>
              <w:rPr>
                <w:rFonts w:ascii="Arial" w:cs="Arial" w:eastAsia="Arial" w:hAnsi="Arial"/>
                <w:sz w:val="13"/>
                <w:szCs w:val="13"/>
                <w:b w:val="1"/>
                <w:bCs w:val="1"/>
                <w:color w:val="auto"/>
                <w:w w:val="99"/>
              </w:rPr>
              <w:t>Accruing</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Accruing</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0" w:type="dxa"/>
            <w:vAlign w:val="bottom"/>
          </w:tcPr>
          <w:p>
            <w:pPr>
              <w:spacing w:after="0"/>
              <w:rPr>
                <w:sz w:val="13"/>
                <w:szCs w:val="13"/>
                <w:color w:val="auto"/>
              </w:rPr>
            </w:pPr>
          </w:p>
        </w:tc>
        <w:tc>
          <w:tcPr>
            <w:tcW w:w="2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5" w:type="dxa"/>
            <w:vAlign w:val="bottom"/>
            <w:tcBorders>
              <w:top w:val="single" w:sz="8" w:color="auto"/>
            </w:tcBorders>
            <w:shd w:val="clear" w:color="auto" w:fill="CCEEFF"/>
          </w:tcPr>
          <w:p>
            <w:pPr>
              <w:spacing w:after="0"/>
              <w:rPr>
                <w:sz w:val="13"/>
                <w:szCs w:val="13"/>
                <w:color w:val="auto"/>
              </w:rPr>
            </w:pPr>
          </w:p>
        </w:tc>
        <w:tc>
          <w:tcPr>
            <w:tcW w:w="515"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5"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7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133,942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289</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134,231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64,243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994</w:t>
            </w:r>
          </w:p>
        </w:tc>
        <w:tc>
          <w:tcPr>
            <w:tcW w:w="40" w:type="dxa"/>
            <w:vAlign w:val="bottom"/>
          </w:tcPr>
          <w:p>
            <w:pPr>
              <w:spacing w:after="0"/>
              <w:rPr>
                <w:sz w:val="14"/>
                <w:szCs w:val="14"/>
                <w:color w:val="auto"/>
              </w:rPr>
            </w:pPr>
          </w:p>
        </w:tc>
        <w:tc>
          <w:tcPr>
            <w:tcW w:w="145" w:type="dxa"/>
            <w:vAlign w:val="bottom"/>
            <w:tcBorders>
              <w:bottom w:val="single" w:sz="8" w:color="auto"/>
            </w:tcBorders>
          </w:tcPr>
          <w:p>
            <w:pPr>
              <w:spacing w:after="0"/>
              <w:rPr>
                <w:sz w:val="14"/>
                <w:szCs w:val="14"/>
                <w:color w:val="auto"/>
              </w:rPr>
            </w:pPr>
          </w:p>
        </w:tc>
        <w:tc>
          <w:tcPr>
            <w:tcW w:w="515"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198,886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1,283</w:t>
            </w:r>
          </w:p>
        </w:tc>
        <w:tc>
          <w:tcPr>
            <w:tcW w:w="40" w:type="dxa"/>
            <w:vAlign w:val="bottom"/>
            <w:shd w:val="clear" w:color="auto" w:fill="CCEEFF"/>
          </w:tcPr>
          <w:p>
            <w:pPr>
              <w:spacing w:after="0"/>
              <w:rPr>
                <w:sz w:val="13"/>
                <w:szCs w:val="13"/>
                <w:color w:val="auto"/>
              </w:rPr>
            </w:pPr>
          </w:p>
        </w:tc>
        <w:tc>
          <w:tcPr>
            <w:tcW w:w="145" w:type="dxa"/>
            <w:vAlign w:val="bottom"/>
            <w:shd w:val="clear" w:color="auto" w:fill="CCEEFF"/>
          </w:tcPr>
          <w:p>
            <w:pPr>
              <w:spacing w:after="0"/>
              <w:rPr>
                <w:sz w:val="13"/>
                <w:szCs w:val="13"/>
                <w:color w:val="auto"/>
              </w:rPr>
            </w:pPr>
          </w:p>
        </w:tc>
        <w:tc>
          <w:tcPr>
            <w:tcW w:w="515"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200,169</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Multi 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127,053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127,489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510,411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515"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704,552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515" w:type="dxa"/>
            <w:vAlign w:val="bottom"/>
          </w:tcPr>
          <w:p>
            <w:pPr>
              <w:spacing w:after="0"/>
              <w:rPr>
                <w:sz w:val="13"/>
                <w:szCs w:val="13"/>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48,041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515"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146,182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515" w:type="dxa"/>
            <w:vAlign w:val="bottom"/>
          </w:tcPr>
          <w:p>
            <w:pPr>
              <w:spacing w:after="0"/>
              <w:rPr>
                <w:sz w:val="13"/>
                <w:szCs w:val="13"/>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146,592</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78,969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5" w:type="dxa"/>
            <w:vAlign w:val="bottom"/>
            <w:tcBorders>
              <w:bottom w:val="single" w:sz="8" w:color="auto"/>
            </w:tcBorders>
          </w:tcPr>
          <w:p>
            <w:pPr>
              <w:spacing w:after="0"/>
              <w:rPr>
                <w:sz w:val="14"/>
                <w:szCs w:val="14"/>
                <w:color w:val="auto"/>
              </w:rPr>
            </w:pPr>
          </w:p>
        </w:tc>
        <w:tc>
          <w:tcPr>
            <w:tcW w:w="515"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1,188,080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2,389</w:t>
            </w:r>
          </w:p>
        </w:tc>
        <w:tc>
          <w:tcPr>
            <w:tcW w:w="185"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shd w:val="clear" w:color="auto" w:fill="CCEEFF"/>
              </w:rPr>
              <w:t>1,190,469</w:t>
            </w:r>
          </w:p>
        </w:tc>
        <w:tc>
          <w:tcPr>
            <w:tcW w:w="17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17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515"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515"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There was no interest income recognized attributable to nonaccrual loans outstanding at December 31, 2022 and 2021. Interest income on these loans for the years ended December 31, 2022 and 2021, would have been approximately $0 thousand and $5 thousand, respectively, had these loans performed in accordance with their original terms.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loans over 90 days past due and accruing as of December 31, 2022 and 2021.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for the dates indicated (in thousands):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jc w:val="center"/>
              <w:ind w:right="56"/>
              <w:spacing w:after="0"/>
              <w:rPr>
                <w:sz w:val="20"/>
                <w:szCs w:val="20"/>
                <w:color w:val="auto"/>
              </w:rPr>
            </w:pPr>
            <w:r>
              <w:rPr>
                <w:rFonts w:ascii="Arial" w:cs="Arial" w:eastAsia="Arial" w:hAnsi="Arial"/>
                <w:sz w:val="13"/>
                <w:szCs w:val="13"/>
                <w:b w:val="1"/>
                <w:bCs w:val="1"/>
                <w:color w:val="auto"/>
                <w:w w:val="97"/>
              </w:rPr>
              <w:t>December 31, 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9"/>
          </w:tcPr>
          <w:p>
            <w:pPr>
              <w:jc w:val="center"/>
              <w:ind w:right="56"/>
              <w:spacing w:after="0"/>
              <w:rPr>
                <w:sz w:val="20"/>
                <w:szCs w:val="20"/>
                <w:color w:val="auto"/>
              </w:rPr>
            </w:pPr>
            <w:r>
              <w:rPr>
                <w:rFonts w:ascii="Arial" w:cs="Arial" w:eastAsia="Arial" w:hAnsi="Arial"/>
                <w:sz w:val="13"/>
                <w:szCs w:val="13"/>
                <w:b w:val="1"/>
                <w:bCs w:val="1"/>
                <w:color w:val="auto"/>
                <w:w w:val="97"/>
              </w:rPr>
              <w:t>December 31, 2021</w:t>
            </w:r>
          </w:p>
        </w:tc>
        <w:tc>
          <w:tcPr>
            <w:tcW w:w="20" w:type="dxa"/>
            <w:vAlign w:val="bottom"/>
          </w:tcPr>
          <w:p>
            <w:pPr>
              <w:spacing w:after="0"/>
              <w:rPr>
                <w:sz w:val="13"/>
                <w:szCs w:val="13"/>
                <w:color w:val="auto"/>
              </w:rPr>
            </w:pPr>
          </w:p>
        </w:tc>
      </w:tr>
      <w:tr>
        <w:trPr>
          <w:trHeight w:val="243"/>
        </w:trPr>
        <w:tc>
          <w:tcPr>
            <w:tcW w:w="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Valuation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Valuation</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3,551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3,544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5,021</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5,035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3,944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3,937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3,655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3,626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3,933</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20" w:type="dxa"/>
            <w:vAlign w:val="bottom"/>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7,877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7,841</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294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2" w:name="page93"/>
    <w:bookmarkEnd w:id="9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presents the average recorded investment balance on impaired loans as of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3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660" w:type="dxa"/>
            <w:vAlign w:val="bottom"/>
            <w:gridSpan w:val="2"/>
            <w:shd w:val="clear" w:color="auto" w:fill="CCEEFF"/>
          </w:tcPr>
          <w:p>
            <w:pPr>
              <w:jc w:val="right"/>
              <w:ind w:right="700"/>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7,626</w:t>
            </w:r>
          </w:p>
        </w:tc>
        <w:tc>
          <w:tcPr>
            <w:tcW w:w="2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8,791</w:t>
            </w:r>
          </w:p>
        </w:tc>
        <w:tc>
          <w:tcPr>
            <w:tcW w:w="20" w:type="dxa"/>
            <w:vAlign w:val="bottom"/>
            <w:shd w:val="clear" w:color="auto" w:fill="CCEEFF"/>
          </w:tcPr>
          <w:p>
            <w:pPr>
              <w:spacing w:after="0"/>
              <w:rPr>
                <w:sz w:val="12"/>
                <w:szCs w:val="12"/>
                <w:color w:val="auto"/>
              </w:rPr>
            </w:pPr>
          </w:p>
        </w:tc>
      </w:tr>
      <w:tr>
        <w:trPr>
          <w:trHeight w:val="171"/>
        </w:trPr>
        <w:tc>
          <w:tcPr>
            <w:tcW w:w="3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575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20" w:type="dxa"/>
            <w:vAlign w:val="bottom"/>
            <w:shd w:val="clear" w:color="auto" w:fill="CCEEFF"/>
          </w:tcPr>
          <w:p>
            <w:pPr>
              <w:spacing w:after="0"/>
              <w:rPr>
                <w:sz w:val="14"/>
                <w:szCs w:val="14"/>
                <w:color w:val="auto"/>
              </w:rPr>
            </w:pPr>
          </w:p>
        </w:tc>
      </w:tr>
      <w:tr>
        <w:trPr>
          <w:trHeight w:val="160"/>
        </w:trPr>
        <w:tc>
          <w:tcPr>
            <w:tcW w:w="33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9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2660" w:type="dxa"/>
            <w:vAlign w:val="bottom"/>
            <w:tcBorders>
              <w:bottom w:val="single" w:sz="8" w:color="CCEEFF"/>
            </w:tcBorders>
            <w:gridSpan w:val="2"/>
            <w:shd w:val="clear" w:color="auto" w:fill="CCEEFF"/>
          </w:tcPr>
          <w:p>
            <w:pPr>
              <w:jc w:val="right"/>
              <w:ind w:right="700"/>
              <w:spacing w:after="0" w:line="131"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8,520</w:t>
            </w:r>
          </w:p>
        </w:tc>
        <w:tc>
          <w:tcPr>
            <w:tcW w:w="28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9,937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Interest income recognized on impaired loans for the years ended December 31, 2022 and 2021 was $ 351 thousand and $415 thousand, respectively.</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Troubled Debt Restructuring</w:t>
      </w:r>
    </w:p>
    <w:p>
      <w:pPr>
        <w:spacing w:after="0" w:line="188"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A troubled debt restructuring (“TDR”) occurs when the Company has agreed to a loan modification in the form of a concession for a borrower who is experiencing financial difficulty.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performing and non-performing TDRs for the dates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2022</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3"/>
                <w:szCs w:val="13"/>
                <w:b w:val="1"/>
                <w:bCs w:val="1"/>
                <w:color w:val="auto"/>
                <w:w w:val="99"/>
              </w:rPr>
              <w:t>December 31, 2021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Non-Accrual</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Accrual Status</w:t>
            </w:r>
          </w:p>
        </w:tc>
        <w:tc>
          <w:tcPr>
            <w:tcW w:w="8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Status</w:t>
            </w:r>
          </w:p>
        </w:tc>
        <w:tc>
          <w:tcPr>
            <w:tcW w:w="10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Total TDRs</w:t>
            </w: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Accrual Status</w:t>
            </w:r>
          </w:p>
        </w:tc>
        <w:tc>
          <w:tcPr>
            <w:tcW w:w="10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rPr>
              <w:t>Status</w:t>
            </w:r>
          </w:p>
        </w:tc>
        <w:tc>
          <w:tcPr>
            <w:tcW w:w="12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4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7,206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7,206</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8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8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7,877</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7,877</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had allocated $294 thousand and $ 360 thousand of specific allowance for TDR loans at December 31, 2022 and 2021, respectively. Charge-offs on TDR loans for the years ended December 31, 2022 and 2021 was $ 0 thousand and $18 thousand, respectively. There was no commitment to lend additional funds to these TDR customers.</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 did not have any new TDR loans, loan modifications, nor defaults for the years ended December 31, 2022 and December 31, 2021.</w:t>
      </w:r>
    </w:p>
    <w:p>
      <w:pPr>
        <w:spacing w:after="0" w:line="131"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During the year ended December 31, 2022 and 2021, the Company did not modify any new loans to borrowers impacted by COVID-19. At December 31, 2022, there was no loan past due that was modified in 2021.</w:t>
      </w:r>
    </w:p>
    <w:p>
      <w:pPr>
        <w:spacing w:after="0" w:line="113" w:lineRule="exact"/>
        <w:rPr>
          <w:sz w:val="20"/>
          <w:szCs w:val="20"/>
          <w:color w:val="auto"/>
        </w:rPr>
      </w:pPr>
    </w:p>
    <w:p>
      <w:pPr>
        <w:ind w:left="1160" w:hanging="518"/>
        <w:spacing w:after="0"/>
        <w:tabs>
          <w:tab w:leader="none" w:pos="11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22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2022,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dates.</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3" w:name="page94"/>
    <w:bookmarkEnd w:id="9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 rate matching or nearing the lease term.</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presents the ROU assets and lease liabilities as of December 31, 2022 and 2021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ROU assets:</w:t>
            </w:r>
          </w:p>
        </w:tc>
        <w:tc>
          <w:tcPr>
            <w:tcW w:w="2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380" w:type="dxa"/>
            <w:vAlign w:val="bottom"/>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14,395</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vMerge w:val="restart"/>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b w:val="1"/>
                <w:bCs w:val="1"/>
                <w:color w:val="auto"/>
              </w:rPr>
              <w:t>Lease liabilities:</w:t>
            </w: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380" w:type="dxa"/>
            <w:vAlign w:val="bottom"/>
            <w:shd w:val="clear" w:color="auto" w:fill="CCEEFF"/>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14,395</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14,185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2022 and 2021:</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740" w:type="dxa"/>
            <w:vAlign w:val="bottom"/>
            <w:gridSpan w:val="2"/>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00"/>
              <w:spacing w:after="0"/>
              <w:rPr>
                <w:sz w:val="20"/>
                <w:szCs w:val="20"/>
                <w:color w:val="auto"/>
              </w:rPr>
            </w:pPr>
            <w:r>
              <w:rPr>
                <w:rFonts w:ascii="Arial" w:cs="Arial" w:eastAsia="Arial" w:hAnsi="Arial"/>
                <w:sz w:val="13"/>
                <w:szCs w:val="13"/>
                <w:color w:val="auto"/>
              </w:rPr>
              <w:t>6.98</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8.28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740" w:type="dxa"/>
            <w:vAlign w:val="bottom"/>
            <w:gridSpan w:val="2"/>
            <w:shd w:val="clear" w:color="auto" w:fill="CCEEFF"/>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2.94%</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2.32%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2022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2023</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w:t>
            </w:r>
          </w:p>
        </w:tc>
        <w:tc>
          <w:tcPr>
            <w:tcW w:w="20" w:type="dxa"/>
            <w:vAlign w:val="bottom"/>
            <w:shd w:val="clear" w:color="auto" w:fill="CCEEFF"/>
          </w:tcPr>
          <w:p>
            <w:pPr>
              <w:spacing w:after="0"/>
              <w:rPr>
                <w:sz w:val="13"/>
                <w:szCs w:val="13"/>
                <w:color w:val="auto"/>
              </w:rPr>
            </w:pPr>
          </w:p>
        </w:tc>
      </w:tr>
      <w:tr>
        <w:trPr>
          <w:trHeight w:val="160"/>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2024</w:t>
            </w: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3,236</w:t>
            </w:r>
          </w:p>
        </w:tc>
        <w:tc>
          <w:tcPr>
            <w:tcW w:w="2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2025</w:t>
            </w:r>
          </w:p>
        </w:tc>
        <w:tc>
          <w:tcPr>
            <w:tcW w:w="1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w:t>
            </w:r>
          </w:p>
        </w:tc>
        <w:tc>
          <w:tcPr>
            <w:tcW w:w="20" w:type="dxa"/>
            <w:vAlign w:val="bottom"/>
            <w:shd w:val="clear" w:color="auto" w:fill="CCEEFF"/>
          </w:tcPr>
          <w:p>
            <w:pPr>
              <w:spacing w:after="0"/>
              <w:rPr>
                <w:sz w:val="13"/>
                <w:szCs w:val="13"/>
                <w:color w:val="auto"/>
              </w:rPr>
            </w:pPr>
          </w:p>
        </w:tc>
      </w:tr>
      <w:tr>
        <w:trPr>
          <w:trHeight w:val="171"/>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2026</w:t>
            </w: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2,383</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2027</w:t>
            </w:r>
          </w:p>
        </w:tc>
        <w:tc>
          <w:tcPr>
            <w:tcW w:w="1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20" w:type="dxa"/>
            <w:vAlign w:val="bottom"/>
            <w:shd w:val="clear" w:color="auto" w:fill="CCEEFF"/>
          </w:tcPr>
          <w:p>
            <w:pPr>
              <w:spacing w:after="0"/>
              <w:rPr>
                <w:sz w:val="13"/>
                <w:szCs w:val="13"/>
                <w:color w:val="auto"/>
              </w:rPr>
            </w:pPr>
          </w:p>
        </w:tc>
      </w:tr>
      <w:tr>
        <w:trPr>
          <w:trHeight w:val="160"/>
        </w:trPr>
        <w:tc>
          <w:tcPr>
            <w:tcW w:w="4100" w:type="dxa"/>
            <w:vAlign w:val="bottom"/>
            <w:gridSpan w:val="3"/>
          </w:tcPr>
          <w:p>
            <w:pPr>
              <w:spacing w:after="0"/>
              <w:rPr>
                <w:sz w:val="20"/>
                <w:szCs w:val="20"/>
                <w:color w:val="auto"/>
              </w:rPr>
            </w:pPr>
            <w:r>
              <w:rPr>
                <w:rFonts w:ascii="Arial" w:cs="Arial" w:eastAsia="Arial" w:hAnsi="Arial"/>
                <w:sz w:val="13"/>
                <w:szCs w:val="13"/>
                <w:color w:val="auto"/>
              </w:rPr>
              <w:t>Thereafter</w:t>
            </w: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3,478</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future minimum lease payments</w:t>
            </w:r>
          </w:p>
        </w:tc>
        <w:tc>
          <w:tcPr>
            <w:tcW w:w="19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16,518</w:t>
            </w:r>
          </w:p>
        </w:tc>
        <w:tc>
          <w:tcPr>
            <w:tcW w:w="20" w:type="dxa"/>
            <w:vAlign w:val="bottom"/>
            <w:shd w:val="clear" w:color="auto" w:fill="CCEEFF"/>
          </w:tcPr>
          <w:p>
            <w:pPr>
              <w:spacing w:after="0"/>
              <w:rPr>
                <w:sz w:val="13"/>
                <w:szCs w:val="13"/>
                <w:color w:val="auto"/>
              </w:rPr>
            </w:pPr>
          </w:p>
        </w:tc>
      </w:tr>
      <w:tr>
        <w:trPr>
          <w:trHeight w:val="171"/>
        </w:trPr>
        <w:tc>
          <w:tcPr>
            <w:tcW w:w="4100" w:type="dxa"/>
            <w:vAlign w:val="bottom"/>
            <w:gridSpan w:val="3"/>
          </w:tcPr>
          <w:p>
            <w:pPr>
              <w:spacing w:after="0"/>
              <w:rPr>
                <w:sz w:val="20"/>
                <w:szCs w:val="20"/>
                <w:color w:val="auto"/>
              </w:rPr>
            </w:pPr>
            <w:r>
              <w:rPr>
                <w:rFonts w:ascii="Arial" w:cs="Arial" w:eastAsia="Arial" w:hAnsi="Arial"/>
                <w:sz w:val="13"/>
                <w:szCs w:val="13"/>
                <w:color w:val="auto"/>
              </w:rPr>
              <w:t>Less: interest component</w:t>
            </w: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(2,123)</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Total lease liability</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14,395</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160" w:hanging="518"/>
        <w:spacing w:after="0"/>
        <w:tabs>
          <w:tab w:leader="none" w:pos="11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premises and equipment are presented below as of December 31, 2022 and 2021 (in thousands):</w:t>
      </w:r>
    </w:p>
    <w:p>
      <w:pPr>
        <w:sectPr>
          <w:pgSz w:w="11900" w:h="16838" w:orient="portrait"/>
          <w:cols w:equalWidth="0" w:num="1">
            <w:col w:w="9019"/>
          </w:cols>
          <w:pgMar w:left="1440" w:top="490" w:right="1440" w:bottom="1440" w:gutter="0" w:footer="0" w:header="0"/>
        </w:sectPr>
      </w:pPr>
    </w:p>
    <w:p>
      <w:pPr>
        <w:spacing w:after="0" w:line="36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Land</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Building</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Furniture, fixtures and equipment</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Computer hardware and software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Leasehold improvements</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gross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Accumulated depreciation and amortization</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net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Borders>
              <w:right w:val="single" w:sz="8" w:color="CCEEFF"/>
            </w:tcBorders>
          </w:tcPr>
          <w:p>
            <w:pPr>
              <w:spacing w:after="0"/>
              <w:rPr>
                <w:sz w:val="13"/>
                <w:szCs w:val="13"/>
                <w:color w:val="auto"/>
              </w:rPr>
            </w:pP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8,841</w:t>
            </w:r>
          </w:p>
        </w:tc>
        <w:tc>
          <w:tcPr>
            <w:tcW w:w="100" w:type="dxa"/>
            <w:vAlign w:val="bottom"/>
            <w:tcBorders>
              <w:right w:val="single" w:sz="8" w:color="CCEEFF"/>
            </w:tcBorders>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4,552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10,451</w:t>
            </w:r>
          </w:p>
        </w:tc>
        <w:tc>
          <w:tcPr>
            <w:tcW w:w="100" w:type="dxa"/>
            <w:vAlign w:val="bottom"/>
            <w:tcBorders>
              <w:bottom w:val="single" w:sz="8" w:color="auto"/>
              <w:right w:val="single" w:sz="8" w:color="CCEEFF"/>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9,921</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26,791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26,118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(21,528)</w:t>
            </w: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(20,840)</w:t>
            </w:r>
          </w:p>
        </w:tc>
        <w:tc>
          <w:tcPr>
            <w:tcW w:w="20" w:type="dxa"/>
            <w:vAlign w:val="bottom"/>
            <w:shd w:val="clear" w:color="auto" w:fill="CCEEFF"/>
          </w:tcPr>
          <w:p>
            <w:pPr>
              <w:spacing w:after="0"/>
              <w:rPr>
                <w:sz w:val="13"/>
                <w:szCs w:val="13"/>
                <w:color w:val="auto"/>
              </w:rPr>
            </w:pPr>
          </w:p>
        </w:tc>
      </w:tr>
      <w:tr>
        <w:trPr>
          <w:trHeight w:val="16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5,263</w:t>
            </w:r>
          </w:p>
        </w:tc>
        <w:tc>
          <w:tcPr>
            <w:tcW w:w="100" w:type="dxa"/>
            <w:vAlign w:val="bottom"/>
          </w:tcPr>
          <w:p>
            <w:pPr>
              <w:spacing w:after="0"/>
              <w:rPr>
                <w:sz w:val="14"/>
                <w:szCs w:val="14"/>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5680" w:space="720"/>
            <w:col w:w="2619"/>
          </w:cols>
          <w:pgMar w:left="1440" w:top="490" w:right="1440" w:bottom="1440" w:gutter="0" w:footer="0" w:header="0"/>
          <w:type w:val="continuous"/>
        </w:sectPr>
      </w:pPr>
    </w:p>
    <w:p>
      <w:pPr>
        <w:jc w:val="both"/>
        <w:ind w:left="640" w:right="699" w:firstLine="256"/>
        <w:spacing w:after="0" w:line="248" w:lineRule="auto"/>
        <w:rPr>
          <w:sz w:val="20"/>
          <w:szCs w:val="20"/>
          <w:color w:val="auto"/>
        </w:rPr>
      </w:pPr>
      <w:r>
        <w:rPr>
          <w:rFonts w:ascii="Arial" w:cs="Arial" w:eastAsia="Arial" w:hAnsi="Arial"/>
          <w:sz w:val="14"/>
          <w:szCs w:val="14"/>
          <w:color w:val="auto"/>
        </w:rPr>
        <w:t>Depreciation and amortization expense was $688 thousand and $1.0 million for the years ended December 31, 2022 and 2021, respectively. During 2021, the Company eliminated $ 0.6 million in assets due to the sale of one banking center and relocation of another banking center. The depreciation on these assets was $ 0.6 million with the remaining amount recognized as an immaterial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20" w:hanging="378"/>
        <w:spacing w:after="0"/>
        <w:tabs>
          <w:tab w:leader="none" w:pos="102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Company’s provision for income taxes is presented in the following table for the years ended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41"/>
        </w:trPr>
        <w:tc>
          <w:tcPr>
            <w:tcW w:w="4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jc w:val="center"/>
              <w:ind w:right="2516"/>
              <w:spacing w:after="0" w:line="140" w:lineRule="exact"/>
              <w:rPr>
                <w:sz w:val="20"/>
                <w:szCs w:val="20"/>
                <w:color w:val="auto"/>
              </w:rPr>
            </w:pPr>
            <w:r>
              <w:rPr>
                <w:rFonts w:ascii="Arial" w:cs="Arial" w:eastAsia="Arial" w:hAnsi="Arial"/>
                <w:sz w:val="13"/>
                <w:szCs w:val="13"/>
                <w:b w:val="1"/>
                <w:bCs w:val="1"/>
                <w:color w:val="auto"/>
                <w:w w:val="89"/>
              </w:rPr>
              <w:t>Current:</w:t>
            </w:r>
          </w:p>
        </w:tc>
        <w:tc>
          <w:tcPr>
            <w:tcW w:w="202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55"/>
        </w:trPr>
        <w:tc>
          <w:tcPr>
            <w:tcW w:w="40" w:type="dxa"/>
            <w:vAlign w:val="bottom"/>
          </w:tcPr>
          <w:p>
            <w:pPr>
              <w:spacing w:after="0"/>
              <w:rPr>
                <w:sz w:val="13"/>
                <w:szCs w:val="13"/>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2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5,462</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5,314</w:t>
            </w:r>
          </w:p>
        </w:tc>
      </w:tr>
      <w:tr>
        <w:trPr>
          <w:trHeight w:val="155"/>
        </w:trPr>
        <w:tc>
          <w:tcPr>
            <w:tcW w:w="40" w:type="dxa"/>
            <w:vAlign w:val="bottom"/>
          </w:tcPr>
          <w:p>
            <w:pPr>
              <w:spacing w:after="0"/>
              <w:rPr>
                <w:sz w:val="13"/>
                <w:szCs w:val="13"/>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1,482</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1,286</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3"/>
                <w:szCs w:val="13"/>
                <w:color w:val="auto"/>
              </w:rPr>
              <w:t>Total deferred</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6,944</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6,600</w:t>
            </w:r>
          </w:p>
        </w:tc>
      </w:tr>
      <w:tr>
        <w:trPr>
          <w:trHeight w:val="160"/>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right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right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Total tax expense</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6,944</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6,600</w:t>
            </w: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actual income tax expense for the years ended December 31, 2022 and 2021 differs from the statutory tax expense for the year (computed by applying the U.S. federal corporate tax rate of 21% for 2022 and 2021 to income before provision for income taxes) as follows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60" w:type="dxa"/>
            <w:vAlign w:val="bottom"/>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5,688</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gridSpan w:val="3"/>
          </w:tcPr>
          <w:p>
            <w:pPr>
              <w:spacing w:after="0"/>
              <w:rPr>
                <w:sz w:val="20"/>
                <w:szCs w:val="20"/>
                <w:color w:val="auto"/>
              </w:rPr>
            </w:pPr>
            <w:r>
              <w:rPr>
                <w:rFonts w:ascii="Arial" w:cs="Arial" w:eastAsia="Arial" w:hAnsi="Arial"/>
                <w:sz w:val="13"/>
                <w:szCs w:val="13"/>
                <w:color w:val="auto"/>
              </w:rPr>
              <w:t>State income taxes, net of federal tax benefit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1,177</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3"/>
          </w:tcPr>
          <w:p>
            <w:pPr>
              <w:spacing w:after="0"/>
              <w:rPr>
                <w:sz w:val="20"/>
                <w:szCs w:val="20"/>
                <w:color w:val="auto"/>
              </w:rPr>
            </w:pPr>
            <w:r>
              <w:rPr>
                <w:rFonts w:ascii="Arial" w:cs="Arial" w:eastAsia="Arial" w:hAnsi="Arial"/>
                <w:sz w:val="13"/>
                <w:szCs w:val="13"/>
                <w:color w:val="auto"/>
              </w:rPr>
              <w:t>Other, net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348</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1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60" w:type="dxa"/>
            <w:vAlign w:val="bottom"/>
            <w:vMerge w:val="continue"/>
            <w:shd w:val="clear" w:color="auto" w:fill="CCEEFF"/>
          </w:tcPr>
          <w:p>
            <w:pPr>
              <w:spacing w:after="0"/>
              <w:rPr>
                <w:sz w:val="14"/>
                <w:szCs w:val="14"/>
                <w:color w:val="auto"/>
              </w:rPr>
            </w:pP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6,944</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Deferred tax assets:</w:t>
            </w:r>
          </w:p>
        </w:tc>
        <w:tc>
          <w:tcPr>
            <w:tcW w:w="1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Net operating loss</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21,720</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28,819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Lease liability</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3,648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15,193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loan fees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Depreciable property</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Stock option compensation</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Accruals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Other, net</w:t>
            </w:r>
          </w:p>
        </w:tc>
        <w:tc>
          <w:tcPr>
            <w:tcW w:w="1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Deferred tax asset</w:t>
            </w:r>
          </w:p>
        </w:tc>
        <w:tc>
          <w:tcPr>
            <w:tcW w:w="2000" w:type="dxa"/>
            <w:vAlign w:val="bottom"/>
            <w:gridSpan w:val="3"/>
            <w:shd w:val="clear" w:color="auto" w:fill="CCEEFF"/>
          </w:tcPr>
          <w:p>
            <w:pPr>
              <w:jc w:val="right"/>
              <w:ind w:right="76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46,247</w:t>
            </w:r>
          </w:p>
        </w:tc>
        <w:tc>
          <w:tcPr>
            <w:tcW w:w="3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38,651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loan cost</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 right of use asset</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expenses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3"/>
                <w:szCs w:val="13"/>
                <w:color w:val="auto"/>
              </w:rPr>
              <w:t>Deferred tax liability</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(3,887)</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(3,722)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spacing w:after="0"/>
              <w:rPr>
                <w:sz w:val="20"/>
                <w:szCs w:val="20"/>
                <w:color w:val="auto"/>
              </w:rPr>
            </w:pPr>
            <w:r>
              <w:rPr>
                <w:rFonts w:ascii="Arial" w:cs="Arial" w:eastAsia="Arial" w:hAnsi="Arial"/>
                <w:sz w:val="13"/>
                <w:szCs w:val="13"/>
                <w:color w:val="auto"/>
              </w:rPr>
              <w:t>Net deferred tax asset</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42,360</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December 31, 2022 the Company had approximately $81.8 million of Federal and $104.5 million of State net operating loss carryforwards expiring in various amounts from 2031 to 2036. Their utilization is limited to future taxable earnings of the Company.</w:t>
      </w:r>
    </w:p>
    <w:p>
      <w:pPr>
        <w:spacing w:after="0" w:line="28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5" w:name="page96"/>
    <w:bookmarkEnd w:id="9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40"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2019.</w:t>
      </w:r>
    </w:p>
    <w:p>
      <w:pPr>
        <w:spacing w:after="0" w:line="159"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years ended December 31, 2022 and 2021, the Company did not have any unrecognized tax benefits as a result of tax positions taken during a prior period or during the current period. Additionally, no interest or penalties were recorded as a result of tax uncertainties.</w:t>
      </w:r>
    </w:p>
    <w:p>
      <w:pPr>
        <w:spacing w:after="0" w:line="134" w:lineRule="exact"/>
        <w:rPr>
          <w:sz w:val="20"/>
          <w:szCs w:val="20"/>
          <w:color w:val="auto"/>
        </w:rPr>
      </w:pPr>
    </w:p>
    <w:p>
      <w:pPr>
        <w:ind w:left="1160" w:hanging="518"/>
        <w:spacing w:after="0"/>
        <w:tabs>
          <w:tab w:leader="none" w:pos="11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deposits by type at December 31, 2022 and 2021 (in thousands):</w:t>
      </w:r>
    </w:p>
    <w:p>
      <w:pPr>
        <w:sectPr>
          <w:pgSz w:w="11900" w:h="16838" w:orient="portrait"/>
          <w:cols w:equalWidth="0" w:num="1">
            <w:col w:w="9019"/>
          </w:cols>
          <w:pgMar w:left="1440" w:top="490" w:right="1440" w:bottom="1440" w:gutter="0" w:footer="0" w:header="0"/>
        </w:sect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Non-interest bearing deposits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Interest-bearing transaction accounts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Saving and money market deposits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Time deposits</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Total deposits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629,776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605,425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55,878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4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703,856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216,977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225,220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1,829,281</w:t>
            </w:r>
          </w:p>
        </w:tc>
        <w:tc>
          <w:tcPr>
            <w:tcW w:w="40" w:type="dxa"/>
            <w:vAlign w:val="bottom"/>
            <w:gridSpan w:val="2"/>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1,590,379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620" w:space="720"/>
            <w:col w:w="2679"/>
          </w:cols>
          <w:pgMar w:left="1440" w:top="490" w:right="1440" w:bottom="1440" w:gutter="0" w:footer="0" w:header="0"/>
          <w:type w:val="continuous"/>
        </w:sectPr>
      </w:pPr>
    </w:p>
    <w:p>
      <w:pPr>
        <w:ind w:left="640" w:right="739" w:firstLine="256"/>
        <w:spacing w:after="0" w:line="252" w:lineRule="auto"/>
        <w:rPr>
          <w:sz w:val="20"/>
          <w:szCs w:val="20"/>
          <w:color w:val="auto"/>
        </w:rPr>
      </w:pPr>
      <w:r>
        <w:rPr>
          <w:rFonts w:ascii="Arial" w:cs="Arial" w:eastAsia="Arial" w:hAnsi="Arial"/>
          <w:sz w:val="14"/>
          <w:szCs w:val="14"/>
          <w:color w:val="auto"/>
        </w:rPr>
        <w:t>Time deposits exceeding the FDIC deposit insurance limit of $250 thousand at December 31, 2022 and 2021 were $82.0 million and $119.4 million, respectively.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At December 31, 2022, the scheduled maturities of time deposits were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2023</w:t>
            </w: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182,647</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2024</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11,135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2025</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2026</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20,402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2027</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616"/>
              <w:spacing w:after="0"/>
              <w:rPr>
                <w:sz w:val="20"/>
                <w:szCs w:val="20"/>
                <w:color w:val="auto"/>
              </w:rPr>
            </w:pPr>
            <w:r>
              <w:rPr>
                <w:rFonts w:ascii="Arial" w:cs="Arial" w:eastAsia="Arial" w:hAnsi="Arial"/>
                <w:sz w:val="13"/>
                <w:szCs w:val="13"/>
                <w:color w:val="auto"/>
                <w:w w:val="96"/>
              </w:rPr>
              <w:t>Thereafter</w:t>
            </w: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216,977</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At December 31, 2022 and 2021, the aggregate amount of demand deposits reclassified to loans as overdrafts was $230 thousand and $247 thousand, respectively.</w:t>
      </w:r>
    </w:p>
    <w:p>
      <w:pPr>
        <w:spacing w:after="0" w:line="135" w:lineRule="exact"/>
        <w:rPr>
          <w:sz w:val="20"/>
          <w:szCs w:val="20"/>
          <w:color w:val="auto"/>
        </w:rPr>
      </w:pPr>
    </w:p>
    <w:p>
      <w:pPr>
        <w:ind w:left="1160" w:hanging="518"/>
        <w:spacing w:after="0"/>
        <w:tabs>
          <w:tab w:leader="none" w:pos="11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2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Borrowed funds consist of fixed rate advances from the FHLB. At December 31, 2022 FHLB advances were $ 46.0 million and at December 31, 2021 were $36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type w:val="continuous"/>
        </w:sectPr>
      </w:pPr>
    </w:p>
    <w:bookmarkStart w:id="96" w:name="page97"/>
    <w:bookmarkEnd w:id="9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fixed interest rates and expected maturities of the FHLB advances at December 31, 2022 and 2021 (in thousands):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At December 31, 2022</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Interest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r>
      <w:tr>
        <w:trPr>
          <w:trHeight w:val="141"/>
        </w:trPr>
        <w:tc>
          <w:tcPr>
            <w:tcW w:w="1840" w:type="dxa"/>
            <w:vAlign w:val="bottom"/>
            <w:shd w:val="clear" w:color="auto" w:fill="CCEEFF"/>
          </w:tcPr>
          <w:p>
            <w:pPr>
              <w:jc w:val="center"/>
              <w:ind w:right="16"/>
              <w:spacing w:after="0" w:line="141" w:lineRule="exact"/>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36"/>
              <w:spacing w:after="0" w:line="141" w:lineRule="exact"/>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March 27,</w:t>
            </w:r>
          </w:p>
        </w:tc>
        <w:tc>
          <w:tcPr>
            <w:tcW w:w="3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2025</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2"/>
                <w:szCs w:val="12"/>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July 18,</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1.04%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July 30,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2024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0.81%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August 17,</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5"/>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4.17%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January 13, 2023</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7"/>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6"/>
              <w:spacing w:after="0"/>
              <w:rPr>
                <w:sz w:val="20"/>
                <w:szCs w:val="20"/>
                <w:color w:val="auto"/>
              </w:rPr>
            </w:pPr>
            <w:r>
              <w:rPr>
                <w:rFonts w:ascii="Arial" w:cs="Arial" w:eastAsia="Arial" w:hAnsi="Arial"/>
                <w:sz w:val="13"/>
                <w:szCs w:val="13"/>
                <w:color w:val="auto"/>
              </w:rPr>
              <w:t>46,000</w:t>
            </w:r>
          </w:p>
        </w:tc>
        <w:tc>
          <w:tcPr>
            <w:tcW w:w="20" w:type="dxa"/>
            <w:vAlign w:val="bottom"/>
          </w:tcPr>
          <w:p>
            <w:pPr>
              <w:spacing w:after="0"/>
              <w:rPr>
                <w:sz w:val="15"/>
                <w:szCs w:val="15"/>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At December 31, 2021</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Interest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r>
      <w:tr>
        <w:trPr>
          <w:trHeight w:val="141"/>
        </w:trPr>
        <w:tc>
          <w:tcPr>
            <w:tcW w:w="1840" w:type="dxa"/>
            <w:vAlign w:val="bottom"/>
            <w:shd w:val="clear" w:color="auto" w:fill="CCEEFF"/>
          </w:tcPr>
          <w:p>
            <w:pPr>
              <w:jc w:val="center"/>
              <w:ind w:right="16"/>
              <w:spacing w:after="0" w:line="141" w:lineRule="exact"/>
              <w:rPr>
                <w:sz w:val="20"/>
                <w:szCs w:val="20"/>
                <w:color w:val="auto"/>
              </w:rPr>
            </w:pPr>
            <w:r>
              <w:rPr>
                <w:rFonts w:ascii="Arial" w:cs="Arial" w:eastAsia="Arial" w:hAnsi="Arial"/>
                <w:sz w:val="13"/>
                <w:szCs w:val="13"/>
                <w:color w:val="auto"/>
                <w:w w:val="97"/>
              </w:rPr>
              <w:t>0.81%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36"/>
              <w:spacing w:after="0" w:line="141" w:lineRule="exact"/>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August 17,</w:t>
            </w:r>
          </w:p>
        </w:tc>
        <w:tc>
          <w:tcPr>
            <w:tcW w:w="3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2023</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2"/>
                <w:szCs w:val="12"/>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1.04%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July 30,</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2.05%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March 28,</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1.81%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April 17, 2025</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1840" w:type="dxa"/>
            <w:vAlign w:val="bottom"/>
            <w:tcBorders>
              <w:bottom w:val="single" w:sz="8" w:color="CCEEFF"/>
            </w:tcBorders>
          </w:tcPr>
          <w:p>
            <w:pPr>
              <w:jc w:val="center"/>
              <w:ind w:right="16"/>
              <w:spacing w:after="0"/>
              <w:rPr>
                <w:sz w:val="20"/>
                <w:szCs w:val="20"/>
                <w:color w:val="auto"/>
              </w:rPr>
            </w:pPr>
            <w:r>
              <w:rPr>
                <w:rFonts w:ascii="Arial" w:cs="Arial" w:eastAsia="Arial" w:hAnsi="Arial"/>
                <w:sz w:val="13"/>
                <w:szCs w:val="13"/>
                <w:color w:val="auto"/>
                <w:w w:val="97"/>
              </w:rPr>
              <w:t>1.07%</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July 18,</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8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340"/>
              <w:spacing w:after="0" w:line="131" w:lineRule="exact"/>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36,000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24" w:lineRule="exact"/>
        <w:rPr>
          <w:sz w:val="20"/>
          <w:szCs w:val="20"/>
          <w:color w:val="auto"/>
        </w:rPr>
      </w:pPr>
    </w:p>
    <w:p>
      <w:pPr>
        <w:ind w:left="1160" w:hanging="518"/>
        <w:spacing w:after="0"/>
        <w:tabs>
          <w:tab w:leader="none" w:pos="11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has an employee 401(k) plan (the “Plan”) covering substantially all eligible employees. The Plan includes a provision that the employer may contribute to the accounts of eligible employees for whom a salary deferral is made. There was $313 thousand and $296 thousand of Company contributions to the Plan during the years ended December 31, 2022 and 2021, respectively, and are included under salaries and employee benefits in the Consolidated Statements of Operations.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Stock-Based Compensation</w:t>
      </w:r>
    </w:p>
    <w:p>
      <w:pPr>
        <w:spacing w:after="0" w:line="177"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Stock option balances, weighted average exercise price, and weighted average fair value of options granted for the year ended December 31, 2021 were adjusted to reflect the 1 for 5 reverse stock split on Class A common stock. Stock options are only exercisable to Class A common stock. See Note 13 “Stockholders’ Equity” for further discussion on stock split.</w:t>
      </w:r>
    </w:p>
    <w:p>
      <w:pPr>
        <w:spacing w:after="0" w:line="156" w:lineRule="exact"/>
        <w:rPr>
          <w:sz w:val="20"/>
          <w:szCs w:val="20"/>
          <w:color w:val="auto"/>
        </w:rPr>
      </w:pPr>
    </w:p>
    <w:p>
      <w:pPr>
        <w:jc w:val="both"/>
        <w:ind w:left="640" w:right="659" w:firstLine="256"/>
        <w:spacing w:after="0" w:line="245" w:lineRule="auto"/>
        <w:rPr>
          <w:sz w:val="20"/>
          <w:szCs w:val="20"/>
          <w:color w:val="auto"/>
        </w:rPr>
      </w:pPr>
      <w:r>
        <w:rPr>
          <w:rFonts w:ascii="Arial" w:cs="Arial" w:eastAsia="Arial" w:hAnsi="Arial"/>
          <w:sz w:val="14"/>
          <w:szCs w:val="14"/>
          <w:color w:val="auto"/>
        </w:rPr>
        <w:t>In 2015, the Company's shareholders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in no event shall an option be exercisable after the expiration of 10 years from the grant date. The 2015 Option Plan has a 10-year life and will terminate in 2025. In July 2020, the shareholders of the Company approved to amend the 2015 Option plan authorizing the issuance of an additional 3,000,000 shares of common stock and extending the life of the plan 5 additional years, terminating in 2030. The approved shares after being adjusted to reflect the 1 for 5 reverse stock split totaled 1,000,000 shares. In December 2021, the shareholders of the Company approved to amend the 2015 Option plan authorizing the issuance of an additional 1,400,000 shares of common stock.</w:t>
      </w:r>
    </w:p>
    <w:p>
      <w:pPr>
        <w:spacing w:after="0" w:line="16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At December 31, 2022, there were 1,386,667 shares available for grant under the 2015 Option Plan. At December 31, 2021, there were 1,401,667 shares available for grant under the 2015 Option Plan.</w:t>
      </w: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7" w:name="page98"/>
    <w:bookmarkEnd w:id="9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 based compensation expense is based on awards that the Company expects will ultimately vest, reduced by estimated forfeitures. Estimated forfeitures consider the voluntary termination trends as well as actual option forfeitures.</w:t>
      </w:r>
    </w:p>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$523 thousand was recognized for the year ended December 31, 2022 and $287 thousand for the year ended December 31, 2021. There was no related tax benefit for the years ended December 31, 2022 and 2021.</w:t>
      </w:r>
    </w:p>
    <w:p>
      <w:pPr>
        <w:spacing w:after="0" w:line="156"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Unrecognized compensation cost remaining on stock-based compensation totaled $ 787 thousand and $1.3 million for the years ended December 31, 2022 and 2021, respectively .</w:t>
      </w:r>
    </w:p>
    <w:p>
      <w:pPr>
        <w:spacing w:after="0" w:line="153" w:lineRule="exact"/>
        <w:rPr>
          <w:sz w:val="20"/>
          <w:szCs w:val="20"/>
          <w:color w:val="auto"/>
        </w:rPr>
      </w:pPr>
    </w:p>
    <w:p>
      <w:pPr>
        <w:jc w:val="both"/>
        <w:ind w:left="640" w:right="639" w:firstLine="256"/>
        <w:spacing w:after="0" w:line="245"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5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fair value of options granted was determined using the following weighted-average assumptions at December 31, 2022:</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5"/>
        </w:trPr>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8"/>
              </w:rPr>
              <w:t>Assumption</w:t>
            </w:r>
          </w:p>
        </w:tc>
        <w:tc>
          <w:tcPr>
            <w:tcW w:w="3820" w:type="dxa"/>
            <w:vAlign w:val="bottom"/>
            <w:gridSpan w:val="4"/>
          </w:tcPr>
          <w:p>
            <w:pPr>
              <w:jc w:val="center"/>
              <w:spacing w:after="0"/>
              <w:rPr>
                <w:sz w:val="20"/>
                <w:szCs w:val="20"/>
                <w:color w:val="auto"/>
              </w:rPr>
            </w:pPr>
            <w:r>
              <w:rPr>
                <w:rFonts w:ascii="Arial" w:cs="Arial" w:eastAsia="Arial" w:hAnsi="Arial"/>
                <w:sz w:val="13"/>
                <w:szCs w:val="13"/>
                <w:b w:val="1"/>
                <w:bCs w:val="1"/>
                <w:color w:val="auto"/>
              </w:rPr>
              <w:t>2022</w:t>
            </w:r>
          </w:p>
        </w:tc>
      </w:tr>
      <w:tr>
        <w:trPr>
          <w:trHeight w:val="160"/>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Risk-free interest rate</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2.34%</w:t>
            </w:r>
          </w:p>
        </w:tc>
      </w:tr>
      <w:tr>
        <w:trPr>
          <w:trHeight w:val="168"/>
        </w:trPr>
        <w:tc>
          <w:tcPr>
            <w:tcW w:w="3720" w:type="dxa"/>
            <w:vAlign w:val="bottom"/>
          </w:tcPr>
          <w:p>
            <w:pPr>
              <w:jc w:val="center"/>
              <w:spacing w:after="0"/>
              <w:rPr>
                <w:sz w:val="20"/>
                <w:szCs w:val="20"/>
                <w:color w:val="auto"/>
              </w:rPr>
            </w:pPr>
            <w:r>
              <w:rPr>
                <w:rFonts w:ascii="Arial" w:cs="Arial" w:eastAsia="Arial" w:hAnsi="Arial"/>
                <w:sz w:val="13"/>
                <w:szCs w:val="13"/>
                <w:color w:val="auto"/>
                <w:w w:val="97"/>
              </w:rPr>
              <w:t>Expected term</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40" w:type="dxa"/>
            <w:vAlign w:val="bottom"/>
          </w:tcPr>
          <w:p>
            <w:pPr>
              <w:ind w:left="1580"/>
              <w:spacing w:after="0"/>
              <w:rPr>
                <w:sz w:val="20"/>
                <w:szCs w:val="20"/>
                <w:color w:val="auto"/>
              </w:rPr>
            </w:pPr>
            <w:r>
              <w:rPr>
                <w:rFonts w:ascii="Arial" w:cs="Arial" w:eastAsia="Arial" w:hAnsi="Arial"/>
                <w:sz w:val="13"/>
                <w:szCs w:val="13"/>
                <w:color w:val="auto"/>
              </w:rPr>
              <w:t>10 years</w:t>
            </w:r>
          </w:p>
        </w:tc>
      </w:tr>
      <w:tr>
        <w:trPr>
          <w:trHeight w:val="153"/>
        </w:trPr>
        <w:tc>
          <w:tcPr>
            <w:tcW w:w="3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Expected stock price volatility</w:t>
            </w:r>
          </w:p>
        </w:tc>
        <w:tc>
          <w:tcPr>
            <w:tcW w:w="80" w:type="dxa"/>
            <w:vAlign w:val="bottom"/>
            <w:tcBorders>
              <w:bottom w:val="single" w:sz="8" w:color="CCEEFF"/>
            </w:tcBorders>
            <w:gridSpan w:val="3"/>
            <w:shd w:val="clear" w:color="auto" w:fill="CCEEFF"/>
          </w:tcPr>
          <w:p>
            <w:pPr>
              <w:spacing w:after="0"/>
              <w:rPr>
                <w:sz w:val="13"/>
                <w:szCs w:val="13"/>
                <w:color w:val="auto"/>
              </w:rPr>
            </w:pPr>
          </w:p>
        </w:tc>
        <w:tc>
          <w:tcPr>
            <w:tcW w:w="37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9"/>
              </w:rPr>
              <w:t>10%</w:t>
            </w:r>
          </w:p>
        </w:tc>
      </w:tr>
      <w:tr>
        <w:trPr>
          <w:trHeight w:val="166"/>
        </w:trPr>
        <w:tc>
          <w:tcPr>
            <w:tcW w:w="3720" w:type="dxa"/>
            <w:vAlign w:val="bottom"/>
          </w:tcPr>
          <w:p>
            <w:pPr>
              <w:jc w:val="center"/>
              <w:spacing w:after="0"/>
              <w:rPr>
                <w:sz w:val="20"/>
                <w:szCs w:val="20"/>
                <w:color w:val="auto"/>
              </w:rPr>
            </w:pPr>
            <w:r>
              <w:rPr>
                <w:rFonts w:ascii="Arial" w:cs="Arial" w:eastAsia="Arial" w:hAnsi="Arial"/>
                <w:sz w:val="13"/>
                <w:szCs w:val="13"/>
                <w:color w:val="auto"/>
                <w:w w:val="96"/>
              </w:rPr>
              <w:t>Dividend yield</w:t>
            </w:r>
          </w:p>
        </w:tc>
        <w:tc>
          <w:tcPr>
            <w:tcW w:w="3820" w:type="dxa"/>
            <w:vAlign w:val="bottom"/>
            <w:gridSpan w:val="4"/>
          </w:tcPr>
          <w:p>
            <w:pPr>
              <w:jc w:val="center"/>
              <w:spacing w:after="0"/>
              <w:rPr>
                <w:sz w:val="20"/>
                <w:szCs w:val="20"/>
                <w:color w:val="auto"/>
              </w:rPr>
            </w:pPr>
            <w:r>
              <w:rPr>
                <w:rFonts w:ascii="Arial" w:cs="Arial" w:eastAsia="Arial" w:hAnsi="Arial"/>
                <w:sz w:val="13"/>
                <w:szCs w:val="13"/>
                <w:color w:val="auto"/>
                <w:w w:val="95"/>
              </w:rPr>
              <w:t>0%</w:t>
            </w:r>
          </w:p>
        </w:tc>
      </w:tr>
    </w:tbl>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2022 and 2021:</w:t>
      </w: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Weighted Average</w:t>
            </w:r>
          </w:p>
        </w:tc>
        <w:tc>
          <w:tcPr>
            <w:tcW w:w="40" w:type="dxa"/>
            <w:vAlign w:val="bottom"/>
          </w:tcPr>
          <w:p>
            <w:pPr>
              <w:spacing w:after="0"/>
              <w:rPr>
                <w:sz w:val="13"/>
                <w:szCs w:val="13"/>
                <w:color w:val="auto"/>
              </w:rPr>
            </w:pPr>
          </w:p>
        </w:tc>
        <w:tc>
          <w:tcPr>
            <w:tcW w:w="1260" w:type="dxa"/>
            <w:vAlign w:val="bottom"/>
            <w:gridSpan w:val="5"/>
          </w:tcPr>
          <w:p>
            <w:pPr>
              <w:ind w:left="20"/>
              <w:spacing w:after="0"/>
              <w:rPr>
                <w:sz w:val="20"/>
                <w:szCs w:val="20"/>
                <w:color w:val="auto"/>
              </w:rPr>
            </w:pPr>
            <w:r>
              <w:rPr>
                <w:rFonts w:ascii="Arial" w:cs="Arial" w:eastAsia="Arial" w:hAnsi="Arial"/>
                <w:sz w:val="13"/>
                <w:szCs w:val="13"/>
                <w:b w:val="1"/>
                <w:bCs w:val="1"/>
                <w:color w:val="auto"/>
              </w:rPr>
              <w:t>Aggregate Intrinsic</w:t>
            </w: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Weighted 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right"/>
              <w:ind w:right="196"/>
              <w:spacing w:after="0"/>
              <w:rPr>
                <w:sz w:val="20"/>
                <w:szCs w:val="20"/>
                <w:color w:val="auto"/>
              </w:rPr>
            </w:pPr>
            <w:r>
              <w:rPr>
                <w:rFonts w:ascii="Arial" w:cs="Arial" w:eastAsia="Arial" w:hAnsi="Arial"/>
                <w:sz w:val="13"/>
                <w:szCs w:val="13"/>
                <w:b w:val="1"/>
                <w:bCs w:val="1"/>
                <w:color w:val="auto"/>
              </w:rPr>
              <w:t>Remaining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Value (in</w:t>
            </w:r>
          </w:p>
        </w:tc>
      </w:tr>
      <w:tr>
        <w:trPr>
          <w:trHeight w:val="173"/>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Stock Options</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8"/>
              </w:rPr>
              <w:t>Exercise Price</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Contractual Years</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thousands)</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color w:val="auto"/>
              </w:rPr>
              <w:t>Balance at January 1, 2022</w:t>
            </w:r>
          </w:p>
        </w:tc>
        <w:tc>
          <w:tcPr>
            <w:tcW w:w="1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959,667</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Granted</w:t>
            </w:r>
          </w:p>
        </w:tc>
        <w:tc>
          <w:tcPr>
            <w:tcW w:w="1120" w:type="dxa"/>
            <w:vAlign w:val="bottom"/>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14.03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Exercised</w:t>
            </w:r>
          </w:p>
        </w:tc>
        <w:tc>
          <w:tcPr>
            <w:tcW w:w="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December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965,667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10.91</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2800" w:type="dxa"/>
            <w:vAlign w:val="bottom"/>
            <w:tcBorders>
              <w:top w:val="single" w:sz="8" w:color="CCEEFF"/>
            </w:tcBorders>
            <w:gridSpan w:val="2"/>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gridSpan w:val="5"/>
            <w:shd w:val="clear" w:color="auto" w:fill="CCEEFF"/>
          </w:tcPr>
          <w:p>
            <w:pPr>
              <w:spacing w:after="0"/>
              <w:rPr>
                <w:sz w:val="10"/>
                <w:szCs w:val="10"/>
                <w:color w:val="auto"/>
              </w:rPr>
            </w:pPr>
          </w:p>
        </w:tc>
        <w:tc>
          <w:tcPr>
            <w:tcW w:w="220" w:type="dxa"/>
            <w:vAlign w:val="bottom"/>
            <w:tcBorders>
              <w:top w:val="single" w:sz="8" w:color="CCEEFF"/>
            </w:tcBorders>
            <w:gridSpan w:val="4"/>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Exercisable at December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560,000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10.18</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6.4</w:t>
            </w:r>
          </w:p>
        </w:tc>
        <w:tc>
          <w:tcPr>
            <w:tcW w:w="220" w:type="dxa"/>
            <w:vAlign w:val="bottom"/>
            <w:gridSpan w:val="4"/>
          </w:tcPr>
          <w:p>
            <w:pPr>
              <w:ind w:left="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1,131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January 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339,667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9.37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7.1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Granted</w:t>
            </w:r>
          </w:p>
        </w:tc>
        <w:tc>
          <w:tcPr>
            <w:tcW w:w="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620,000</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December 31,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959,667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10.87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2800" w:type="dxa"/>
            <w:vAlign w:val="bottom"/>
            <w:tcBorders>
              <w:top w:val="single" w:sz="8" w:color="CCEEFF"/>
            </w:tcBorders>
            <w:gridSpan w:val="2"/>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gridSpan w:val="5"/>
            <w:shd w:val="clear" w:color="auto" w:fill="CCEEFF"/>
          </w:tcPr>
          <w:p>
            <w:pPr>
              <w:spacing w:after="0"/>
              <w:rPr>
                <w:sz w:val="10"/>
                <w:szCs w:val="10"/>
                <w:color w:val="auto"/>
              </w:rPr>
            </w:pPr>
          </w:p>
        </w:tc>
        <w:tc>
          <w:tcPr>
            <w:tcW w:w="220" w:type="dxa"/>
            <w:vAlign w:val="bottom"/>
            <w:tcBorders>
              <w:top w:val="single" w:sz="8" w:color="CCEEFF"/>
            </w:tcBorders>
            <w:gridSpan w:val="4"/>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7"/>
        </w:trPr>
        <w:tc>
          <w:tcPr>
            <w:tcW w:w="2840" w:type="dxa"/>
            <w:vAlign w:val="bottom"/>
            <w:gridSpan w:val="3"/>
          </w:tcPr>
          <w:p>
            <w:pPr>
              <w:spacing w:after="0"/>
              <w:rPr>
                <w:sz w:val="20"/>
                <w:szCs w:val="20"/>
                <w:color w:val="auto"/>
              </w:rPr>
            </w:pPr>
            <w:r>
              <w:rPr>
                <w:rFonts w:ascii="Arial" w:cs="Arial" w:eastAsia="Arial" w:hAnsi="Arial"/>
                <w:sz w:val="13"/>
                <w:szCs w:val="13"/>
                <w:color w:val="auto"/>
              </w:rPr>
              <w:t>Exercisable at December 31,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319,667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9.07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6.0</w:t>
            </w:r>
          </w:p>
        </w:tc>
        <w:tc>
          <w:tcPr>
            <w:tcW w:w="220" w:type="dxa"/>
            <w:vAlign w:val="bottom"/>
            <w:gridSpan w:val="4"/>
          </w:tcPr>
          <w:p>
            <w:pPr>
              <w:ind w:lef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663</w:t>
            </w:r>
          </w:p>
        </w:tc>
        <w:tc>
          <w:tcPr>
            <w:tcW w:w="20" w:type="dxa"/>
            <w:vAlign w:val="bottom"/>
          </w:tcPr>
          <w:p>
            <w:pPr>
              <w:spacing w:after="0"/>
              <w:rPr>
                <w:sz w:val="15"/>
                <w:szCs w:val="15"/>
                <w:color w:val="auto"/>
              </w:rPr>
            </w:pPr>
          </w:p>
        </w:tc>
      </w:tr>
    </w:tbl>
    <w:p>
      <w:pPr>
        <w:spacing w:after="0" w:line="325"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aggregate intrinsic value in the table above represents the total pre-tax intrinsic value (the difference between the valuation of the Company’s stock and the exercise price, multiplied by the number of options considered in-the-money) that would have been received by the option holders had all option holders exercised their options.</w:t>
      </w:r>
    </w:p>
    <w:p>
      <w:pPr>
        <w:spacing w:after="0" w:line="142"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The weighted average fair value of options granted for the years ended December 31, 2022 and 2021 was $ 3.45 and $2.32, respectively.</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restricted stock awards outstanding as of December 31, 2021 or 2022.</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are no equity compensation plans of the Company that have not been approved by the shareholders.</w:t>
      </w: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8" w:name="page99"/>
    <w:bookmarkEnd w:id="9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20"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4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2022 and 2021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7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95,461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3"/>
                <w:szCs w:val="13"/>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4,320</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7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99,781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141,297</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142"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138" w:lineRule="exact"/>
        <w:rPr>
          <w:sz w:val="20"/>
          <w:szCs w:val="20"/>
          <w:color w:val="auto"/>
        </w:rPr>
      </w:pPr>
    </w:p>
    <w:p>
      <w:pPr>
        <w:ind w:left="1040" w:hanging="398"/>
        <w:spacing w:after="0"/>
        <w:tabs>
          <w:tab w:leader="none" w:pos="104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2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56"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enters into interest rate swaps with its loan customers. The Company had 15 and 18 interest rate swaps with loan customers with a notional amount of $33.9 million and $39.2 million at December 31, 2022 and 2021, respectively. These interest rate swaps have a maturity date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it does not qualify as hedges for accounting purposes.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Company’s customer related interest rate swaps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4"/>
                <w:szCs w:val="14"/>
                <w:color w:val="auto"/>
              </w:rPr>
            </w:pPr>
          </w:p>
        </w:tc>
        <w:tc>
          <w:tcPr>
            <w:tcW w:w="7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Asset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Liability</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shd w:val="clear" w:color="auto" w:fill="CCEEFF"/>
          </w:tcPr>
          <w:p>
            <w:pPr>
              <w:jc w:val="right"/>
              <w:ind w:right="1796"/>
              <w:spacing w:after="0"/>
              <w:rPr>
                <w:sz w:val="20"/>
                <w:szCs w:val="20"/>
                <w:color w:val="auto"/>
              </w:rPr>
            </w:pPr>
            <w:r>
              <w:rPr>
                <w:rFonts w:ascii="Arial" w:cs="Arial" w:eastAsia="Arial" w:hAnsi="Arial"/>
                <w:sz w:val="13"/>
                <w:szCs w:val="13"/>
                <w:b w:val="1"/>
                <w:bCs w:val="1"/>
                <w:color w:val="auto"/>
                <w:w w:val="93"/>
              </w:rPr>
              <w:t>December 31, 2022: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1,278</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tcPr>
          <w:p>
            <w:pPr>
              <w:jc w:val="right"/>
              <w:ind w:right="1796"/>
              <w:spacing w:after="0"/>
              <w:rPr>
                <w:sz w:val="20"/>
                <w:szCs w:val="20"/>
                <w:color w:val="auto"/>
              </w:rPr>
            </w:pPr>
            <w:r>
              <w:rPr>
                <w:rFonts w:ascii="Arial" w:cs="Arial" w:eastAsia="Arial" w:hAnsi="Arial"/>
                <w:sz w:val="13"/>
                <w:szCs w:val="13"/>
                <w:b w:val="1"/>
                <w:bCs w:val="1"/>
                <w:color w:val="auto"/>
                <w:w w:val="93"/>
              </w:rPr>
              <w:t>December 31, 2021: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02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39,156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2"/>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1,434</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99" w:name="page100"/>
    <w:bookmarkEnd w:id="9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58" w:lineRule="exact"/>
        <w:rPr>
          <w:sz w:val="20"/>
          <w:szCs w:val="20"/>
          <w:color w:val="auto"/>
        </w:rPr>
      </w:pPr>
    </w:p>
    <w:p>
      <w:pPr>
        <w:jc w:val="both"/>
        <w:ind w:left="640" w:right="679" w:firstLine="256"/>
        <w:spacing w:after="0" w:line="246"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88"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24"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2" w:lineRule="exact"/>
        <w:rPr>
          <w:sz w:val="20"/>
          <w:szCs w:val="20"/>
          <w:color w:val="auto"/>
        </w:rPr>
      </w:pPr>
    </w:p>
    <w:p>
      <w:pPr>
        <w:jc w:val="both"/>
        <w:ind w:left="1160" w:right="71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9"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 -dealers.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3" w:lineRule="exact"/>
        <w:rPr>
          <w:sz w:val="20"/>
          <w:szCs w:val="20"/>
          <w:color w:val="auto"/>
        </w:rPr>
      </w:pPr>
    </w:p>
    <w:p>
      <w:pPr>
        <w:ind w:left="640" w:right="719" w:firstLine="256"/>
        <w:spacing w:after="0" w:line="295"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0" w:name="page101"/>
    <w:bookmarkEnd w:id="10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recurring basis at December 31, 2022 and 2021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32"/>
              <w:spacing w:after="0"/>
              <w:rPr>
                <w:sz w:val="20"/>
                <w:szCs w:val="20"/>
                <w:color w:val="auto"/>
              </w:rPr>
            </w:pPr>
            <w:r>
              <w:rPr>
                <w:rFonts w:ascii="Arial" w:cs="Arial" w:eastAsia="Arial" w:hAnsi="Arial"/>
                <w:sz w:val="13"/>
                <w:szCs w:val="13"/>
                <w:b w:val="1"/>
                <w:bCs w:val="1"/>
                <w:color w:val="auto"/>
                <w:w w:val="90"/>
              </w:rPr>
              <w:t>Level 1</w:t>
            </w: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Level 3</w:t>
            </w: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U.S. Government Agency</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8,655</w:t>
            </w:r>
          </w:p>
        </w:tc>
        <w:tc>
          <w:tcPr>
            <w:tcW w:w="280" w:type="dxa"/>
            <w:vAlign w:val="bottom"/>
            <w:gridSpan w:val="2"/>
          </w:tcPr>
          <w:p>
            <w:pPr>
              <w:jc w:val="right"/>
              <w:ind w:right="161"/>
              <w:spacing w:after="0"/>
              <w:rPr>
                <w:sz w:val="20"/>
                <w:szCs w:val="20"/>
                <w:color w:val="auto"/>
              </w:rPr>
            </w:pPr>
            <w:r>
              <w:rPr>
                <w:rFonts w:ascii="Arial" w:cs="Arial" w:eastAsia="Arial" w:hAnsi="Arial"/>
                <w:sz w:val="13"/>
                <w:szCs w:val="13"/>
                <w:color w:val="auto"/>
                <w:w w:val="82"/>
              </w:rPr>
              <w:t>$</w:t>
            </w: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8,655</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10,520</w:t>
            </w:r>
          </w:p>
        </w:tc>
        <w:tc>
          <w:tcPr>
            <w:tcW w:w="280" w:type="dxa"/>
            <w:vAlign w:val="bottom"/>
            <w:gridSpan w:val="2"/>
          </w:tcPr>
          <w:p>
            <w:pPr>
              <w:jc w:val="right"/>
              <w:ind w:right="155"/>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10,520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156,829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118,842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118,842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Mortgage-backed securities - Commercial</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50,117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24,276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24,276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28,408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3,709</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3,709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12,550</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401,542</w:t>
            </w:r>
          </w:p>
        </w:tc>
        <w:tc>
          <w:tcPr>
            <w:tcW w:w="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401,542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5,011</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1,434</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61"/>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235,151</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402,976</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402,976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Derivative liabilities</w:t>
            </w:r>
          </w:p>
        </w:tc>
        <w:tc>
          <w:tcPr>
            <w:tcW w:w="300" w:type="dxa"/>
            <w:vAlign w:val="bottom"/>
            <w:gridSpan w:val="2"/>
          </w:tcPr>
          <w:p>
            <w:pPr>
              <w:jc w:val="right"/>
              <w:ind w:right="116"/>
              <w:spacing w:after="0" w:line="121"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5,011</w:t>
            </w:r>
          </w:p>
        </w:tc>
        <w:tc>
          <w:tcPr>
            <w:tcW w:w="280" w:type="dxa"/>
            <w:vAlign w:val="bottom"/>
            <w:gridSpan w:val="2"/>
          </w:tcPr>
          <w:p>
            <w:pPr>
              <w:jc w:val="right"/>
              <w:ind w:right="161"/>
              <w:spacing w:after="0" w:line="121" w:lineRule="exact"/>
              <w:rPr>
                <w:sz w:val="20"/>
                <w:szCs w:val="20"/>
                <w:color w:val="auto"/>
              </w:rPr>
            </w:pPr>
            <w:r>
              <w:rPr>
                <w:rFonts w:ascii="Arial" w:cs="Arial" w:eastAsia="Arial" w:hAnsi="Arial"/>
                <w:sz w:val="13"/>
                <w:szCs w:val="13"/>
                <w:color w:val="auto"/>
                <w:w w:val="82"/>
              </w:rPr>
              <w:t>$</w:t>
            </w:r>
          </w:p>
        </w:tc>
        <w:tc>
          <w:tcPr>
            <w:tcW w:w="4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5,011</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80" w:type="dxa"/>
            <w:vAlign w:val="bottom"/>
            <w:gridSpan w:val="2"/>
          </w:tcPr>
          <w:p>
            <w:pPr>
              <w:jc w:val="right"/>
              <w:ind w:right="155"/>
              <w:spacing w:after="0" w:line="121"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4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vMerge w:val="continue"/>
          </w:tcPr>
          <w:p>
            <w:pPr>
              <w:spacing w:after="0"/>
              <w:rPr>
                <w:sz w:val="14"/>
                <w:szCs w:val="14"/>
                <w:color w:val="auto"/>
              </w:rPr>
            </w:pPr>
          </w:p>
        </w:tc>
        <w:tc>
          <w:tcPr>
            <w:tcW w:w="2460" w:type="dxa"/>
            <w:vAlign w:val="bottom"/>
            <w:vMerge w:val="continue"/>
            <w:shd w:val="clear" w:color="auto" w:fill="CCEEFF"/>
          </w:tcPr>
          <w:p>
            <w:pPr>
              <w:spacing w:after="0"/>
              <w:rPr>
                <w:sz w:val="14"/>
                <w:szCs w:val="14"/>
                <w:color w:val="auto"/>
              </w:rPr>
            </w:pP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5,011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61"/>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5,011</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8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Impaired Loans: </w:t>
      </w:r>
      <w:r>
        <w:rPr>
          <w:rFonts w:ascii="Arial" w:cs="Arial" w:eastAsia="Arial" w:hAnsi="Arial"/>
          <w:sz w:val="14"/>
          <w:szCs w:val="14"/>
          <w:color w:val="auto"/>
        </w:rPr>
        <w:t>At December 31, 2022 and 2021, in accordance with provisions of the loan impairment guidance,</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loans with a carrying amount of approximately $3.9 million and $4.4 million, respectively, were written down to their fair value of approximately $3.6 million and $4.0 million, respectively, resulting in an impairment charge of $294 thousand and $360 thousand, respectively, which was included in the allowance for credit losses at December 31, 2022 and 2021, respectively. Loans applicable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are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156"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December 31, 2022 and 2021 for each of the fair value hierarchy levels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2022:</w:t>
            </w:r>
          </w:p>
        </w:tc>
        <w:tc>
          <w:tcPr>
            <w:tcW w:w="1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3,639</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3,639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2"/>
          </w:tcPr>
          <w:p>
            <w:pPr>
              <w:ind w:left="920"/>
              <w:spacing w:after="0"/>
              <w:rPr>
                <w:sz w:val="20"/>
                <w:szCs w:val="20"/>
                <w:color w:val="auto"/>
              </w:rPr>
            </w:pPr>
            <w:r>
              <w:rPr>
                <w:rFonts w:ascii="Arial" w:cs="Arial" w:eastAsia="Arial" w:hAnsi="Arial"/>
                <w:sz w:val="13"/>
                <w:szCs w:val="13"/>
                <w:b w:val="1"/>
                <w:bCs w:val="1"/>
                <w:color w:val="auto"/>
              </w:rPr>
              <w:t>Unobservable Input(s)</w:t>
            </w:r>
          </w:p>
        </w:tc>
      </w:tr>
      <w:tr>
        <w:trPr>
          <w:trHeight w:val="141"/>
        </w:trPr>
        <w:tc>
          <w:tcPr>
            <w:tcW w:w="40" w:type="dxa"/>
            <w:vAlign w:val="bottom"/>
          </w:tcPr>
          <w:p>
            <w:pPr>
              <w:spacing w:after="0"/>
              <w:rPr>
                <w:sz w:val="12"/>
                <w:szCs w:val="12"/>
                <w:color w:val="auto"/>
              </w:rPr>
            </w:pPr>
          </w:p>
        </w:tc>
        <w:tc>
          <w:tcPr>
            <w:tcW w:w="1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158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3,500</w:t>
            </w:r>
          </w:p>
        </w:tc>
        <w:tc>
          <w:tcPr>
            <w:tcW w:w="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4"/>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80"/>
        </w:trPr>
        <w:tc>
          <w:tcPr>
            <w:tcW w:w="158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5"/>
                <w:szCs w:val="15"/>
                <w:color w:val="auto"/>
              </w:rPr>
            </w:pPr>
          </w:p>
        </w:tc>
        <w:tc>
          <w:tcPr>
            <w:tcW w:w="18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52"/>
        </w:trPr>
        <w:tc>
          <w:tcPr>
            <w:tcW w:w="40" w:type="dxa"/>
            <w:vAlign w:val="bottom"/>
          </w:tcPr>
          <w:p>
            <w:pPr>
              <w:spacing w:after="0"/>
              <w:rPr>
                <w:sz w:val="13"/>
                <w:szCs w:val="13"/>
                <w:color w:val="auto"/>
              </w:rPr>
            </w:pPr>
          </w:p>
        </w:tc>
        <w:tc>
          <w:tcPr>
            <w:tcW w:w="154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impaired loans</w:t>
            </w:r>
          </w:p>
        </w:tc>
        <w:tc>
          <w:tcPr>
            <w:tcW w:w="2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3,639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58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3,807</w:t>
            </w:r>
          </w:p>
        </w:tc>
        <w:tc>
          <w:tcPr>
            <w:tcW w:w="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4"/>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80"/>
        </w:trPr>
        <w:tc>
          <w:tcPr>
            <w:tcW w:w="158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5"/>
                <w:szCs w:val="15"/>
                <w:color w:val="auto"/>
              </w:rPr>
            </w:pPr>
          </w:p>
        </w:tc>
        <w:tc>
          <w:tcPr>
            <w:tcW w:w="18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52"/>
        </w:trPr>
        <w:tc>
          <w:tcPr>
            <w:tcW w:w="40" w:type="dxa"/>
            <w:vAlign w:val="bottom"/>
          </w:tcPr>
          <w:p>
            <w:pPr>
              <w:spacing w:after="0"/>
              <w:rPr>
                <w:sz w:val="13"/>
                <w:szCs w:val="13"/>
                <w:color w:val="auto"/>
              </w:rPr>
            </w:pPr>
          </w:p>
        </w:tc>
        <w:tc>
          <w:tcPr>
            <w:tcW w:w="154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impaired loans</w:t>
            </w:r>
          </w:p>
        </w:tc>
        <w:tc>
          <w:tcPr>
            <w:tcW w:w="2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3,990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financial liabilities measured at fair value on a non-recurring basis at December 31, 2022 and 2021.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77"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carrying amounts and estimated fair values of financial instruments not carried at fair value, at December 31, 2022 and 2021 are as follows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188,699</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169,088</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169,088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1,489,851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1,436,877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1,436,877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7,546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1,183</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6,363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7,546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216,977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211,406</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211,406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46,000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44,547</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44,547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229</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Investment securities held to maturity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122,658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1,175,024</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1,222</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4,753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Demand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225,220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FHLB advances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36,000</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2" w:name="page103"/>
    <w:bookmarkEnd w:id="10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8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On June 16, 2021, the Bank effected a 1 for 5 reverse stock split of all the Class A common stock $1.00 par value per share. As of the effective date of June 16, 2021, each five shares of the Company’s Class A common stock was combined into one fully paid share of Class A common stock. Any fractional shares resulting from this reverse stock split were rounded up to one whole share. The Bank has adjusted the Class A common stock, earnings per share and stock options adjusted for this 1 for 5 reverse stock split for all periods presented here. The Class B non-voting common stock was not adjusted but if sold or exchanged would be converted at the 1 for 5 reverse stock split of 5 Class B common stock for 1 share of Class A common stock.</w:t>
      </w:r>
    </w:p>
    <w:p>
      <w:pPr>
        <w:spacing w:after="0" w:line="147"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July 27, 2021, the Bank completed the Initial Public Offering (“IPO”) of its Class A common stock, in which it issued and sold 4,600,000 shares of Class A common stock at a price of $10.00 per share. The Company received total net proceeds of $40.0 million after deducting underwriting discounts and expenses.</w:t>
      </w:r>
    </w:p>
    <w:p>
      <w:pPr>
        <w:spacing w:after="0" w:line="152"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On December 21, 2021, the Company entered into agreements with the Class B shareholders to exchange all outstanding Class B non-voting common stock for Class A voting common stock at a ratio of 5 to 1. On the same day, a total of 6,121,052 shares of Class B common stock was exchanged for 1,224,212 shares of Class A common stock.</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In December 2021, the Company acquired all the issued and outstanding shares of the Class A voting common stock of the Bank, which were the only issued and outstanding shares of the Bank’s capital stock, in a share exchange (the “Reorganization”) effected under the Florida Business Corporation Act. Each of the outstanding shares of the Bank’s common stock, par value $ 1.00 per share, formerly held by its shareholders was converted into and exchanged for one newly issued share of the Company’s common stock, par value $ 1.00 per share, and the Bank became the Company’s wholly-owned subsidiary. Prior to completing the bank holding company formation, the Company had no material assets and had not conducted any business or operations except for activities related to our organization and the Reorganization.</w:t>
      </w:r>
    </w:p>
    <w:p>
      <w:pPr>
        <w:spacing w:after="0" w:line="157"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current shareholders own the same percentages of its common stock as they previously owned of the Bank’s common stock.</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188"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April 5, 2021, the Board authorized and approved the offer to repurchase all outstanding shares of Class E preferred stock at the liquidation value of $7.5 million along with declared dividends of $103 thousand. All Class E preferred stock shareholders approved the repurchase which the Company completed on April 26, 2021.</w:t>
      </w:r>
    </w:p>
    <w:p>
      <w:pPr>
        <w:spacing w:after="0" w:line="142"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The Company offered the Class C and Class D preferred stockholders the ability to exchange their shares for Class A common stock. The offer to exchange was voluntary and the preferred stockholders were given the option to convert 90% of their preferred shares for Class A common stock with the remaining 10% to be redeemed in the form of cash. The exchange ratio for the shares of Class A common stock issued in the exchange transaction was based upon the IPO price for shares of Class A common stock.</w:t>
      </w:r>
    </w:p>
    <w:p>
      <w:pPr>
        <w:spacing w:after="0" w:line="14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During the year ended 2021, 47,473 shares of Class C preferred stock and 11,061,552 shares of Class D preferred stock converted into 10,278,072 shares of Class A common stock. The exchange of the Class C and Class D preferred shares had a total liquidation value of $102.8 million. The remaining unconverted shares of Class C preferred stock and Class D preferred stock totaling 1,234,354 shares were subsequently redeemed at liquidation value for $11.4 million.</w:t>
      </w:r>
    </w:p>
    <w:p>
      <w:pPr>
        <w:spacing w:after="0" w:line="15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fair value of consideration on the exchange and redemption of the Class C and Class D preferred shares exceeded the book value causing a one-time reduction in net income available to common stockholders of $ 89.6 million. As of December 31, 2022, there were no preferred shares and no outstanding dividends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3" w:name="page104"/>
    <w:bookmarkEnd w:id="10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Board approved the following dividend amounts on the preferred shares for the years ended December 31,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40" w:type="dxa"/>
            <w:vAlign w:val="bottom"/>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120" w:type="dxa"/>
            <w:vAlign w:val="bottom"/>
            <w:tcBorders>
              <w:top w:val="single" w:sz="8" w:color="CCEEFF"/>
            </w:tcBorders>
          </w:tcPr>
          <w:p>
            <w:pPr>
              <w:spacing w:after="0"/>
              <w:rPr>
                <w:sz w:val="20"/>
                <w:szCs w:val="20"/>
                <w:color w:val="auto"/>
              </w:rPr>
            </w:pPr>
            <w:r>
              <w:rPr>
                <w:rFonts w:ascii="Arial" w:cs="Arial" w:eastAsia="Arial" w:hAnsi="Arial"/>
                <w:sz w:val="13"/>
                <w:szCs w:val="13"/>
                <w:color w:val="auto"/>
                <w:w w:val="98"/>
              </w:rPr>
              <w:t>Preferred stock - Class C: Non-voting, Non-cumulative, Perpetual: $1.00 par value; $1,000</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5180" w:type="dxa"/>
            <w:vAlign w:val="bottom"/>
            <w:gridSpan w:val="3"/>
          </w:tcPr>
          <w:p>
            <w:pPr>
              <w:spacing w:after="0" w:line="148" w:lineRule="exact"/>
              <w:rPr>
                <w:sz w:val="20"/>
                <w:szCs w:val="20"/>
                <w:color w:val="auto"/>
              </w:rPr>
            </w:pPr>
            <w:r>
              <w:rPr>
                <w:rFonts w:ascii="Arial" w:cs="Arial" w:eastAsia="Arial" w:hAnsi="Arial"/>
                <w:sz w:val="13"/>
                <w:szCs w:val="13"/>
                <w:color w:val="auto"/>
              </w:rPr>
              <w:t>per share liquidation preference; annual dividend rate of 4% of liquidation preference paid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quarterly. Quarterly dividend of $ 10.00 per share.</w:t>
            </w:r>
          </w:p>
        </w:tc>
        <w:tc>
          <w:tcPr>
            <w:tcW w:w="100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shd w:val="clear" w:color="auto" w:fill="CCEEFF"/>
          </w:tcPr>
          <w:p>
            <w:pPr>
              <w:jc w:val="right"/>
              <w:ind w:right="17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5180" w:type="dxa"/>
            <w:vAlign w:val="bottom"/>
            <w:gridSpan w:val="3"/>
          </w:tcPr>
          <w:p>
            <w:pPr>
              <w:spacing w:after="0"/>
              <w:rPr>
                <w:sz w:val="20"/>
                <w:szCs w:val="20"/>
                <w:color w:val="auto"/>
              </w:rPr>
            </w:pPr>
            <w:r>
              <w:rPr>
                <w:rFonts w:ascii="Arial" w:cs="Arial" w:eastAsia="Arial" w:hAnsi="Arial"/>
                <w:sz w:val="13"/>
                <w:szCs w:val="13"/>
                <w:color w:val="auto"/>
              </w:rPr>
              <w:t>Preferred stock - Class D: Non-voting, Non-cumulative, Perpetual: $1.00 par value; $5.00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5180" w:type="dxa"/>
            <w:vAlign w:val="bottom"/>
            <w:gridSpan w:val="3"/>
          </w:tcPr>
          <w:p>
            <w:pPr>
              <w:spacing w:after="0"/>
              <w:rPr>
                <w:sz w:val="20"/>
                <w:szCs w:val="20"/>
                <w:color w:val="auto"/>
              </w:rPr>
            </w:pPr>
            <w:r>
              <w:rPr>
                <w:rFonts w:ascii="Arial" w:cs="Arial" w:eastAsia="Arial" w:hAnsi="Arial"/>
                <w:sz w:val="13"/>
                <w:szCs w:val="13"/>
                <w:color w:val="auto"/>
              </w:rPr>
              <w:t>per share liquidation preference; annual dividend rate of 4% of par value paid quarterly.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180" w:type="dxa"/>
            <w:vAlign w:val="bottom"/>
            <w:gridSpan w:val="3"/>
          </w:tcPr>
          <w:p>
            <w:pPr>
              <w:spacing w:after="0" w:line="148" w:lineRule="exact"/>
              <w:rPr>
                <w:sz w:val="20"/>
                <w:szCs w:val="20"/>
                <w:color w:val="auto"/>
              </w:rPr>
            </w:pPr>
            <w:r>
              <w:rPr>
                <w:rFonts w:ascii="Arial" w:cs="Arial" w:eastAsia="Arial" w:hAnsi="Arial"/>
                <w:sz w:val="13"/>
                <w:szCs w:val="13"/>
                <w:color w:val="auto"/>
              </w:rPr>
              <w:t>Quarterly dividend of $0.01 per share.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348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Preferred stock - Class E: Non-voting, partially cumulative, Perpetual: $1.00 par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5180" w:type="dxa"/>
            <w:vAlign w:val="bottom"/>
            <w:gridSpan w:val="3"/>
          </w:tcPr>
          <w:p>
            <w:pPr>
              <w:spacing w:after="0" w:line="148" w:lineRule="exact"/>
              <w:rPr>
                <w:sz w:val="20"/>
                <w:szCs w:val="20"/>
                <w:color w:val="auto"/>
              </w:rPr>
            </w:pPr>
            <w:r>
              <w:rPr>
                <w:rFonts w:ascii="Arial" w:cs="Arial" w:eastAsia="Arial" w:hAnsi="Arial"/>
                <w:sz w:val="13"/>
                <w:szCs w:val="13"/>
                <w:color w:val="auto"/>
              </w:rPr>
              <w:t>$1,000 per share liquidation preference; annual dividend rate of 7% of liquidation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 w:type="dxa"/>
            <w:vAlign w:val="bottom"/>
            <w:gridSpan w:val="2"/>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preferences paid quarterly. Quarterly dividend of $17.50 per share.</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Arial" w:cs="Arial" w:eastAsia="Arial" w:hAnsi="Arial"/>
                <w:sz w:val="13"/>
                <w:szCs w:val="13"/>
                <w:color w:val="auto"/>
              </w:rPr>
              <w:t>Total dividends paid</w:t>
            </w:r>
          </w:p>
        </w:tc>
        <w:tc>
          <w:tcPr>
            <w:tcW w:w="1000" w:type="dxa"/>
            <w:vAlign w:val="bottom"/>
            <w:gridSpan w:val="2"/>
          </w:tcPr>
          <w:p>
            <w:pPr>
              <w:jc w:val="right"/>
              <w:ind w:right="8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Declaration of dividends by the Board is required before dividend payments are made. The dividend payment dates for Class C and Class D preferred shares were set by the Board while the Class E preferred shares had a set dividend payment date on the fifteenth of February, May, August, and November.</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No dividends were approved by the Board for the common stock classes for the years ended December 31, 2022 and 2021. Additionally, there were no dividends declared and unpaid at December 31, 2022 and 2021.</w:t>
      </w:r>
    </w:p>
    <w:p>
      <w:pPr>
        <w:spacing w:after="0" w:line="124" w:lineRule="exact"/>
        <w:rPr>
          <w:sz w:val="20"/>
          <w:szCs w:val="20"/>
          <w:color w:val="auto"/>
        </w:rPr>
      </w:pPr>
    </w:p>
    <w:p>
      <w:pPr>
        <w:ind w:left="1040" w:hanging="398"/>
        <w:spacing w:after="0"/>
        <w:tabs>
          <w:tab w:leader="none" w:pos="10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57"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calculating EPS for the year ended December 31, 2022 and 2021, net income available to common stockholders was not allocated between Class A and Class B common stock since there was no issued and outstanding Class B common stock at year-end.</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calculation of net income (loss) available to common stockholders for the years ended</w:t>
      </w:r>
    </w:p>
    <w:p>
      <w:pPr>
        <w:ind w:left="640"/>
        <w:spacing w:after="0"/>
        <w:rPr>
          <w:sz w:val="20"/>
          <w:szCs w:val="20"/>
          <w:color w:val="auto"/>
        </w:rPr>
      </w:pPr>
      <w:r>
        <w:rPr>
          <w:rFonts w:ascii="Arial" w:cs="Arial" w:eastAsia="Arial" w:hAnsi="Arial"/>
          <w:sz w:val="14"/>
          <w:szCs w:val="14"/>
          <w:color w:val="auto"/>
        </w:rPr>
        <w:t>December 31, 2022 and 2021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Income</w:t>
            </w:r>
          </w:p>
        </w:tc>
        <w:tc>
          <w:tcPr>
            <w:tcW w:w="1780" w:type="dxa"/>
            <w:vAlign w:val="bottom"/>
            <w:gridSpan w:val="2"/>
            <w:shd w:val="clear" w:color="auto" w:fill="CCEEFF"/>
          </w:tcPr>
          <w:p>
            <w:pPr>
              <w:jc w:val="right"/>
              <w:ind w:right="8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20,141</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21,077</w:t>
            </w:r>
          </w:p>
        </w:tc>
        <w:tc>
          <w:tcPr>
            <w:tcW w:w="20" w:type="dxa"/>
            <w:vAlign w:val="bottom"/>
            <w:shd w:val="clear" w:color="auto" w:fill="CCEEFF"/>
          </w:tcPr>
          <w:p>
            <w:pPr>
              <w:spacing w:after="0"/>
              <w:rPr>
                <w:sz w:val="12"/>
                <w:szCs w:val="12"/>
                <w:color w:val="auto"/>
              </w:rPr>
            </w:pPr>
          </w:p>
        </w:tc>
      </w:tr>
      <w:tr>
        <w:trPr>
          <w:trHeight w:val="171"/>
        </w:trPr>
        <w:tc>
          <w:tcPr>
            <w:tcW w:w="394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2,077</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Exchange and redemption of preferred shares</w:t>
            </w:r>
          </w:p>
        </w:tc>
        <w:tc>
          <w:tcPr>
            <w:tcW w:w="9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3900" w:type="dxa"/>
            <w:vAlign w:val="bottom"/>
          </w:tcPr>
          <w:p>
            <w:pPr>
              <w:ind w:left="60"/>
              <w:spacing w:after="0"/>
              <w:rPr>
                <w:sz w:val="20"/>
                <w:szCs w:val="20"/>
                <w:color w:val="auto"/>
              </w:rPr>
            </w:pPr>
            <w:r>
              <w:rPr>
                <w:rFonts w:ascii="Arial" w:cs="Arial" w:eastAsia="Arial" w:hAnsi="Arial"/>
                <w:sz w:val="13"/>
                <w:szCs w:val="13"/>
                <w:color w:val="auto"/>
              </w:rPr>
              <w:t>Net income (loss) available to common stockholders</w:t>
            </w:r>
          </w:p>
        </w:tc>
        <w:tc>
          <w:tcPr>
            <w:tcW w:w="1780" w:type="dxa"/>
            <w:vAlign w:val="bottom"/>
            <w:gridSpan w:val="2"/>
          </w:tcPr>
          <w:p>
            <w:pPr>
              <w:jc w:val="right"/>
              <w:ind w:right="8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20,141</w:t>
            </w:r>
          </w:p>
        </w:tc>
        <w:tc>
          <w:tcPr>
            <w:tcW w:w="3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4" w:name="page105"/>
    <w:bookmarkEnd w:id="10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reflects the calculation of basic and diluted earnings (loss) per common share class for the years ended December 31, 2022 and 2021 (in thousands, except per share amounts):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47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Basic EPS</w:t>
            </w: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 (loss) available to common shares before allocation</w:t>
            </w: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20,141</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Multiply: % allocated on weighted avg. shares outstanding</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476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Net income (loss) available to common shares after allocation</w:t>
            </w:r>
          </w:p>
        </w:tc>
        <w:tc>
          <w:tcPr>
            <w:tcW w:w="120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20,141</w:t>
            </w:r>
          </w:p>
        </w:tc>
        <w:tc>
          <w:tcPr>
            <w:tcW w:w="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(70,585)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19,999,323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Earnings (loss) per share, basic</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47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before allocation</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20,141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Multiply: % allocated on weighted avg. shares outstanding</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after allocation</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20,141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19,999,323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177,515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Weighted avg. shares including dilutive potential common shares</w:t>
            </w:r>
          </w:p>
        </w:tc>
        <w:tc>
          <w:tcPr>
            <w:tcW w:w="1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20,176,838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vMerge w:val="continue"/>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(loss) per share, diluted</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183,303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For the year ended 2021, the Company was in a net loss position after adjusting for the exchange and redemption of the Class C and Class D preferred shares, making basic net loss per share the same as diluted net loss per share as the inclusion of all potential common shares outstanding would have been antidilutive.</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See Note 13 “Stockholders’ Equity” for further discussion on the stock splits.</w:t>
      </w:r>
    </w:p>
    <w:p>
      <w:pPr>
        <w:spacing w:after="0" w:line="152" w:lineRule="exact"/>
        <w:rPr>
          <w:sz w:val="20"/>
          <w:szCs w:val="20"/>
          <w:color w:val="auto"/>
        </w:rPr>
      </w:pPr>
    </w:p>
    <w:p>
      <w:pPr>
        <w:ind w:left="1040" w:hanging="398"/>
        <w:spacing w:after="0"/>
        <w:tabs>
          <w:tab w:leader="none" w:pos="104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 and the Bank’s capital amounts and classification are also subject to qualitative judgments by the regulators about components, risk weightings, and other factors.</w:t>
      </w:r>
    </w:p>
    <w:p>
      <w:pPr>
        <w:spacing w:after="0" w:line="15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Bank has elected to permanently opt-out of the inclusion of accumulated other comprehensive income in the capital calculations, as permitted by the regulations. This opt-out will reduce the impact of market volatility on the Bank’s regulatory capital levels.</w:t>
      </w:r>
    </w:p>
    <w:p>
      <w:pPr>
        <w:spacing w:after="0" w:line="158" w:lineRule="exact"/>
        <w:rPr>
          <w:sz w:val="20"/>
          <w:szCs w:val="20"/>
          <w:color w:val="auto"/>
        </w:rPr>
      </w:pPr>
    </w:p>
    <w:p>
      <w:pPr>
        <w:jc w:val="both"/>
        <w:ind w:left="640" w:right="719" w:firstLine="256"/>
        <w:spacing w:after="0" w:line="282" w:lineRule="auto"/>
        <w:rPr>
          <w:sz w:val="20"/>
          <w:szCs w:val="20"/>
          <w:color w:val="auto"/>
        </w:rPr>
      </w:pPr>
      <w:r>
        <w:rPr>
          <w:rFonts w:ascii="Arial" w:cs="Arial" w:eastAsia="Arial" w:hAnsi="Arial"/>
          <w:sz w:val="13"/>
          <w:szCs w:val="13"/>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w:t>
      </w:r>
    </w:p>
    <w:p>
      <w:pPr>
        <w:spacing w:after="0" w:line="27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5" w:name="page106"/>
    <w:bookmarkEnd w:id="10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719"/>
        <w:spacing w:after="0" w:line="252" w:lineRule="auto"/>
        <w:rPr>
          <w:sz w:val="20"/>
          <w:szCs w:val="20"/>
          <w:color w:val="auto"/>
        </w:rPr>
      </w:pPr>
      <w:r>
        <w:rPr>
          <w:rFonts w:ascii="Arial" w:cs="Arial" w:eastAsia="Arial" w:hAnsi="Arial"/>
          <w:sz w:val="14"/>
          <w:szCs w:val="14"/>
          <w:color w:val="auto"/>
        </w:rPr>
        <w:t>limit the ability of the Bank to pay dividends, repurchase shares or pay discretionary bonuses. At December 31, 2022 and 2021, the capital ratios for the Bank were sufficient to meet the conservation buffer.</w:t>
      </w:r>
    </w:p>
    <w:p>
      <w:pPr>
        <w:spacing w:after="0" w:line="153"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At December 31, 2022 and 2021,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58"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Actual and required capital amounts and ratios are presented below for the Bank at December 31, 2022 and 2021 (in thousands, except ratios). The required amounts for capital adequacy shown do not include the capital conservation buffer previously discussed.</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Minimum Capital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Requirements</w:t>
            </w: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Action Provisions</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Total risk-based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216,693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13.58</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127,616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159,520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127,616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Common equity tier 1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12.47</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71,784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103,688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83,210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shd w:val="clear" w:color="auto" w:fill="CCEEFF"/>
          </w:tcPr>
          <w:p>
            <w:pPr>
              <w:spacing w:after="0" w:line="192" w:lineRule="exact"/>
              <w:rPr>
                <w:sz w:val="20"/>
                <w:szCs w:val="20"/>
                <w:color w:val="auto"/>
              </w:rPr>
            </w:pPr>
            <w:r>
              <w:rPr>
                <w:rFonts w:ascii="Arial" w:cs="Arial" w:eastAsia="Arial" w:hAnsi="Arial"/>
                <w:sz w:val="13"/>
                <w:szCs w:val="13"/>
                <w:b w:val="1"/>
                <w:bCs w:val="1"/>
                <w:color w:val="auto"/>
              </w:rPr>
              <w:t xml:space="preserve">December 31, 2021: </w:t>
            </w:r>
            <w:r>
              <w:rPr>
                <w:rFonts w:ascii="Arial" w:cs="Arial" w:eastAsia="Arial" w:hAnsi="Arial"/>
                <w:sz w:val="17"/>
                <w:szCs w:val="17"/>
                <w:b w:val="1"/>
                <w:bCs w:val="1"/>
                <w:color w:val="auto"/>
                <w:vertAlign w:val="superscript"/>
              </w:rPr>
              <w:t>(1)</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Total risk-based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186,735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14.92</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125,157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75,094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Common equity tier 1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56,321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81,352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71,825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bl>
    <w:p>
      <w:pPr>
        <w:spacing w:after="0" w:line="331"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Effective December 30, 2021, the Company acquired the Bank in a merger and reorganization through the formation of a bank holding company. Pursuant to this transaction, all of the outstanding shares of the Bank’s $1.00 par value common stock formerly held by its shareholders was converted into and exchanged for one newly issued share of the Company’s par value common stock, and the Bank became a subsidiary of the Company. See Note 13 “Stockholders’ Equity” for further details.</w:t>
      </w:r>
    </w:p>
    <w:p>
      <w:pPr>
        <w:spacing w:after="0" w:line="16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of the current year combined with the Bank’s retained income of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if they deem such payment to be an unsafe or unsound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6" w:name="page107"/>
    <w:bookmarkEnd w:id="10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160" w:hanging="518"/>
        <w:spacing w:after="0"/>
        <w:tabs>
          <w:tab w:leader="none" w:pos="11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6,825</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Interest income</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54</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r>
    </w:tbl>
    <w:p>
      <w:pPr>
        <w:spacing w:after="0" w:line="317"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Loan Purchases</w:t>
      </w:r>
    </w:p>
    <w:p>
      <w:pPr>
        <w:spacing w:after="0" w:line="184" w:lineRule="exact"/>
        <w:rPr>
          <w:sz w:val="20"/>
          <w:szCs w:val="20"/>
          <w:color w:val="auto"/>
        </w:rPr>
      </w:pPr>
    </w:p>
    <w:p>
      <w:pPr>
        <w:ind w:left="640" w:right="699" w:firstLine="331"/>
        <w:spacing w:after="0" w:line="252" w:lineRule="auto"/>
        <w:rPr>
          <w:sz w:val="20"/>
          <w:szCs w:val="20"/>
          <w:color w:val="auto"/>
        </w:rPr>
      </w:pPr>
      <w:r>
        <w:rPr>
          <w:rFonts w:ascii="Arial" w:cs="Arial" w:eastAsia="Arial" w:hAnsi="Arial"/>
          <w:sz w:val="14"/>
          <w:szCs w:val="14"/>
          <w:color w:val="auto"/>
        </w:rPr>
        <w:t>During 2022, the Bank purchased $42.8 million of loans from entities that are deemed to be related parties. The Bank paid those entities fees of $881 thousand.</w:t>
      </w:r>
    </w:p>
    <w:p>
      <w:pPr>
        <w:spacing w:after="0" w:line="135" w:lineRule="exact"/>
        <w:rPr>
          <w:sz w:val="20"/>
          <w:szCs w:val="20"/>
          <w:color w:val="auto"/>
        </w:rPr>
      </w:pPr>
    </w:p>
    <w:p>
      <w:pPr>
        <w:ind w:left="1160" w:hanging="518"/>
        <w:spacing w:after="0"/>
        <w:tabs>
          <w:tab w:leader="none" w:pos="11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2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Cash and Cash Equivalents</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1,102</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 bank subsidiary</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181,326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Other assets</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vMerge w:val="restart"/>
          </w:tcPr>
          <w:p>
            <w:pPr>
              <w:spacing w:after="0"/>
              <w:rPr>
                <w:sz w:val="10"/>
                <w:szCs w:val="10"/>
                <w:color w:val="auto"/>
              </w:rPr>
            </w:pPr>
          </w:p>
        </w:tc>
        <w:tc>
          <w:tcPr>
            <w:tcW w:w="37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liabilities</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Stockholders' equity</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7" w:name="page108"/>
    <w:bookmarkEnd w:id="10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59" w:firstLine="256"/>
        <w:spacing w:after="0" w:line="252" w:lineRule="auto"/>
        <w:rPr>
          <w:sz w:val="20"/>
          <w:szCs w:val="20"/>
          <w:color w:val="auto"/>
        </w:rPr>
      </w:pPr>
      <w:r>
        <w:rPr>
          <w:rFonts w:ascii="Arial" w:cs="Arial" w:eastAsia="Arial" w:hAnsi="Arial"/>
          <w:sz w:val="14"/>
          <w:szCs w:val="14"/>
          <w:color w:val="auto"/>
        </w:rPr>
        <w:t>The condensed income statement is presented below for USCB Financial Holdings, Inc. at the dates indicated (in thousands):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jc w:val="right"/>
              <w:ind w:right="176"/>
              <w:spacing w:after="0"/>
              <w:rPr>
                <w:sz w:val="20"/>
                <w:szCs w:val="20"/>
                <w:color w:val="auto"/>
              </w:rPr>
            </w:pPr>
            <w:r>
              <w:rPr>
                <w:rFonts w:ascii="Arial" w:cs="Arial" w:eastAsia="Arial" w:hAnsi="Arial"/>
                <w:sz w:val="13"/>
                <w:szCs w:val="13"/>
                <w:b w:val="1"/>
                <w:bCs w:val="1"/>
                <w:color w:val="auto"/>
                <w:w w:val="99"/>
              </w:rPr>
              <w:t>December 31, 2022</w:t>
            </w: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INCOME:</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3"/>
                <w:szCs w:val="13"/>
                <w:color w:val="auto"/>
              </w:rPr>
              <w:t>Dividends from subsidiaries</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Service fees from subsidiaries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7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Employee compensation and benefits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rPr>
                <w:sz w:val="20"/>
                <w:szCs w:val="20"/>
                <w:color w:val="auto"/>
              </w:rPr>
            </w:pPr>
            <w:r>
              <w:rPr>
                <w:rFonts w:ascii="Arial" w:cs="Arial" w:eastAsia="Arial" w:hAnsi="Arial"/>
                <w:sz w:val="13"/>
                <w:szCs w:val="13"/>
                <w:color w:val="auto"/>
              </w:rPr>
              <w:t>Income before income taxes and undistributed subsidiary income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Provision (benefit) for income taxes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gridSpan w:val="2"/>
          </w:tcPr>
          <w:p>
            <w:pPr>
              <w:spacing w:after="0"/>
              <w:rPr>
                <w:sz w:val="20"/>
                <w:szCs w:val="20"/>
                <w:color w:val="auto"/>
              </w:rPr>
            </w:pPr>
            <w:r>
              <w:rPr>
                <w:rFonts w:ascii="Arial" w:cs="Arial" w:eastAsia="Arial" w:hAnsi="Arial"/>
                <w:sz w:val="13"/>
                <w:szCs w:val="13"/>
                <w:color w:val="auto"/>
              </w:rPr>
              <w:t>Equity in undisbursed subsidiary income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19,141</w:t>
            </w: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right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CCEEFF"/>
              <w:right w:val="single" w:sz="8" w:color="CCEEFF"/>
            </w:tcBorders>
            <w:shd w:val="clear" w:color="auto" w:fill="CCEEFF"/>
          </w:tcPr>
          <w:p>
            <w:pPr>
              <w:jc w:val="right"/>
              <w:ind w:right="136"/>
              <w:spacing w:after="0" w:line="131" w:lineRule="exact"/>
              <w:rPr>
                <w:sz w:val="20"/>
                <w:szCs w:val="20"/>
                <w:color w:val="auto"/>
              </w:rPr>
            </w:pPr>
            <w:r>
              <w:rPr>
                <w:rFonts w:ascii="Arial" w:cs="Arial" w:eastAsia="Arial" w:hAnsi="Arial"/>
                <w:sz w:val="13"/>
                <w:szCs w:val="13"/>
                <w:color w:val="auto"/>
              </w:rPr>
              <w:t>20,141</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Borders>
              <w:bottom w:val="single" w:sz="8" w:color="CCEEFF"/>
            </w:tcBorders>
            <w:shd w:val="clear" w:color="auto" w:fill="CCEEFF"/>
          </w:tcPr>
          <w:p>
            <w:pPr>
              <w:jc w:val="right"/>
              <w:ind w:right="56"/>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condensed cash flow is presented below for USCB Financial Holdings, Inc. at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CCEEFF"/>
            </w:tcBorders>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60" w:type="dxa"/>
            <w:vAlign w:val="bottom"/>
            <w:gridSpan w:val="4"/>
          </w:tcPr>
          <w:p>
            <w:pPr>
              <w:spacing w:after="0"/>
              <w:rPr>
                <w:sz w:val="20"/>
                <w:szCs w:val="20"/>
                <w:color w:val="auto"/>
              </w:rPr>
            </w:pPr>
            <w:r>
              <w:rPr>
                <w:rFonts w:ascii="Arial" w:cs="Arial" w:eastAsia="Arial" w:hAnsi="Arial"/>
                <w:sz w:val="14"/>
                <w:szCs w:val="14"/>
                <w:color w:val="auto"/>
              </w:rPr>
              <w:t>Net income</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20,141</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gridSpan w:val="2"/>
          </w:tcPr>
          <w:p>
            <w:pPr>
              <w:ind w:left="60"/>
              <w:spacing w:after="0" w:line="107" w:lineRule="exact"/>
              <w:rPr>
                <w:sz w:val="20"/>
                <w:szCs w:val="20"/>
                <w:color w:val="auto"/>
              </w:rPr>
            </w:pPr>
            <w:r>
              <w:rPr>
                <w:rFonts w:ascii="Arial" w:cs="Arial" w:eastAsia="Arial" w:hAnsi="Arial"/>
                <w:sz w:val="12"/>
                <w:szCs w:val="12"/>
                <w:color w:val="auto"/>
              </w:rPr>
              <w:t>activities: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color w:val="auto"/>
              </w:rPr>
              <w:t>(19,141)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20" w:type="dxa"/>
            <w:vAlign w:val="bottom"/>
            <w:gridSpan w:val="2"/>
          </w:tcPr>
          <w:p>
            <w:pPr>
              <w:ind w:left="60"/>
              <w:spacing w:after="0" w:line="75" w:lineRule="exact"/>
              <w:rPr>
                <w:sz w:val="20"/>
                <w:szCs w:val="20"/>
                <w:color w:val="auto"/>
              </w:rPr>
            </w:pPr>
            <w:r>
              <w:rPr>
                <w:rFonts w:ascii="Arial" w:cs="Arial" w:eastAsia="Arial" w:hAnsi="Arial"/>
                <w:sz w:val="8"/>
                <w:szCs w:val="8"/>
                <w:color w:val="auto"/>
              </w:rPr>
              <w:t>Equity in undistributed earnings of subsidiaries</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1,000</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Borders>
              <w:top w:val="single" w:sz="8" w:color="CCEEFF"/>
            </w:tcBorders>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60" w:type="dxa"/>
            <w:vAlign w:val="bottom"/>
            <w:gridSpan w:val="4"/>
          </w:tcPr>
          <w:p>
            <w:pPr>
              <w:spacing w:after="0"/>
              <w:rPr>
                <w:sz w:val="20"/>
                <w:szCs w:val="20"/>
                <w:color w:val="auto"/>
              </w:rPr>
            </w:pPr>
            <w:r>
              <w:rPr>
                <w:rFonts w:ascii="Arial" w:cs="Arial" w:eastAsia="Arial" w:hAnsi="Arial"/>
                <w:sz w:val="14"/>
                <w:szCs w:val="14"/>
                <w:color w:val="auto"/>
              </w:rPr>
              <w:t>Capital contributions to subsidiary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Repurchase of common stock</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102</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
            <w:vMerge w:val="restart"/>
          </w:tcPr>
          <w:p>
            <w:pPr>
              <w:ind w:left="60"/>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right"/>
              <w:ind w:right="16"/>
              <w:spacing w:after="0" w:line="132" w:lineRule="exact"/>
              <w:rPr>
                <w:sz w:val="20"/>
                <w:szCs w:val="20"/>
                <w:color w:val="auto"/>
              </w:rPr>
            </w:pPr>
            <w:r>
              <w:rPr>
                <w:rFonts w:ascii="Arial" w:cs="Arial" w:eastAsia="Arial" w:hAnsi="Arial"/>
                <w:sz w:val="13"/>
                <w:szCs w:val="13"/>
                <w:color w:val="auto"/>
              </w:rPr>
              <w:t>1,102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1,102</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18.   LOSS CONTINGENCIES</w:t>
            </w: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4640" w:type="dxa"/>
            <w:vAlign w:val="bottom"/>
            <w:tcBorders>
              <w:bottom w:val="single" w:sz="8" w:color="auto"/>
            </w:tcBorders>
            <w:gridSpan w:val="3"/>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34" w:lineRule="exact"/>
        <w:rPr>
          <w:sz w:val="20"/>
          <w:szCs w:val="20"/>
          <w:color w:val="auto"/>
        </w:rPr>
      </w:pPr>
    </w:p>
    <w:p>
      <w:pPr>
        <w:ind w:left="1160" w:hanging="518"/>
        <w:spacing w:after="0"/>
        <w:tabs>
          <w:tab w:leader="none" w:pos="11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Management has evaluated subsequent events from January 1, 2023 through March 24, 2023, which is the date this Annual Report Form 10-K was available to be issued.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Share Repurchase Program</w:t>
      </w:r>
    </w:p>
    <w:p>
      <w:pPr>
        <w:spacing w:after="0" w:line="200" w:lineRule="exact"/>
        <w:rPr>
          <w:sz w:val="20"/>
          <w:szCs w:val="20"/>
          <w:color w:val="auto"/>
        </w:rPr>
      </w:pPr>
    </w:p>
    <w:p>
      <w:pPr>
        <w:spacing w:after="0" w:line="23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8" w:name="page109"/>
    <w:bookmarkEnd w:id="10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February 2023 the Company repurchased 250,000 shares of USCB Financial Holdings Inc. Class A common stock at a price of $12.04. Additionally, the Company repurchased 250,000 shares of USCB Financial Holdings Inc Class A Common stock at a price of $11.39 in March 2023. These repurchases were made thru the open market pursuant to the Company’s publicly announced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0" w:right="1440" w:bottom="1440" w:gutter="0" w:footer="0" w:header="0"/>
        </w:sectPr>
      </w:pPr>
    </w:p>
    <w:bookmarkStart w:id="109" w:name="page110"/>
    <w:bookmarkEnd w:id="10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9A.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its Chief Financial Officer, we evaluated the effectiveness of the design and operation of the Company’s disclosure controls and procedures as of December 31, 2022.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Report.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57" w:lineRule="exact"/>
        <w:rPr>
          <w:sz w:val="20"/>
          <w:szCs w:val="20"/>
          <w:color w:val="auto"/>
        </w:rPr>
      </w:pPr>
    </w:p>
    <w:p>
      <w:pPr>
        <w:ind w:left="1180" w:hanging="261"/>
        <w:spacing w:after="0"/>
        <w:tabs>
          <w:tab w:leader="none" w:pos="11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maintain records that accurately reflect the Company’s transactions;</w:t>
      </w:r>
    </w:p>
    <w:p>
      <w:pPr>
        <w:ind w:left="1180" w:right="719" w:hanging="261"/>
        <w:spacing w:after="0" w:line="246" w:lineRule="auto"/>
        <w:tabs>
          <w:tab w:leader="none" w:pos="117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prepare financial statement and footnote disclosures in accordance with U.S. GAAP that can be relied upon by external users; and</w:t>
      </w:r>
    </w:p>
    <w:p>
      <w:pPr>
        <w:ind w:left="1180" w:right="679" w:hanging="261"/>
        <w:spacing w:after="0" w:line="252" w:lineRule="auto"/>
        <w:tabs>
          <w:tab w:leader="none" w:pos="117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prevent and detect unauthorized acquisition, use or disposition of the Company's assets that could have a material effect on the financial statements.</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2022. Furthermore, during the conduct of its assessment, management identified no material weakness in its financial reporting control system.</w:t>
      </w:r>
    </w:p>
    <w:p>
      <w:pPr>
        <w:spacing w:after="0" w:line="16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Board of USCB Financial Holdings, Inc.,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independent registered public accounting firm throughout the year to provide assurance as to the adequacy of the financial reporting process and to monitor the overall scope of the work performed by the internal audit staff and the independent public accountants.</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our most recent fiscal quarter that has materially affected, or is reasonably likely to materially affect, our internal control over financial reporting.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9B. Other Information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110" w:name="page111"/>
    <w:bookmarkEnd w:id="1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8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22, 2023, is expected to be filed with the SEC within 120 days of December 31, 2021 (“2023 Definitive Proxy Statement”).</w:t>
      </w:r>
    </w:p>
    <w:p>
      <w:pPr>
        <w:spacing w:after="0" w:line="14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58" w:lineRule="exact"/>
        <w:rPr>
          <w:sz w:val="20"/>
          <w:szCs w:val="20"/>
          <w:color w:val="auto"/>
        </w:rPr>
      </w:pPr>
    </w:p>
    <w:p>
      <w:pPr>
        <w:ind w:left="660" w:right="719" w:firstLine="256"/>
        <w:spacing w:after="0" w:line="252" w:lineRule="auto"/>
        <w:rPr>
          <w:sz w:val="20"/>
          <w:szCs w:val="20"/>
          <w:color w:val="auto"/>
        </w:rPr>
      </w:pPr>
      <w:r>
        <w:rPr>
          <w:rFonts w:ascii="Arial" w:cs="Arial" w:eastAsia="Arial" w:hAnsi="Arial"/>
          <w:sz w:val="14"/>
          <w:szCs w:val="14"/>
          <w:color w:val="auto"/>
        </w:rPr>
        <w:t>There have been no material changes to the procedures by which shareholders may recommend nominees to the Company’s Board.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11. Executive Compensation</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information required herein is incorporated by reference from the sections captioned "Executive Compensation" and “Information with Respect to Nominees for Director and Information About Executive Officers – Director Compensation” in the Company’s 2023 Definitive Proxy Statement.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Security Ownership of Certain Beneficial Owners and Management </w:t>
      </w:r>
      <w:r>
        <w:rPr>
          <w:rFonts w:ascii="Arial" w:cs="Arial" w:eastAsia="Arial" w:hAnsi="Arial"/>
          <w:sz w:val="14"/>
          <w:szCs w:val="14"/>
          <w:color w:val="auto"/>
        </w:rPr>
        <w:t>. Information regarding security ownership</w:t>
      </w:r>
    </w:p>
    <w:p>
      <w:pPr>
        <w:spacing w:after="0" w:line="28" w:lineRule="exact"/>
        <w:rPr>
          <w:sz w:val="20"/>
          <w:szCs w:val="20"/>
          <w:color w:val="auto"/>
        </w:rPr>
      </w:pPr>
    </w:p>
    <w:p>
      <w:pPr>
        <w:ind w:left="660" w:right="759"/>
        <w:spacing w:after="0" w:line="238" w:lineRule="auto"/>
        <w:rPr>
          <w:sz w:val="20"/>
          <w:szCs w:val="20"/>
          <w:color w:val="auto"/>
        </w:rPr>
      </w:pPr>
      <w:r>
        <w:rPr>
          <w:rFonts w:ascii="Arial" w:cs="Arial" w:eastAsia="Arial" w:hAnsi="Arial"/>
          <w:sz w:val="14"/>
          <w:szCs w:val="14"/>
          <w:color w:val="auto"/>
        </w:rPr>
        <w:t>of certain beneficial owners and management is incorporated by reference to “Beneficial Ownership of Common Stock by Certain Beneficial Owners and Management” in the 2023 Definitive Proxy Statement.</w:t>
      </w:r>
    </w:p>
    <w:p>
      <w:pPr>
        <w:spacing w:after="0" w:line="1" w:lineRule="exact"/>
        <w:rPr>
          <w:sz w:val="20"/>
          <w:szCs w:val="20"/>
          <w:color w:val="auto"/>
        </w:rPr>
      </w:pPr>
    </w:p>
    <w:p>
      <w:pPr>
        <w:ind w:left="660" w:right="719" w:firstLine="512"/>
        <w:spacing w:after="0" w:line="253" w:lineRule="auto"/>
        <w:rPr>
          <w:sz w:val="20"/>
          <w:szCs w:val="20"/>
          <w:color w:val="auto"/>
        </w:rPr>
      </w:pPr>
      <w:r>
        <w:rPr>
          <w:rFonts w:ascii="Arial" w:cs="Arial" w:eastAsia="Arial" w:hAnsi="Arial"/>
          <w:sz w:val="14"/>
          <w:szCs w:val="14"/>
          <w:b w:val="1"/>
          <w:bCs w:val="1"/>
          <w:color w:val="auto"/>
        </w:rPr>
        <w:t>Equity Compensation Plan Information</w:t>
      </w:r>
      <w:r>
        <w:rPr>
          <w:rFonts w:ascii="Arial" w:cs="Arial" w:eastAsia="Arial" w:hAnsi="Arial"/>
          <w:sz w:val="14"/>
          <w:szCs w:val="14"/>
          <w:color w:val="auto"/>
        </w:rPr>
        <w:t>. Information regarding the Company’s equity plans is incorporated from</w:t>
      </w:r>
      <w:r>
        <w:rPr>
          <w:rFonts w:ascii="Arial" w:cs="Arial" w:eastAsia="Arial" w:hAnsi="Arial"/>
          <w:sz w:val="14"/>
          <w:szCs w:val="14"/>
          <w:b w:val="1"/>
          <w:bCs w:val="1"/>
          <w:color w:val="auto"/>
        </w:rPr>
        <w:t xml:space="preserve"> </w:t>
      </w:r>
      <w:r>
        <w:rPr>
          <w:rFonts w:ascii="Arial" w:cs="Arial" w:eastAsia="Arial" w:hAnsi="Arial"/>
          <w:sz w:val="14"/>
          <w:szCs w:val="14"/>
          <w:color w:val="auto"/>
        </w:rPr>
        <w:t>Note 9 “Equity Based and Other Compensation Plans” to the Consolidated Financial Statements included in this Annual Report on Form 10-K.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8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information required herein is incorporated by reference from the sections captioned “Certain Relationships and Related Party Transactions” and “Information with Respect to Nominees for Director and Information About Executive Officers” in the 2023 Definitive Proxy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88" w:lineRule="exact"/>
        <w:rPr>
          <w:sz w:val="20"/>
          <w:szCs w:val="20"/>
          <w:color w:val="auto"/>
        </w:rPr>
      </w:pPr>
    </w:p>
    <w:p>
      <w:pPr>
        <w:ind w:left="660" w:right="699" w:firstLine="512"/>
        <w:spacing w:after="0" w:line="253" w:lineRule="auto"/>
        <w:rPr>
          <w:sz w:val="20"/>
          <w:szCs w:val="20"/>
          <w:color w:val="auto"/>
        </w:rPr>
      </w:pPr>
      <w:r>
        <w:rPr>
          <w:rFonts w:ascii="Arial" w:cs="Arial" w:eastAsia="Arial" w:hAnsi="Arial"/>
          <w:sz w:val="14"/>
          <w:szCs w:val="14"/>
          <w:color w:val="auto"/>
        </w:rPr>
        <w:t>The information required herein is incorporated by reference from the section captioned “Ratification of Appointment of Independent Registered Public Accounting Firm (Proposal Two) – Audit Fees” in the 2023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USCB Financial Holdings, Inc.</w:t>
        <w:tab/>
        <w:t>2022 10-K</w:t>
      </w:r>
    </w:p>
    <w:p>
      <w:pPr>
        <w:sectPr>
          <w:pgSz w:w="11900" w:h="16838" w:orient="portrait"/>
          <w:cols w:equalWidth="0" w:num="1">
            <w:col w:w="9019"/>
          </w:cols>
          <w:pgMar w:left="1440" w:top="491" w:right="1440" w:bottom="1440" w:gutter="0" w:footer="0" w:header="0"/>
        </w:sectPr>
      </w:pPr>
    </w:p>
    <w:bookmarkStart w:id="111" w:name="page112"/>
    <w:bookmarkEnd w:id="1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List of documents filed as part of this Annual Report:</w:t>
      </w:r>
    </w:p>
    <w:p>
      <w:pPr>
        <w:spacing w:after="0" w:line="9" w:lineRule="exact"/>
        <w:rPr>
          <w:sz w:val="20"/>
          <w:szCs w:val="20"/>
          <w:color w:val="auto"/>
        </w:rPr>
      </w:pPr>
    </w:p>
    <w:p>
      <w:pPr>
        <w:ind w:left="1180" w:hanging="261"/>
        <w:spacing w:after="0"/>
        <w:tabs>
          <w:tab w:leader="none" w:pos="118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2022 and 2021</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for the years ended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Changes in Stockholders' Equity for the years ended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2022 and 2021</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Notes to Consolidated Financial Statements</w:t>
      </w:r>
    </w:p>
    <w:p>
      <w:pPr>
        <w:spacing w:after="0" w:line="9" w:lineRule="exact"/>
        <w:rPr>
          <w:sz w:val="20"/>
          <w:szCs w:val="20"/>
          <w:color w:val="auto"/>
        </w:rPr>
      </w:pPr>
    </w:p>
    <w:p>
      <w:pPr>
        <w:ind w:left="1180" w:hanging="261"/>
        <w:spacing w:after="0"/>
        <w:tabs>
          <w:tab w:leader="none" w:pos="118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32" w:lineRule="exact"/>
        <w:rPr>
          <w:sz w:val="20"/>
          <w:szCs w:val="20"/>
          <w:color w:val="auto"/>
        </w:rPr>
      </w:pPr>
    </w:p>
    <w:p>
      <w:pPr>
        <w:ind w:left="1280" w:right="1159"/>
        <w:spacing w:after="0" w:line="252"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10" w:lineRule="exact"/>
        <w:rPr>
          <w:sz w:val="20"/>
          <w:szCs w:val="20"/>
          <w:color w:val="auto"/>
        </w:rPr>
      </w:pPr>
    </w:p>
    <w:p>
      <w:pPr>
        <w:ind w:left="1280" w:right="859"/>
        <w:spacing w:after="0" w:line="268" w:lineRule="auto"/>
        <w:rPr>
          <w:sz w:val="20"/>
          <w:szCs w:val="20"/>
          <w:color w:val="auto"/>
        </w:rPr>
      </w:pPr>
      <w:r>
        <w:rPr>
          <w:rFonts w:ascii="Arial" w:cs="Arial" w:eastAsia="Arial" w:hAnsi="Arial"/>
          <w:sz w:val="14"/>
          <w:szCs w:val="14"/>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112" w:name="page113"/>
    <w:bookmarkEnd w:id="1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0" w:type="dxa"/>
            <w:vAlign w:val="bottom"/>
            <w:gridSpan w:val="74"/>
          </w:tcPr>
          <w:p>
            <w:pPr>
              <w:ind w:left="4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25"/>
        </w:trPr>
        <w:tc>
          <w:tcPr>
            <w:tcW w:w="780" w:type="dxa"/>
            <w:vAlign w:val="bottom"/>
            <w:gridSpan w:val="3"/>
            <w:vMerge w:val="continue"/>
          </w:tcPr>
          <w:p>
            <w:pPr>
              <w:spacing w:after="0"/>
              <w:rPr>
                <w:sz w:val="10"/>
                <w:szCs w:val="10"/>
                <w:color w:val="auto"/>
              </w:rPr>
            </w:pPr>
          </w:p>
        </w:tc>
        <w:tc>
          <w:tcPr>
            <w:tcW w:w="7460" w:type="dxa"/>
            <w:vAlign w:val="bottom"/>
            <w:gridSpan w:val="113"/>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180" w:type="dxa"/>
            <w:vAlign w:val="bottom"/>
            <w:tcBorders>
              <w:bottom w:val="single" w:sz="8" w:color="auto"/>
            </w:tcBorders>
            <w:gridSpan w:val="111"/>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1"/>
          </w:tcPr>
          <w:p>
            <w:pPr>
              <w:spacing w:after="0" w:line="119"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Agreement and Plan of Share Exchange, dated December 27, 2021, by and between U.S. Century Bank and USCB Financial</w:t>
              </w:r>
            </w:hyperlink>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40" w:type="dxa"/>
            <w:vAlign w:val="bottom"/>
            <w:tcBorders>
              <w:top w:val="single" w:sz="8" w:color="0000FF"/>
            </w:tcBorders>
            <w:gridSpan w:val="109"/>
          </w:tcPr>
          <w:p>
            <w:pPr>
              <w:spacing w:after="0" w:line="129" w:lineRule="exact"/>
              <w:rPr>
                <w:rFonts w:ascii="Arial" w:cs="Arial" w:eastAsia="Arial" w:hAnsi="Arial"/>
                <w:sz w:val="13"/>
                <w:szCs w:val="13"/>
                <w:color w:val="0000FF"/>
              </w:rPr>
            </w:pPr>
            <w:hyperlink r:id="rId121">
              <w:r>
                <w:rPr>
                  <w:rFonts w:ascii="Arial" w:cs="Arial" w:eastAsia="Arial" w:hAnsi="Arial"/>
                  <w:sz w:val="13"/>
                  <w:szCs w:val="13"/>
                  <w:color w:val="0000FF"/>
                </w:rPr>
                <w:t>Holdings, Inc. (incorporated by reference to Exhibit 2.1 to the Registrant’s Current Report on Form 8-K (File No. 001-41196)</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20" w:type="dxa"/>
            <w:vAlign w:val="bottom"/>
            <w:tcBorders>
              <w:bottom w:val="single" w:sz="8" w:color="0000FF"/>
            </w:tcBorders>
            <w:gridSpan w:val="62"/>
          </w:tcPr>
          <w:p>
            <w:pPr>
              <w:spacing w:after="0" w:line="129" w:lineRule="exact"/>
              <w:rPr>
                <w:rFonts w:ascii="Arial" w:cs="Arial" w:eastAsia="Arial" w:hAnsi="Arial"/>
                <w:sz w:val="13"/>
                <w:szCs w:val="13"/>
                <w:color w:val="0000FF"/>
                <w:w w:val="98"/>
              </w:rPr>
            </w:pPr>
            <w:hyperlink r:id="rId121">
              <w:r>
                <w:rPr>
                  <w:rFonts w:ascii="Arial" w:cs="Arial" w:eastAsia="Arial" w:hAnsi="Arial"/>
                  <w:sz w:val="13"/>
                  <w:szCs w:val="13"/>
                  <w:color w:val="0000FF"/>
                  <w:w w:val="98"/>
                </w:rPr>
                <w:t>filed with the Securities and Exchange Commission on December 30, 2021).</w:t>
              </w:r>
            </w:hyperlink>
          </w:p>
        </w:tc>
        <w:tc>
          <w:tcPr>
            <w:tcW w:w="2860" w:type="dxa"/>
            <w:vAlign w:val="bottom"/>
            <w:gridSpan w:val="49"/>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jc w:val="center"/>
              <w:spacing w:after="0" w:line="129"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29"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Articles of Incorporation of USCB Financial Holdings, Inc. (incorporated by reference to Exhibit 3.1 to the Registrant’s Current</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23">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700" w:type="dxa"/>
            <w:vAlign w:val="bottom"/>
            <w:tcBorders>
              <w:bottom w:val="single" w:sz="8" w:color="0000FF"/>
            </w:tcBorders>
            <w:gridSpan w:val="101"/>
          </w:tcPr>
          <w:p>
            <w:pPr>
              <w:spacing w:after="0" w:line="129" w:lineRule="exact"/>
              <w:rPr>
                <w:rFonts w:ascii="Arial" w:cs="Arial" w:eastAsia="Arial" w:hAnsi="Arial"/>
                <w:sz w:val="13"/>
                <w:szCs w:val="13"/>
                <w:color w:val="0000FF"/>
                <w:w w:val="98"/>
              </w:rPr>
            </w:pPr>
            <w:hyperlink r:id="rId122">
              <w:r>
                <w:rPr>
                  <w:rFonts w:ascii="Arial" w:cs="Arial" w:eastAsia="Arial" w:hAnsi="Arial"/>
                  <w:sz w:val="13"/>
                  <w:szCs w:val="13"/>
                  <w:color w:val="0000FF"/>
                  <w:w w:val="98"/>
                </w:rPr>
                <w:t>Report on Form 8-K (File No. 001-41196) filed with the Securities and Exchange Commission on December 30, 2021).</w:t>
              </w:r>
            </w:hyperlink>
          </w:p>
        </w:tc>
        <w:tc>
          <w:tcPr>
            <w:tcW w:w="48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1"/>
          </w:tcPr>
          <w:p>
            <w:pPr>
              <w:spacing w:after="0" w:line="119" w:lineRule="exact"/>
              <w:rPr>
                <w:rFonts w:ascii="Arial" w:cs="Arial" w:eastAsia="Arial" w:hAnsi="Arial"/>
                <w:sz w:val="13"/>
                <w:szCs w:val="13"/>
                <w:color w:val="0000FF"/>
                <w:w w:val="99"/>
              </w:rPr>
            </w:pPr>
            <w:hyperlink r:id="rId123">
              <w:r>
                <w:rPr>
                  <w:rFonts w:ascii="Arial" w:cs="Arial" w:eastAsia="Arial" w:hAnsi="Arial"/>
                  <w:sz w:val="13"/>
                  <w:szCs w:val="13"/>
                  <w:color w:val="0000FF"/>
                  <w:w w:val="99"/>
                </w:rPr>
                <w:t>Amended and Restated Bylaws of USCB Financial Holdings, Inc. (incorporated by reference to Exhibit 3.2 to the Registrant’s</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40" w:type="dxa"/>
            <w:vAlign w:val="bottom"/>
            <w:tcBorders>
              <w:bottom w:val="single" w:sz="8" w:color="0000FF"/>
            </w:tcBorders>
            <w:gridSpan w:val="109"/>
          </w:tcPr>
          <w:p>
            <w:pPr>
              <w:spacing w:after="0" w:line="129" w:lineRule="exact"/>
              <w:rPr>
                <w:rFonts w:ascii="Arial" w:cs="Arial" w:eastAsia="Arial" w:hAnsi="Arial"/>
                <w:sz w:val="13"/>
                <w:szCs w:val="13"/>
                <w:color w:val="0000FF"/>
                <w:w w:val="97"/>
              </w:rPr>
            </w:pPr>
            <w:hyperlink r:id="rId123">
              <w:r>
                <w:rPr>
                  <w:rFonts w:ascii="Arial" w:cs="Arial" w:eastAsia="Arial" w:hAnsi="Arial"/>
                  <w:sz w:val="13"/>
                  <w:szCs w:val="13"/>
                  <w:color w:val="0000FF"/>
                  <w:w w:val="97"/>
                </w:rPr>
                <w:t>Current Report on Form 8-K (File No. 001-41196) filed with the Securities and Exchange Commission on December 30, 2021).</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180" w:type="dxa"/>
            <w:vAlign w:val="bottom"/>
          </w:tcPr>
          <w:p>
            <w:pPr>
              <w:jc w:val="center"/>
              <w:spacing w:after="0"/>
              <w:rPr>
                <w:rFonts w:ascii="Arial" w:cs="Arial" w:eastAsia="Arial" w:hAnsi="Arial"/>
                <w:sz w:val="13"/>
                <w:szCs w:val="13"/>
                <w:color w:val="0000FF"/>
                <w:w w:val="99"/>
              </w:rPr>
            </w:pPr>
            <w:hyperlink r:id="rId12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180" w:type="dxa"/>
            <w:vAlign w:val="bottom"/>
            <w:gridSpan w:val="111"/>
          </w:tcPr>
          <w:p>
            <w:pPr>
              <w:spacing w:after="0"/>
              <w:rPr>
                <w:rFonts w:ascii="Arial" w:cs="Arial" w:eastAsia="Arial" w:hAnsi="Arial"/>
                <w:sz w:val="13"/>
                <w:szCs w:val="13"/>
                <w:color w:val="0000FF"/>
                <w:w w:val="99"/>
              </w:rPr>
            </w:pPr>
            <w:hyperlink r:id="rId124">
              <w:r>
                <w:rPr>
                  <w:rFonts w:ascii="Arial" w:cs="Arial" w:eastAsia="Arial" w:hAnsi="Arial"/>
                  <w:sz w:val="13"/>
                  <w:szCs w:val="13"/>
                  <w:color w:val="0000FF"/>
                  <w:w w:val="99"/>
                </w:rPr>
                <w:t>Side Letter Agreement, dated December 30, 2021, between USCB Financial Holdings, Inc., U.S. Century Bank, Priam Capital</w:t>
              </w:r>
            </w:hyperlink>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40" w:type="dxa"/>
            <w:vAlign w:val="bottom"/>
            <w:tcBorders>
              <w:top w:val="single" w:sz="8" w:color="0000FF"/>
              <w:bottom w:val="single" w:sz="8" w:color="0000FF"/>
            </w:tcBorders>
            <w:gridSpan w:val="109"/>
          </w:tcPr>
          <w:p>
            <w:pPr>
              <w:spacing w:after="0" w:line="129" w:lineRule="exact"/>
              <w:rPr>
                <w:rFonts w:ascii="Arial" w:cs="Arial" w:eastAsia="Arial" w:hAnsi="Arial"/>
                <w:sz w:val="13"/>
                <w:szCs w:val="13"/>
                <w:color w:val="0000FF"/>
                <w:w w:val="96"/>
              </w:rPr>
            </w:pPr>
            <w:hyperlink r:id="rId124">
              <w:r>
                <w:rPr>
                  <w:rFonts w:ascii="Arial" w:cs="Arial" w:eastAsia="Arial" w:hAnsi="Arial"/>
                  <w:sz w:val="13"/>
                  <w:szCs w:val="13"/>
                  <w:color w:val="0000FF"/>
                  <w:w w:val="96"/>
                </w:rPr>
                <w:t>Fund II, LP, Patriot Financial Partners II, L.P. and Patriot Financial Partners Parallel II, L.P. (incorporated by reference to Exhibit</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24">
              <w:r>
                <w:rPr>
                  <w:rFonts w:ascii="Arial" w:cs="Arial" w:eastAsia="Arial" w:hAnsi="Arial"/>
                  <w:sz w:val="13"/>
                  <w:szCs w:val="13"/>
                  <w:color w:val="0000FF"/>
                </w:rPr>
                <w:t>4.</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Registrant’s Current Report on Form 8-K (File No. 001-41196) filed with the Securities and Exchange Commission</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19"/>
          </w:tcPr>
          <w:p>
            <w:pPr>
              <w:spacing w:after="0" w:line="129" w:lineRule="exact"/>
              <w:rPr>
                <w:rFonts w:ascii="Arial" w:cs="Arial" w:eastAsia="Arial" w:hAnsi="Arial"/>
                <w:sz w:val="13"/>
                <w:szCs w:val="13"/>
                <w:color w:val="0000FF"/>
                <w:w w:val="96"/>
              </w:rPr>
            </w:pPr>
            <w:hyperlink r:id="rId124">
              <w:r>
                <w:rPr>
                  <w:rFonts w:ascii="Arial" w:cs="Arial" w:eastAsia="Arial" w:hAnsi="Arial"/>
                  <w:sz w:val="13"/>
                  <w:szCs w:val="13"/>
                  <w:color w:val="0000FF"/>
                  <w:w w:val="96"/>
                </w:rPr>
                <w:t>on December 30, 2021).</w:t>
              </w:r>
            </w:hyperlink>
          </w:p>
        </w:tc>
        <w:tc>
          <w:tcPr>
            <w:tcW w:w="5800" w:type="dxa"/>
            <w:vAlign w:val="bottom"/>
            <w:gridSpan w:val="9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jc w:val="center"/>
              <w:spacing w:after="0" w:line="129" w:lineRule="exact"/>
              <w:rPr>
                <w:rFonts w:ascii="Arial" w:cs="Arial" w:eastAsia="Arial" w:hAnsi="Arial"/>
                <w:sz w:val="13"/>
                <w:szCs w:val="13"/>
                <w:color w:val="0000FF"/>
                <w:w w:val="99"/>
              </w:rPr>
            </w:pPr>
            <w:hyperlink r:id="rId12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29" w:lineRule="exact"/>
              <w:rPr>
                <w:rFonts w:ascii="Arial" w:cs="Arial" w:eastAsia="Arial" w:hAnsi="Arial"/>
                <w:sz w:val="13"/>
                <w:szCs w:val="13"/>
                <w:color w:val="0000FF"/>
                <w:w w:val="98"/>
              </w:rPr>
            </w:pPr>
            <w:hyperlink r:id="rId125">
              <w:r>
                <w:rPr>
                  <w:rFonts w:ascii="Arial" w:cs="Arial" w:eastAsia="Arial" w:hAnsi="Arial"/>
                  <w:sz w:val="13"/>
                  <w:szCs w:val="13"/>
                  <w:color w:val="0000FF"/>
                  <w:w w:val="98"/>
                </w:rPr>
                <w:t>Registration Rights Agreement, dated March 17, 2015, between U.S.Century Bank, Priam Capital Fund II, LP, Patriot Financial</w:t>
              </w:r>
            </w:hyperlink>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40" w:type="dxa"/>
            <w:vAlign w:val="bottom"/>
            <w:tcBorders>
              <w:top w:val="single" w:sz="8" w:color="0000FF"/>
            </w:tcBorders>
            <w:gridSpan w:val="109"/>
          </w:tcPr>
          <w:p>
            <w:pPr>
              <w:spacing w:after="0" w:line="129" w:lineRule="exact"/>
              <w:rPr>
                <w:rFonts w:ascii="Arial" w:cs="Arial" w:eastAsia="Arial" w:hAnsi="Arial"/>
                <w:sz w:val="13"/>
                <w:szCs w:val="13"/>
                <w:color w:val="0000FF"/>
                <w:w w:val="98"/>
              </w:rPr>
            </w:pPr>
            <w:hyperlink r:id="rId125">
              <w:r>
                <w:rPr>
                  <w:rFonts w:ascii="Arial" w:cs="Arial" w:eastAsia="Arial" w:hAnsi="Arial"/>
                  <w:sz w:val="13"/>
                  <w:szCs w:val="13"/>
                  <w:color w:val="0000FF"/>
                  <w:w w:val="98"/>
                </w:rPr>
                <w:t>Partners II, L.P., Patriot Financial Partners Parallel II, L.P., and certain other shareholders of U.S. Century Bank (incorporated</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29" w:lineRule="exact"/>
              <w:rPr>
                <w:rFonts w:ascii="Arial" w:cs="Arial" w:eastAsia="Arial" w:hAnsi="Arial"/>
                <w:sz w:val="13"/>
                <w:szCs w:val="13"/>
                <w:color w:val="0000FF"/>
              </w:rPr>
            </w:pPr>
            <w:hyperlink r:id="rId125">
              <w:r>
                <w:rPr>
                  <w:rFonts w:ascii="Arial" w:cs="Arial" w:eastAsia="Arial" w:hAnsi="Arial"/>
                  <w:sz w:val="13"/>
                  <w:szCs w:val="13"/>
                  <w:color w:val="0000FF"/>
                </w:rPr>
                <w:t>by reference to Exhibit 4.2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25">
              <w:r>
                <w:rPr>
                  <w:rFonts w:ascii="Arial" w:cs="Arial" w:eastAsia="Arial" w:hAnsi="Arial"/>
                  <w:sz w:val="13"/>
                  <w:szCs w:val="13"/>
                  <w:color w:val="0000FF"/>
                </w:rPr>
                <w:t>Exchange Commission on December 30, 2021).</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460" w:type="dxa"/>
            <w:vAlign w:val="bottom"/>
            <w:gridSpan w:val="7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jc w:val="center"/>
              <w:spacing w:after="0" w:line="129" w:lineRule="exact"/>
              <w:rPr>
                <w:rFonts w:ascii="Arial" w:cs="Arial" w:eastAsia="Arial" w:hAnsi="Arial"/>
                <w:sz w:val="13"/>
                <w:szCs w:val="13"/>
                <w:color w:val="0000FF"/>
                <w:w w:val="99"/>
              </w:rPr>
            </w:pPr>
            <w:hyperlink r:id="rId12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29" w:lineRule="exact"/>
              <w:rPr>
                <w:rFonts w:ascii="Arial" w:cs="Arial" w:eastAsia="Arial" w:hAnsi="Arial"/>
                <w:sz w:val="13"/>
                <w:szCs w:val="13"/>
                <w:color w:val="0000FF"/>
              </w:rPr>
            </w:pPr>
            <w:hyperlink r:id="rId126">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29" w:lineRule="exact"/>
              <w:rPr>
                <w:rFonts w:ascii="Arial" w:cs="Arial" w:eastAsia="Arial" w:hAnsi="Arial"/>
                <w:sz w:val="13"/>
                <w:szCs w:val="13"/>
                <w:color w:val="0000FF"/>
              </w:rPr>
            </w:pPr>
            <w:hyperlink r:id="rId126">
              <w:r>
                <w:rPr>
                  <w:rFonts w:ascii="Arial" w:cs="Arial" w:eastAsia="Arial" w:hAnsi="Arial"/>
                  <w:sz w:val="13"/>
                  <w:szCs w:val="13"/>
                  <w:color w:val="0000FF"/>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20" w:type="dxa"/>
            <w:vAlign w:val="bottom"/>
            <w:tcBorders>
              <w:bottom w:val="single" w:sz="8" w:color="0000FF"/>
            </w:tcBorders>
            <w:gridSpan w:val="62"/>
          </w:tcPr>
          <w:p>
            <w:pPr>
              <w:spacing w:after="0" w:line="129" w:lineRule="exact"/>
              <w:rPr>
                <w:rFonts w:ascii="Arial" w:cs="Arial" w:eastAsia="Arial" w:hAnsi="Arial"/>
                <w:sz w:val="13"/>
                <w:szCs w:val="13"/>
                <w:color w:val="0000FF"/>
                <w:w w:val="98"/>
              </w:rPr>
            </w:pPr>
            <w:hyperlink r:id="rId126">
              <w:r>
                <w:rPr>
                  <w:rFonts w:ascii="Arial" w:cs="Arial" w:eastAsia="Arial" w:hAnsi="Arial"/>
                  <w:sz w:val="13"/>
                  <w:szCs w:val="13"/>
                  <w:color w:val="0000FF"/>
                  <w:w w:val="98"/>
                </w:rPr>
                <w:t>filed with the Securities and Exchange Commission on December 30, 2021).</w:t>
              </w:r>
            </w:hyperlink>
          </w:p>
        </w:tc>
        <w:tc>
          <w:tcPr>
            <w:tcW w:w="2860" w:type="dxa"/>
            <w:vAlign w:val="bottom"/>
            <w:gridSpan w:val="49"/>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12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27">
              <w:r>
                <w:rPr>
                  <w:rFonts w:ascii="Arial" w:cs="Arial" w:eastAsia="Arial" w:hAnsi="Arial"/>
                  <w:sz w:val="13"/>
                  <w:szCs w:val="13"/>
                  <w:color w:val="0000FF"/>
                </w:rPr>
                <w:t>Description of USCB Financial Holdings, Inc.’s securities (incorporated by reference to Exhibit 4.4 to the</w:t>
              </w:r>
            </w:hyperlink>
          </w:p>
        </w:tc>
        <w:tc>
          <w:tcPr>
            <w:tcW w:w="0" w:type="dxa"/>
            <w:vAlign w:val="bottom"/>
          </w:tcPr>
          <w:p>
            <w:pPr>
              <w:spacing w:after="0"/>
              <w:rPr>
                <w:sz w:val="1"/>
                <w:szCs w:val="1"/>
                <w:color w:val="auto"/>
              </w:rPr>
            </w:pPr>
          </w:p>
        </w:tc>
      </w:tr>
      <w:tr>
        <w:trPr>
          <w:trHeight w:val="21"/>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7"/>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9" w:lineRule="exact"/>
              <w:rPr>
                <w:rFonts w:ascii="Arial" w:cs="Arial" w:eastAsia="Arial" w:hAnsi="Arial"/>
                <w:sz w:val="14"/>
                <w:szCs w:val="14"/>
                <w:color w:val="0000FF"/>
              </w:rPr>
            </w:pPr>
            <w:hyperlink r:id="rId127">
              <w:r>
                <w:rPr>
                  <w:rFonts w:ascii="Arial" w:cs="Arial" w:eastAsia="Arial" w:hAnsi="Arial"/>
                  <w:sz w:val="14"/>
                  <w:szCs w:val="14"/>
                  <w:color w:val="0000FF"/>
                </w:rPr>
                <w:t>Registrant’s Annual Report on Form 10-K for the year ended December 1, 2021 (File No. 001-41196) filed with</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rFonts w:ascii="Arial" w:cs="Arial" w:eastAsia="Arial" w:hAnsi="Arial"/>
                <w:sz w:val="14"/>
                <w:szCs w:val="14"/>
                <w:color w:val="0000FF"/>
              </w:rPr>
            </w:pPr>
            <w:hyperlink r:id="rId127">
              <w:r>
                <w:rPr>
                  <w:rFonts w:ascii="Arial" w:cs="Arial" w:eastAsia="Arial" w:hAnsi="Arial"/>
                  <w:sz w:val="14"/>
                  <w:szCs w:val="14"/>
                  <w:color w:val="0000FF"/>
                </w:rPr>
                <w:t>the Securities and Exchange Commission on March 24, 2022).</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4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rFonts w:ascii="Arial" w:cs="Arial" w:eastAsia="Arial" w:hAnsi="Arial"/>
                <w:sz w:val="13"/>
                <w:szCs w:val="13"/>
                <w:color w:val="0000FF"/>
                <w:w w:val="94"/>
              </w:rPr>
            </w:pPr>
            <w:hyperlink r:id="rId128">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rFonts w:ascii="Arial" w:cs="Arial" w:eastAsia="Arial" w:hAnsi="Arial"/>
                <w:sz w:val="13"/>
                <w:szCs w:val="13"/>
                <w:color w:val="0000FF"/>
              </w:rPr>
            </w:pPr>
            <w:hyperlink r:id="rId128">
              <w:r>
                <w:rPr>
                  <w:rFonts w:ascii="Arial" w:cs="Arial" w:eastAsia="Arial" w:hAnsi="Arial"/>
                  <w:sz w:val="13"/>
                  <w:szCs w:val="13"/>
                  <w:color w:val="0000FF"/>
                </w:rPr>
                <w:t>U.S. Century Bank Amended and Restated 2015 Equity Incentive Plan (incorporated by reference to Exhibit 10.1 to the</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1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28">
              <w:r>
                <w:rPr>
                  <w:rFonts w:ascii="Arial" w:cs="Arial" w:eastAsia="Arial" w:hAnsi="Arial"/>
                  <w:sz w:val="13"/>
                  <w:szCs w:val="13"/>
                  <w:color w:val="0000FF"/>
                </w:rPr>
                <w:t>Registrant’s Current Report on Form 8-K (File No. 001-41196) filed with the Securities and Exchange Commission on</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gridSpan w:val="3"/>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0000FF"/>
            </w:tcBorders>
            <w:gridSpan w:val="14"/>
          </w:tcPr>
          <w:p>
            <w:pPr>
              <w:spacing w:after="0" w:line="129" w:lineRule="exact"/>
              <w:rPr>
                <w:rFonts w:ascii="Arial" w:cs="Arial" w:eastAsia="Arial" w:hAnsi="Arial"/>
                <w:sz w:val="13"/>
                <w:szCs w:val="13"/>
                <w:color w:val="0000FF"/>
                <w:w w:val="94"/>
              </w:rPr>
            </w:pPr>
            <w:hyperlink r:id="rId128">
              <w:r>
                <w:rPr>
                  <w:rFonts w:ascii="Arial" w:cs="Arial" w:eastAsia="Arial" w:hAnsi="Arial"/>
                  <w:sz w:val="13"/>
                  <w:szCs w:val="13"/>
                  <w:color w:val="0000FF"/>
                  <w:w w:val="94"/>
                </w:rPr>
                <w:t>December 30, 2021).</w:t>
              </w:r>
            </w:hyperlink>
          </w:p>
        </w:tc>
        <w:tc>
          <w:tcPr>
            <w:tcW w:w="5980" w:type="dxa"/>
            <w:vAlign w:val="bottom"/>
            <w:gridSpan w:val="97"/>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80" w:type="dxa"/>
            <w:vAlign w:val="bottom"/>
            <w:gridSpan w:val="2"/>
          </w:tcPr>
          <w:p>
            <w:pPr>
              <w:jc w:val="center"/>
              <w:ind w:left="175"/>
              <w:spacing w:after="0" w:line="119" w:lineRule="exact"/>
              <w:rPr>
                <w:rFonts w:ascii="Arial" w:cs="Arial" w:eastAsia="Arial" w:hAnsi="Arial"/>
                <w:sz w:val="13"/>
                <w:szCs w:val="13"/>
                <w:color w:val="0000FF"/>
                <w:w w:val="94"/>
              </w:rPr>
            </w:pPr>
            <w:hyperlink r:id="rId129">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29">
              <w:r>
                <w:rPr>
                  <w:rFonts w:ascii="Arial" w:cs="Arial" w:eastAsia="Arial" w:hAnsi="Arial"/>
                  <w:sz w:val="13"/>
                  <w:szCs w:val="13"/>
                  <w:color w:val="0000FF"/>
                </w:rPr>
                <w:t>Amended and Restated Employment Agreement by and among USCB Financial Holdings, Inc., U.S. Century Bank</w:t>
              </w:r>
            </w:hyperlink>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60" w:type="dxa"/>
            <w:vAlign w:val="bottom"/>
            <w:tcBorders>
              <w:top w:val="single" w:sz="8" w:color="0000FF"/>
              <w:bottom w:val="single" w:sz="8" w:color="0000FF"/>
            </w:tcBorders>
            <w:gridSpan w:val="108"/>
          </w:tcPr>
          <w:p>
            <w:pPr>
              <w:spacing w:after="0" w:line="149" w:lineRule="exact"/>
              <w:rPr>
                <w:rFonts w:ascii="Arial" w:cs="Arial" w:eastAsia="Arial" w:hAnsi="Arial"/>
                <w:sz w:val="14"/>
                <w:szCs w:val="14"/>
                <w:color w:val="0000FF"/>
                <w:w w:val="99"/>
              </w:rPr>
            </w:pPr>
            <w:hyperlink r:id="rId129">
              <w:r>
                <w:rPr>
                  <w:rFonts w:ascii="Arial" w:cs="Arial" w:eastAsia="Arial" w:hAnsi="Arial"/>
                  <w:sz w:val="14"/>
                  <w:szCs w:val="14"/>
                  <w:color w:val="0000FF"/>
                  <w:w w:val="99"/>
                </w:rPr>
                <w:t>and Luis de la Aguilera dated as of January 29, 2023 (incorporated by reference to Exhibit 10.2 to the Registrant’s</w:t>
              </w:r>
            </w:hyperlink>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11"/>
          </w:tcPr>
          <w:p>
            <w:pPr>
              <w:spacing w:after="0" w:line="151" w:lineRule="exact"/>
              <w:rPr>
                <w:rFonts w:ascii="Arial" w:cs="Arial" w:eastAsia="Arial" w:hAnsi="Arial"/>
                <w:sz w:val="14"/>
                <w:szCs w:val="14"/>
                <w:color w:val="0000FF"/>
              </w:rPr>
            </w:pPr>
            <w:hyperlink r:id="rId129">
              <w:r>
                <w:rPr>
                  <w:rFonts w:ascii="Arial" w:cs="Arial" w:eastAsia="Arial" w:hAnsi="Arial"/>
                  <w:sz w:val="14"/>
                  <w:szCs w:val="14"/>
                  <w:color w:val="0000FF"/>
                </w:rPr>
                <w:t>Current Report on Form 8-K dated as of January 29, 2023 (File No. 001-41196) filed with the Securities and</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1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Borders>
              <w:bottom w:val="single" w:sz="8" w:color="0000FF"/>
            </w:tcBorders>
            <w:gridSpan w:val="42"/>
          </w:tcPr>
          <w:p>
            <w:pPr>
              <w:spacing w:after="0" w:line="140" w:lineRule="exact"/>
              <w:rPr>
                <w:rFonts w:ascii="Arial" w:cs="Arial" w:eastAsia="Arial" w:hAnsi="Arial"/>
                <w:sz w:val="14"/>
                <w:szCs w:val="14"/>
                <w:color w:val="0000FF"/>
              </w:rPr>
            </w:pPr>
            <w:hyperlink r:id="rId129">
              <w:r>
                <w:rPr>
                  <w:rFonts w:ascii="Arial" w:cs="Arial" w:eastAsia="Arial" w:hAnsi="Arial"/>
                  <w:sz w:val="14"/>
                  <w:szCs w:val="14"/>
                  <w:color w:val="0000FF"/>
                </w:rPr>
                <w:t>Exchange Commission on February 1, 2023).*</w:t>
              </w:r>
            </w:hyperlink>
          </w:p>
        </w:tc>
        <w:tc>
          <w:tcPr>
            <w:tcW w:w="4240" w:type="dxa"/>
            <w:vAlign w:val="bottom"/>
            <w:gridSpan w:val="69"/>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 w:type="dxa"/>
            <w:vAlign w:val="bottom"/>
            <w:gridSpan w:val="2"/>
          </w:tcPr>
          <w:p>
            <w:pPr>
              <w:jc w:val="center"/>
              <w:ind w:left="175"/>
              <w:spacing w:after="0" w:line="119" w:lineRule="exact"/>
              <w:rPr>
                <w:rFonts w:ascii="Arial" w:cs="Arial" w:eastAsia="Arial" w:hAnsi="Arial"/>
                <w:sz w:val="13"/>
                <w:szCs w:val="13"/>
                <w:color w:val="0000FF"/>
                <w:w w:val="94"/>
              </w:rPr>
            </w:pPr>
            <w:hyperlink r:id="rId130">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1"/>
          </w:tcPr>
          <w:p>
            <w:pPr>
              <w:spacing w:after="0" w:line="119" w:lineRule="exact"/>
              <w:rPr>
                <w:rFonts w:ascii="Arial" w:cs="Arial" w:eastAsia="Arial" w:hAnsi="Arial"/>
                <w:sz w:val="13"/>
                <w:szCs w:val="13"/>
                <w:color w:val="0000FF"/>
              </w:rPr>
            </w:pPr>
            <w:hyperlink r:id="rId130">
              <w:r>
                <w:rPr>
                  <w:rFonts w:ascii="Arial" w:cs="Arial" w:eastAsia="Arial" w:hAnsi="Arial"/>
                  <w:sz w:val="13"/>
                  <w:szCs w:val="13"/>
                  <w:color w:val="0000FF"/>
                </w:rPr>
                <w:t>Amended and Restated Employment Agreement by and among USCB Financial Holdings, Inc., U.S. Century Bank</w:t>
              </w:r>
            </w:hyperlink>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60" w:type="dxa"/>
            <w:vAlign w:val="bottom"/>
            <w:tcBorders>
              <w:top w:val="single" w:sz="8" w:color="0000FF"/>
            </w:tcBorders>
            <w:gridSpan w:val="108"/>
          </w:tcPr>
          <w:p>
            <w:pPr>
              <w:spacing w:after="0"/>
              <w:rPr>
                <w:rFonts w:ascii="Arial" w:cs="Arial" w:eastAsia="Arial" w:hAnsi="Arial"/>
                <w:sz w:val="14"/>
                <w:szCs w:val="14"/>
                <w:color w:val="0000FF"/>
              </w:rPr>
            </w:pPr>
            <w:hyperlink r:id="rId130">
              <w:r>
                <w:rPr>
                  <w:rFonts w:ascii="Arial" w:cs="Arial" w:eastAsia="Arial" w:hAnsi="Arial"/>
                  <w:sz w:val="14"/>
                  <w:szCs w:val="14"/>
                  <w:color w:val="0000FF"/>
                </w:rPr>
                <w:t>and Robert Anderson dated as of January 29, 2023 (incorporated by reference to Exhibit 10.1 to the Registrant’s</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10"/>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rFonts w:ascii="Arial" w:cs="Arial" w:eastAsia="Arial" w:hAnsi="Arial"/>
                <w:sz w:val="14"/>
                <w:szCs w:val="14"/>
                <w:color w:val="0000FF"/>
              </w:rPr>
            </w:pPr>
            <w:hyperlink r:id="rId130">
              <w:r>
                <w:rPr>
                  <w:rFonts w:ascii="Arial" w:cs="Arial" w:eastAsia="Arial" w:hAnsi="Arial"/>
                  <w:sz w:val="14"/>
                  <w:szCs w:val="14"/>
                  <w:color w:val="0000FF"/>
                </w:rPr>
                <w:t>Current Report on Form 8-K dated as of January 29, 2023 (File No. 001-41196) filed with the Securities and</w:t>
              </w:r>
            </w:hyperlink>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gridSpan w:val="7"/>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1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Borders>
              <w:bottom w:val="single" w:sz="8" w:color="0000FF"/>
            </w:tcBorders>
            <w:gridSpan w:val="42"/>
          </w:tcPr>
          <w:p>
            <w:pPr>
              <w:spacing w:after="0" w:line="140" w:lineRule="exact"/>
              <w:rPr>
                <w:rFonts w:ascii="Arial" w:cs="Arial" w:eastAsia="Arial" w:hAnsi="Arial"/>
                <w:sz w:val="14"/>
                <w:szCs w:val="14"/>
                <w:color w:val="0000FF"/>
              </w:rPr>
            </w:pPr>
            <w:hyperlink r:id="rId130">
              <w:r>
                <w:rPr>
                  <w:rFonts w:ascii="Arial" w:cs="Arial" w:eastAsia="Arial" w:hAnsi="Arial"/>
                  <w:sz w:val="14"/>
                  <w:szCs w:val="14"/>
                  <w:color w:val="0000FF"/>
                </w:rPr>
                <w:t>Exchange Commission on February 1, 2023).*</w:t>
              </w:r>
            </w:hyperlink>
          </w:p>
        </w:tc>
        <w:tc>
          <w:tcPr>
            <w:tcW w:w="4240" w:type="dxa"/>
            <w:vAlign w:val="bottom"/>
            <w:gridSpan w:val="69"/>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 w:type="dxa"/>
            <w:vAlign w:val="bottom"/>
            <w:gridSpan w:val="2"/>
          </w:tcPr>
          <w:p>
            <w:pPr>
              <w:jc w:val="center"/>
              <w:ind w:left="175"/>
              <w:spacing w:after="0" w:line="129" w:lineRule="exact"/>
              <w:rPr>
                <w:rFonts w:ascii="Arial" w:cs="Arial" w:eastAsia="Arial" w:hAnsi="Arial"/>
                <w:sz w:val="13"/>
                <w:szCs w:val="13"/>
                <w:color w:val="0000FF"/>
                <w:w w:val="94"/>
              </w:rPr>
            </w:pPr>
            <w:hyperlink r:id="rId131">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4</w:t>
              </w:r>
            </w:hyperlink>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Change in Control Agreement between U.S. Century Bank and Benigno Pazos dated August 2, 2019 (incorporated</w:t>
              </w:r>
            </w:hyperlink>
          </w:p>
        </w:tc>
        <w:tc>
          <w:tcPr>
            <w:tcW w:w="0" w:type="dxa"/>
            <w:vAlign w:val="bottom"/>
          </w:tcPr>
          <w:p>
            <w:pPr>
              <w:spacing w:after="0"/>
              <w:rPr>
                <w:sz w:val="1"/>
                <w:szCs w:val="1"/>
                <w:color w:val="auto"/>
              </w:rPr>
            </w:pPr>
          </w:p>
        </w:tc>
      </w:tr>
      <w:tr>
        <w:trPr>
          <w:trHeight w:val="21"/>
        </w:trPr>
        <w:tc>
          <w:tcPr>
            <w:tcW w:w="300" w:type="dxa"/>
            <w:vAlign w:val="bottom"/>
            <w:tcBorders>
              <w:right w:val="single" w:sz="8" w:color="0000FF"/>
            </w:tcBorders>
          </w:tcPr>
          <w:p>
            <w:pPr>
              <w:spacing w:after="0" w:line="20" w:lineRule="exact"/>
              <w:rPr>
                <w:sz w:val="1"/>
                <w:szCs w:val="1"/>
                <w:color w:val="auto"/>
              </w:rPr>
            </w:pPr>
          </w:p>
        </w:tc>
        <w:tc>
          <w:tcPr>
            <w:tcW w:w="11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9" w:lineRule="exact"/>
              <w:rPr>
                <w:rFonts w:ascii="Arial" w:cs="Arial" w:eastAsia="Arial" w:hAnsi="Arial"/>
                <w:sz w:val="14"/>
                <w:szCs w:val="14"/>
                <w:color w:val="0000FF"/>
              </w:rPr>
            </w:pPr>
            <w:hyperlink r:id="rId131">
              <w:r>
                <w:rPr>
                  <w:rFonts w:ascii="Arial" w:cs="Arial" w:eastAsia="Arial" w:hAnsi="Arial"/>
                  <w:sz w:val="14"/>
                  <w:szCs w:val="14"/>
                  <w:color w:val="0000FF"/>
                </w:rPr>
                <w:t>by reference to Exhibit 10.6 to the Registrant’s Annual Report on Form 10-K for the year ended December 1, 2021</w:t>
              </w:r>
            </w:hyperlink>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60" w:type="dxa"/>
            <w:vAlign w:val="bottom"/>
            <w:tcBorders>
              <w:top w:val="single" w:sz="8" w:color="0000FF"/>
            </w:tcBorders>
            <w:gridSpan w:val="108"/>
          </w:tcPr>
          <w:p>
            <w:pPr>
              <w:spacing w:after="0" w:line="140" w:lineRule="exact"/>
              <w:rPr>
                <w:rFonts w:ascii="Arial" w:cs="Arial" w:eastAsia="Arial" w:hAnsi="Arial"/>
                <w:sz w:val="14"/>
                <w:szCs w:val="14"/>
                <w:color w:val="0000FF"/>
              </w:rPr>
            </w:pPr>
            <w:hyperlink r:id="rId131">
              <w:r>
                <w:rPr>
                  <w:rFonts w:ascii="Arial" w:cs="Arial" w:eastAsia="Arial" w:hAnsi="Arial"/>
                  <w:sz w:val="14"/>
                  <w:szCs w:val="14"/>
                  <w:color w:val="0000FF"/>
                </w:rPr>
                <w:t>(File No. 001-41196) filed with the Securities and Exchange Commission on March 24, 2022).*</w:t>
              </w:r>
            </w:hyperlink>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10"/>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0" w:type="dxa"/>
            <w:vAlign w:val="bottom"/>
            <w:gridSpan w:val="3"/>
          </w:tcPr>
          <w:p>
            <w:pPr>
              <w:jc w:val="center"/>
              <w:spacing w:after="0"/>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80" w:type="dxa"/>
            <w:vAlign w:val="bottom"/>
            <w:gridSpan w:val="111"/>
          </w:tcPr>
          <w:p>
            <w:pPr>
              <w:spacing w:after="0"/>
              <w:rPr>
                <w:sz w:val="20"/>
                <w:szCs w:val="20"/>
                <w:color w:val="auto"/>
              </w:rPr>
            </w:pPr>
            <w:r>
              <w:rPr>
                <w:rFonts w:ascii="Arial" w:cs="Arial" w:eastAsia="Arial" w:hAnsi="Arial"/>
                <w:sz w:val="14"/>
                <w:szCs w:val="14"/>
                <w:color w:val="0000FF"/>
              </w:rPr>
              <w:t>Employment Agreement between U.S. Century Bank and Jalal “Jay” Shehadeh dated as of September 28,</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5"/>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240" w:type="dxa"/>
            <w:vAlign w:val="bottom"/>
            <w:gridSpan w:val="116"/>
          </w:tcPr>
          <w:p>
            <w:pPr>
              <w:spacing w:after="0"/>
              <w:rPr>
                <w:sz w:val="20"/>
                <w:szCs w:val="20"/>
                <w:color w:val="auto"/>
              </w:rPr>
            </w:pPr>
            <w:r>
              <w:rPr>
                <w:rFonts w:ascii="Arial" w:cs="Arial" w:eastAsia="Arial" w:hAnsi="Arial"/>
                <w:sz w:val="14"/>
                <w:szCs w:val="14"/>
                <w:color w:val="0000FF"/>
              </w:rPr>
              <w:t>2020.</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19"/>
          </w:tcPr>
          <w:p>
            <w:pPr>
              <w:spacing w:after="0" w:line="20" w:lineRule="exact"/>
              <w:rPr>
                <w:sz w:val="1"/>
                <w:szCs w:val="1"/>
                <w:color w:val="auto"/>
              </w:rPr>
            </w:pPr>
          </w:p>
        </w:tc>
        <w:tc>
          <w:tcPr>
            <w:tcW w:w="1520" w:type="dxa"/>
            <w:vAlign w:val="bottom"/>
            <w:gridSpan w:val="2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gridSpan w:val="27"/>
          </w:tcPr>
          <w:p>
            <w:pPr>
              <w:spacing w:after="0" w:line="20" w:lineRule="exact"/>
              <w:rPr>
                <w:sz w:val="1"/>
                <w:szCs w:val="1"/>
                <w:color w:val="auto"/>
              </w:rPr>
            </w:pPr>
          </w:p>
        </w:tc>
        <w:tc>
          <w:tcPr>
            <w:tcW w:w="122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sz w:val="20"/>
                <w:szCs w:val="20"/>
                <w:color w:val="auto"/>
              </w:rPr>
            </w:pPr>
            <w:r>
              <w:rPr>
                <w:rFonts w:ascii="Arial" w:cs="Arial" w:eastAsia="Arial" w:hAnsi="Arial"/>
                <w:sz w:val="13"/>
                <w:szCs w:val="13"/>
                <w:color w:val="0000FF"/>
              </w:rPr>
              <w:t>Subsidiaries of USCB Financial Holdings, Inc.</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right w:val="single" w:sz="8" w:color="0000FF"/>
            </w:tcBorders>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19"/>
            <w:shd w:val="clear" w:color="auto" w:fill="0000FF"/>
          </w:tcPr>
          <w:p>
            <w:pPr>
              <w:spacing w:after="0" w:line="20" w:lineRule="exact"/>
              <w:rPr>
                <w:sz w:val="1"/>
                <w:szCs w:val="1"/>
                <w:color w:val="auto"/>
              </w:rPr>
            </w:pPr>
          </w:p>
        </w:tc>
        <w:tc>
          <w:tcPr>
            <w:tcW w:w="1520" w:type="dxa"/>
            <w:vAlign w:val="bottom"/>
            <w:gridSpan w:val="2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gridSpan w:val="27"/>
          </w:tcPr>
          <w:p>
            <w:pPr>
              <w:spacing w:after="0" w:line="20" w:lineRule="exact"/>
              <w:rPr>
                <w:sz w:val="1"/>
                <w:szCs w:val="1"/>
                <w:color w:val="auto"/>
              </w:rPr>
            </w:pPr>
          </w:p>
        </w:tc>
        <w:tc>
          <w:tcPr>
            <w:tcW w:w="122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sz w:val="20"/>
                <w:szCs w:val="20"/>
                <w:color w:val="auto"/>
              </w:rPr>
            </w:pPr>
            <w:r>
              <w:rPr>
                <w:rFonts w:ascii="Arial" w:cs="Arial" w:eastAsia="Arial" w:hAnsi="Arial"/>
                <w:sz w:val="13"/>
                <w:szCs w:val="13"/>
                <w:color w:val="0000FF"/>
              </w:rPr>
              <w:t>Consent of Crowe LLP, Independent Registered Public Accounting Firm.</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right w:val="single" w:sz="8" w:color="0000FF"/>
            </w:tcBorders>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41"/>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gridSpan w:val="27"/>
          </w:tcPr>
          <w:p>
            <w:pPr>
              <w:spacing w:after="0" w:line="20" w:lineRule="exact"/>
              <w:rPr>
                <w:sz w:val="1"/>
                <w:szCs w:val="1"/>
                <w:color w:val="auto"/>
              </w:rPr>
            </w:pPr>
          </w:p>
        </w:tc>
        <w:tc>
          <w:tcPr>
            <w:tcW w:w="122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1"/>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FF"/>
            </w:tcBorders>
            <w:gridSpan w:val="27"/>
            <w:shd w:val="clear" w:color="auto" w:fill="0000FF"/>
          </w:tcPr>
          <w:p>
            <w:pPr>
              <w:spacing w:after="0" w:line="20" w:lineRule="exact"/>
              <w:rPr>
                <w:sz w:val="1"/>
                <w:szCs w:val="1"/>
                <w:color w:val="auto"/>
              </w:rPr>
            </w:pPr>
          </w:p>
        </w:tc>
        <w:tc>
          <w:tcPr>
            <w:tcW w:w="1220" w:type="dxa"/>
            <w:vAlign w:val="bottom"/>
            <w:tcBorders>
              <w:left w:val="single" w:sz="8" w:color="0000FF"/>
            </w:tcBorders>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 w:type="dxa"/>
            <w:vAlign w:val="bottom"/>
            <w:gridSpan w:val="2"/>
          </w:tcPr>
          <w:p>
            <w:pPr>
              <w:jc w:val="center"/>
              <w:ind w:left="175"/>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11"/>
          </w:tcPr>
          <w:p>
            <w:pPr>
              <w:spacing w:after="0"/>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1"/>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FF"/>
            </w:tcBorders>
            <w:gridSpan w:val="27"/>
            <w:shd w:val="clear" w:color="auto" w:fill="0000FF"/>
          </w:tcPr>
          <w:p>
            <w:pPr>
              <w:spacing w:after="0" w:line="20" w:lineRule="exact"/>
              <w:rPr>
                <w:sz w:val="1"/>
                <w:szCs w:val="1"/>
                <w:color w:val="auto"/>
              </w:rPr>
            </w:pPr>
          </w:p>
        </w:tc>
        <w:tc>
          <w:tcPr>
            <w:tcW w:w="122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1"/>
            <w:shd w:val="clear" w:color="auto" w:fill="0000FF"/>
          </w:tcPr>
          <w:p>
            <w:pPr>
              <w:spacing w:after="0" w:line="20" w:lineRule="exact"/>
              <w:rPr>
                <w:sz w:val="1"/>
                <w:szCs w:val="1"/>
                <w:color w:val="auto"/>
              </w:rPr>
            </w:pPr>
          </w:p>
        </w:tc>
        <w:tc>
          <w:tcPr>
            <w:tcW w:w="2980" w:type="dxa"/>
            <w:vAlign w:val="bottom"/>
            <w:tcBorders>
              <w:left w:val="single" w:sz="8" w:color="0000FF"/>
            </w:tcBorders>
            <w:gridSpan w:val="5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2"/>
          </w:tcPr>
          <w:p>
            <w:pPr>
              <w:jc w:val="center"/>
              <w:ind w:left="175"/>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1"/>
            <w:shd w:val="clear" w:color="auto" w:fill="0000FF"/>
          </w:tcPr>
          <w:p>
            <w:pPr>
              <w:spacing w:after="0" w:line="20" w:lineRule="exact"/>
              <w:rPr>
                <w:sz w:val="1"/>
                <w:szCs w:val="1"/>
                <w:color w:val="auto"/>
              </w:rPr>
            </w:pPr>
          </w:p>
        </w:tc>
        <w:tc>
          <w:tcPr>
            <w:tcW w:w="2980" w:type="dxa"/>
            <w:vAlign w:val="bottom"/>
            <w:gridSpan w:val="5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80" w:type="dxa"/>
            <w:vAlign w:val="bottom"/>
            <w:gridSpan w:val="111"/>
          </w:tcPr>
          <w:p>
            <w:pPr>
              <w:spacing w:after="0"/>
              <w:rPr>
                <w:sz w:val="20"/>
                <w:szCs w:val="20"/>
                <w:color w:val="auto"/>
              </w:rPr>
            </w:pPr>
            <w:r>
              <w:rPr>
                <w:rFonts w:ascii="Arial" w:cs="Arial" w:eastAsia="Arial" w:hAnsi="Arial"/>
                <w:sz w:val="13"/>
                <w:szCs w:val="13"/>
                <w:color w:val="auto"/>
              </w:rPr>
              <w:t>The following financial statements from the Company’s Annual Report on Form 10-K for the year ended December 31, 2021,</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rPr>
                <w:sz w:val="20"/>
                <w:szCs w:val="20"/>
                <w:color w:val="auto"/>
              </w:rPr>
            </w:pPr>
            <w:r>
              <w:rPr>
                <w:rFonts w:ascii="Arial" w:cs="Arial" w:eastAsia="Arial" w:hAnsi="Arial"/>
                <w:sz w:val="13"/>
                <w:szCs w:val="13"/>
                <w:color w:val="auto"/>
              </w:rPr>
              <w:t>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rPr>
                <w:sz w:val="20"/>
                <w:szCs w:val="20"/>
                <w:color w:val="auto"/>
              </w:rPr>
            </w:pPr>
            <w:r>
              <w:rPr>
                <w:rFonts w:ascii="Arial" w:cs="Arial" w:eastAsia="Arial" w:hAnsi="Arial"/>
                <w:sz w:val="13"/>
                <w:szCs w:val="13"/>
                <w:color w:val="auto"/>
              </w:rPr>
              <w:t>Statements of Comprehensive Income, (iv) Consolidated Statements of Changes in Stockholders’ Equity, (v) Consolidated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1"/>
          </w:tcPr>
          <w:p>
            <w:pPr>
              <w:spacing w:after="0"/>
              <w:rPr>
                <w:sz w:val="20"/>
                <w:szCs w:val="20"/>
                <w:color w:val="auto"/>
              </w:rPr>
            </w:pPr>
            <w:r>
              <w:rPr>
                <w:rFonts w:ascii="Arial" w:cs="Arial" w:eastAsia="Arial" w:hAnsi="Arial"/>
                <w:sz w:val="13"/>
                <w:szCs w:val="13"/>
                <w:color w:val="auto"/>
              </w:rPr>
              <w:t>Statements of Cash Flows, (vi) Notes to Consolidated Financial Statements.</w:t>
            </w:r>
          </w:p>
        </w:tc>
        <w:tc>
          <w:tcPr>
            <w:tcW w:w="0" w:type="dxa"/>
            <w:vAlign w:val="bottom"/>
          </w:tcPr>
          <w:p>
            <w:pPr>
              <w:spacing w:after="0"/>
              <w:rPr>
                <w:sz w:val="1"/>
                <w:szCs w:val="1"/>
                <w:color w:val="auto"/>
              </w:rPr>
            </w:pPr>
          </w:p>
        </w:tc>
      </w:tr>
    </w:tbl>
    <w:p>
      <w:pPr>
        <w:ind w:left="1360" w:hanging="772"/>
        <w:spacing w:after="0"/>
        <w:tabs>
          <w:tab w:leader="none" w:pos="13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00" w:lineRule="exact"/>
        <w:rPr>
          <w:rFonts w:ascii="Arial" w:cs="Arial" w:eastAsia="Arial" w:hAnsi="Arial"/>
          <w:sz w:val="13"/>
          <w:szCs w:val="13"/>
          <w:color w:val="auto"/>
        </w:rPr>
      </w:pPr>
    </w:p>
    <w:p>
      <w:pPr>
        <w:spacing w:after="0" w:line="376"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3"/>
          <w:szCs w:val="13"/>
          <w:color w:val="auto"/>
        </w:rPr>
        <w:t>*  Management contract or compensatory plan or arrangement.</w:t>
      </w:r>
    </w:p>
    <w:p>
      <w:pPr>
        <w:spacing w:after="0" w:line="10" w:lineRule="exact"/>
        <w:rPr>
          <w:rFonts w:ascii="Arial" w:cs="Arial" w:eastAsia="Arial" w:hAnsi="Arial"/>
          <w:sz w:val="13"/>
          <w:szCs w:val="13"/>
          <w:color w:val="auto"/>
        </w:rPr>
      </w:pPr>
    </w:p>
    <w:p>
      <w:pPr>
        <w:ind w:left="1360" w:hanging="249"/>
        <w:spacing w:after="0"/>
        <w:tabs>
          <w:tab w:leader="none" w:pos="1360" w:val="left"/>
        </w:tabs>
        <w:numPr>
          <w:ilvl w:val="1"/>
          <w:numId w:val="55"/>
        </w:numPr>
        <w:rPr>
          <w:rFonts w:ascii="Arial" w:cs="Arial" w:eastAsia="Arial" w:hAnsi="Arial"/>
          <w:sz w:val="13"/>
          <w:szCs w:val="13"/>
          <w:color w:val="auto"/>
        </w:rPr>
      </w:pPr>
      <w:r>
        <w:rPr>
          <w:rFonts w:ascii="Arial" w:cs="Arial" w:eastAsia="Arial" w:hAnsi="Arial"/>
          <w:sz w:val="13"/>
          <w:szCs w:val="13"/>
          <w:color w:val="auto"/>
        </w:rPr>
        <w:t>Filed herwith.</w:t>
      </w:r>
    </w:p>
    <w:p>
      <w:pPr>
        <w:spacing w:after="0" w:line="21" w:lineRule="exact"/>
        <w:rPr>
          <w:rFonts w:ascii="Arial" w:cs="Arial" w:eastAsia="Arial" w:hAnsi="Arial"/>
          <w:sz w:val="13"/>
          <w:szCs w:val="13"/>
          <w:color w:val="auto"/>
        </w:rPr>
      </w:pPr>
    </w:p>
    <w:p>
      <w:pPr>
        <w:ind w:left="1360" w:hanging="302"/>
        <w:spacing w:after="0"/>
        <w:tabs>
          <w:tab w:leader="none" w:pos="13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113" w:name="page114"/>
    <w:bookmarkEnd w:id="1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w:t>
      </w:r>
    </w:p>
    <w:p>
      <w:pPr>
        <w:spacing w:after="0" w:line="13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USCB FINANCIAL HOLDINGS, INC.</w:t>
      </w:r>
    </w:p>
    <w:p>
      <w:pPr>
        <w:spacing w:after="0" w:line="220" w:lineRule="exact"/>
        <w:rPr>
          <w:sz w:val="20"/>
          <w:szCs w:val="20"/>
          <w:color w:val="auto"/>
        </w:rPr>
      </w:pPr>
    </w:p>
    <w:p>
      <w:pPr>
        <w:ind w:left="860"/>
        <w:spacing w:after="0"/>
        <w:tabs>
          <w:tab w:leader="none" w:pos="4420" w:val="left"/>
          <w:tab w:leader="none" w:pos="4780" w:val="left"/>
        </w:tabs>
        <w:rPr>
          <w:sz w:val="20"/>
          <w:szCs w:val="20"/>
          <w:color w:val="auto"/>
        </w:rPr>
      </w:pPr>
      <w:r>
        <w:rPr>
          <w:rFonts w:ascii="Arial" w:cs="Arial" w:eastAsia="Arial" w:hAnsi="Arial"/>
          <w:sz w:val="14"/>
          <w:szCs w:val="14"/>
          <w:color w:val="auto"/>
        </w:rPr>
        <w:t>Date: March 24, 2023</w:t>
      </w:r>
      <w:r>
        <w:rPr>
          <w:sz w:val="20"/>
          <w:szCs w:val="20"/>
          <w:color w:val="auto"/>
        </w:rPr>
        <w:tab/>
      </w:r>
      <w:r>
        <w:rPr>
          <w:rFonts w:ascii="Arial" w:cs="Arial" w:eastAsia="Arial" w:hAnsi="Arial"/>
          <w:sz w:val="14"/>
          <w:szCs w:val="14"/>
          <w:color w:val="auto"/>
        </w:rPr>
        <w:t>By:</w:t>
        <w:tab/>
        <w:t>/s/ Luis de la Aguilera</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Luis de la Aguilera</w:t>
      </w:r>
    </w:p>
    <w:p>
      <w:pPr>
        <w:ind w:left="4800"/>
        <w:spacing w:after="0"/>
        <w:rPr>
          <w:sz w:val="20"/>
          <w:szCs w:val="20"/>
          <w:color w:val="auto"/>
        </w:rPr>
      </w:pPr>
      <w:r>
        <w:rPr>
          <w:rFonts w:ascii="Arial" w:cs="Arial" w:eastAsia="Arial" w:hAnsi="Arial"/>
          <w:sz w:val="14"/>
          <w:szCs w:val="14"/>
          <w:color w:val="auto"/>
        </w:rPr>
        <w:t>President and Chief Executive Officer</w:t>
      </w:r>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Pursuant to the requirements of the Exchange Ac, this report has been signed by the following persons in the capacities and on the dates indicated.</w:t>
      </w:r>
    </w:p>
    <w:p>
      <w:pPr>
        <w:spacing w:after="0" w:line="135" w:lineRule="exact"/>
        <w:rPr>
          <w:sz w:val="20"/>
          <w:szCs w:val="20"/>
          <w:color w:val="auto"/>
        </w:rPr>
      </w:pPr>
    </w:p>
    <w:tbl>
      <w:tblPr>
        <w:tblLayout w:type="fixed"/>
        <w:tblInd w:w="7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3"/>
                <w:szCs w:val="13"/>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Chief Financial Officer (Principal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3"/>
                <w:szCs w:val="13"/>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and Principal Accounting Officer)</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Aida Levitan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Aida Levitan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Howard Feinglass</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Howard Feinglass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Kirk Wycoff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71"/>
        </w:trPr>
        <w:tc>
          <w:tcPr>
            <w:tcW w:w="2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Kirk Wycoff</w:t>
            </w: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Abadin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Abadin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Bernardo B. Fernandez</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71"/>
        </w:trPr>
        <w:tc>
          <w:tcPr>
            <w:tcW w:w="2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Bernardo B. Fernandez</w:t>
            </w: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Rodriguez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Rodriguez</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21"/>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Maria C. Alonso</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Maria C. Alonso</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10"/>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Robert E. Kafafian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2023</w:t>
            </w:r>
          </w:p>
        </w:tc>
      </w:tr>
      <w:tr>
        <w:trPr>
          <w:trHeight w:val="171"/>
        </w:trPr>
        <w:tc>
          <w:tcPr>
            <w:tcW w:w="2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Robert E. Kafafian</w:t>
            </w: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2022 10-K</w:t>
      </w:r>
    </w:p>
    <w:p>
      <w:pPr>
        <w:sectPr>
          <w:pgSz w:w="11900" w:h="16838" w:orient="portrait"/>
          <w:cols w:equalWidth="0" w:num="1">
            <w:col w:w="9019"/>
          </w:cols>
          <w:pgMar w:left="1440" w:top="491" w:right="1440" w:bottom="1440" w:gutter="0" w:footer="0" w:header="0"/>
        </w:sectPr>
      </w:pPr>
    </w:p>
    <w:bookmarkStart w:id="114" w:name="page115"/>
    <w:bookmarkEnd w:id="114"/>
    <w:p>
      <w:pPr>
        <w:ind w:left="6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10.5</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EMPLOYMENT AGREEMENT</w:t>
      </w:r>
    </w:p>
    <w:p>
      <w:pPr>
        <w:spacing w:after="0" w:line="191" w:lineRule="exact"/>
        <w:rPr>
          <w:sz w:val="20"/>
          <w:szCs w:val="20"/>
          <w:color w:val="auto"/>
        </w:rPr>
      </w:pPr>
    </w:p>
    <w:p>
      <w:pPr>
        <w:jc w:val="both"/>
        <w:ind w:left="1120" w:right="1219" w:firstLine="516"/>
        <w:spacing w:after="0" w:line="271" w:lineRule="auto"/>
        <w:rPr>
          <w:sz w:val="20"/>
          <w:szCs w:val="20"/>
          <w:color w:val="auto"/>
        </w:rPr>
      </w:pPr>
      <w:r>
        <w:rPr>
          <w:rFonts w:ascii="Arial" w:cs="Arial" w:eastAsia="Arial" w:hAnsi="Arial"/>
          <w:sz w:val="16"/>
          <w:szCs w:val="16"/>
          <w:color w:val="auto"/>
        </w:rPr>
        <w:t>This EMPLOYMENT AGREEMENT (this "Agreement") is made and entered into as of September 28, 2020 (the "Effective Date"), between U.S. Century Bank, a Florida-chartered commercial bank (the "Bank" or the "Employer"), and Jalal "Jay" Shehadeh (the "Executive").</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191" w:lineRule="exact"/>
        <w:rPr>
          <w:sz w:val="20"/>
          <w:szCs w:val="20"/>
          <w:color w:val="auto"/>
        </w:rPr>
      </w:pPr>
    </w:p>
    <w:p>
      <w:pPr>
        <w:jc w:val="both"/>
        <w:ind w:left="1120" w:right="1219" w:firstLine="516"/>
        <w:spacing w:after="0" w:line="261" w:lineRule="auto"/>
        <w:rPr>
          <w:sz w:val="20"/>
          <w:szCs w:val="20"/>
          <w:color w:val="auto"/>
        </w:rPr>
      </w:pPr>
      <w:r>
        <w:rPr>
          <w:rFonts w:ascii="Arial" w:cs="Arial" w:eastAsia="Arial" w:hAnsi="Arial"/>
          <w:sz w:val="17"/>
          <w:szCs w:val="17"/>
          <w:color w:val="auto"/>
        </w:rPr>
        <w:t>WHEREAS, the Executive is presently the Senior Vice President and General Counsel of the Bank;</w:t>
      </w:r>
    </w:p>
    <w:p>
      <w:pPr>
        <w:spacing w:after="0" w:line="162" w:lineRule="exact"/>
        <w:rPr>
          <w:sz w:val="20"/>
          <w:szCs w:val="20"/>
          <w:color w:val="auto"/>
        </w:rPr>
      </w:pPr>
    </w:p>
    <w:p>
      <w:pPr>
        <w:jc w:val="both"/>
        <w:ind w:left="1120" w:right="1219" w:firstLine="516"/>
        <w:spacing w:after="0" w:line="261" w:lineRule="auto"/>
        <w:rPr>
          <w:sz w:val="20"/>
          <w:szCs w:val="20"/>
          <w:color w:val="auto"/>
        </w:rPr>
      </w:pPr>
      <w:r>
        <w:rPr>
          <w:rFonts w:ascii="Arial" w:cs="Arial" w:eastAsia="Arial" w:hAnsi="Arial"/>
          <w:sz w:val="17"/>
          <w:szCs w:val="17"/>
          <w:color w:val="auto"/>
        </w:rPr>
        <w:t>WHEREAS, the Employer desires to be ensured of the Executive's continued active participation in the business of the Employer; and</w:t>
      </w:r>
    </w:p>
    <w:p>
      <w:pPr>
        <w:spacing w:after="0" w:line="162" w:lineRule="exact"/>
        <w:rPr>
          <w:sz w:val="20"/>
          <w:szCs w:val="20"/>
          <w:color w:val="auto"/>
        </w:rPr>
      </w:pPr>
    </w:p>
    <w:p>
      <w:pPr>
        <w:jc w:val="both"/>
        <w:ind w:left="1120" w:right="1219" w:firstLine="516"/>
        <w:spacing w:after="0" w:line="261" w:lineRule="auto"/>
        <w:rPr>
          <w:sz w:val="20"/>
          <w:szCs w:val="20"/>
          <w:color w:val="auto"/>
        </w:rPr>
      </w:pPr>
      <w:r>
        <w:rPr>
          <w:rFonts w:ascii="Arial" w:cs="Arial" w:eastAsia="Arial" w:hAnsi="Arial"/>
          <w:sz w:val="17"/>
          <w:szCs w:val="17"/>
          <w:color w:val="auto"/>
        </w:rPr>
        <w:t>WHEREAS, the Executive is willing to serve the Bank on the terns and conditions hereinafter set forth.</w:t>
      </w:r>
    </w:p>
    <w:p>
      <w:pPr>
        <w:spacing w:after="0" w:line="162" w:lineRule="exact"/>
        <w:rPr>
          <w:sz w:val="20"/>
          <w:szCs w:val="20"/>
          <w:color w:val="auto"/>
        </w:rPr>
      </w:pPr>
    </w:p>
    <w:p>
      <w:pPr>
        <w:jc w:val="both"/>
        <w:ind w:left="1120" w:right="1199" w:firstLine="516"/>
        <w:spacing w:after="0" w:line="241" w:lineRule="auto"/>
        <w:rPr>
          <w:sz w:val="20"/>
          <w:szCs w:val="20"/>
          <w:color w:val="auto"/>
        </w:rPr>
      </w:pPr>
      <w:r>
        <w:rPr>
          <w:rFonts w:ascii="Arial" w:cs="Arial" w:eastAsia="Arial" w:hAnsi="Arial"/>
          <w:sz w:val="17"/>
          <w:szCs w:val="17"/>
          <w:color w:val="auto"/>
        </w:rPr>
        <w:t>NOW THEREFORE, in consideration of the mutual agreements herein contained, and upon the other terns and conditions hereinafter provided, the Employer and the Executive hereby agree as follows:</w:t>
      </w:r>
    </w:p>
    <w:p>
      <w:pPr>
        <w:spacing w:after="0" w:line="179" w:lineRule="exact"/>
        <w:rPr>
          <w:sz w:val="20"/>
          <w:szCs w:val="20"/>
          <w:color w:val="auto"/>
        </w:rPr>
      </w:pPr>
    </w:p>
    <w:p>
      <w:pPr>
        <w:ind w:left="1120" w:right="1219" w:firstLine="511"/>
        <w:spacing w:after="0" w:line="261" w:lineRule="auto"/>
        <w:tabs>
          <w:tab w:leader="none" w:pos="1807"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Definitions. The following words and terms shall have the meanings set forth below for the purposes of this Agreement:</w:t>
      </w:r>
    </w:p>
    <w:p>
      <w:pPr>
        <w:spacing w:after="0" w:line="162" w:lineRule="exact"/>
        <w:rPr>
          <w:sz w:val="20"/>
          <w:szCs w:val="20"/>
          <w:color w:val="auto"/>
        </w:rPr>
      </w:pPr>
    </w:p>
    <w:p>
      <w:pPr>
        <w:ind w:left="2100" w:hanging="469"/>
        <w:spacing w:after="0"/>
        <w:tabs>
          <w:tab w:leader="none" w:pos="21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 Salary. "Base Salary" shall have the meaning set forth in Section3(a) hereof.</w:t>
      </w:r>
    </w:p>
    <w:p>
      <w:pPr>
        <w:spacing w:after="0" w:line="211" w:lineRule="exact"/>
        <w:rPr>
          <w:rFonts w:ascii="Arial" w:cs="Arial" w:eastAsia="Arial" w:hAnsi="Arial"/>
          <w:sz w:val="15"/>
          <w:szCs w:val="15"/>
          <w:color w:val="auto"/>
        </w:rPr>
      </w:pPr>
    </w:p>
    <w:p>
      <w:pPr>
        <w:jc w:val="both"/>
        <w:ind w:left="1120" w:right="1199" w:firstLine="511"/>
        <w:spacing w:after="0" w:line="270" w:lineRule="auto"/>
        <w:tabs>
          <w:tab w:leader="none" w:pos="2109" w:val="left"/>
        </w:tabs>
        <w:numPr>
          <w:ilvl w:val="0"/>
          <w:numId w:val="58"/>
        </w:numPr>
        <w:rPr>
          <w:rFonts w:ascii="Arial" w:cs="Arial" w:eastAsia="Arial" w:hAnsi="Arial"/>
          <w:sz w:val="15"/>
          <w:szCs w:val="15"/>
          <w:color w:val="auto"/>
        </w:rPr>
      </w:pPr>
      <w:r>
        <w:rPr>
          <w:rFonts w:ascii="Arial" w:cs="Arial" w:eastAsia="Arial" w:hAnsi="Arial"/>
          <w:sz w:val="15"/>
          <w:szCs w:val="15"/>
          <w:color w:val="auto"/>
        </w:rPr>
        <w:t>Cause. Termination of the Executive's employment for "Cause" shall mean termination because of (i) willful misconduct (including but not limited to misappropriation of a material Bank business opportunity, material 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Bank or the Executive's performance hereunder; and (iii) the failure to comply with any material obligation imposed upon the Executive pursuant to this Agreement; provided, however, that if such failure under clause (i) or (iii) above is susceptible of cure, "Cause" shall be deemed to exist only after the failure has remained uncured for thirty (30) days following receipt by the Executive of written notice from the Bank of the failure. Notwithstanding the foregoing, if the Executive disagrees with the good faith determination of the Bank that there is no cure after the 3()-day cure period, the Executive may request that such determination be submitted to binding arbitration in accordance with Section 20 hereof (with each party responsible for its own fees and costs). If the Executive makes such a request for arbitration, the termination of the Executive shall not become effective unless and until it is upheld by a final decision issued through such arbitration process; provided, that the Bank shall have the right, in its sole discretion, to relieve the Executive of all or any portion of his duties during such arbitration period pending the arbitration decision so long as the Bank continues to pay and provide to the Executive on a timely basis the compensation and benefits that it would otherwise owe to the Executive during such period under this Agreement.</w:t>
      </w:r>
    </w:p>
    <w:p>
      <w:pPr>
        <w:sectPr>
          <w:pgSz w:w="11900" w:h="16838" w:orient="portrait"/>
          <w:cols w:equalWidth="0" w:num="1">
            <w:col w:w="9019"/>
          </w:cols>
          <w:pgMar w:left="1440" w:top="613" w:right="1440" w:bottom="1440" w:gutter="0" w:footer="0" w:header="0"/>
        </w:sectPr>
      </w:pPr>
    </w:p>
    <w:bookmarkStart w:id="115" w:name="page116"/>
    <w:bookmarkEnd w:id="115"/>
    <w:p>
      <w:pPr>
        <w:ind w:left="1120" w:right="1199" w:firstLine="511"/>
        <w:spacing w:after="0" w:line="266" w:lineRule="auto"/>
        <w:tabs>
          <w:tab w:leader="none" w:pos="211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Change in Control</w:t>
      </w:r>
      <w:r>
        <w:rPr>
          <w:rFonts w:ascii="Arial" w:cs="Arial" w:eastAsia="Arial" w:hAnsi="Arial"/>
          <w:sz w:val="17"/>
          <w:szCs w:val="17"/>
          <w:color w:val="auto"/>
        </w:rPr>
        <w:t>. "Change in Control" shall mean (except as provided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occurrence of an event described in (i), (ii), (iii) or (iv) below:</w:t>
      </w:r>
    </w:p>
    <w:p>
      <w:pPr>
        <w:spacing w:after="0" w:line="125" w:lineRule="exact"/>
        <w:rPr>
          <w:rFonts w:ascii="Arial" w:cs="Arial" w:eastAsia="Arial" w:hAnsi="Arial"/>
          <w:sz w:val="17"/>
          <w:szCs w:val="17"/>
          <w:color w:val="auto"/>
        </w:rPr>
      </w:pPr>
    </w:p>
    <w:p>
      <w:pPr>
        <w:jc w:val="both"/>
        <w:ind w:left="1180" w:right="1199" w:firstLine="962"/>
        <w:spacing w:after="0" w:line="255" w:lineRule="auto"/>
        <w:tabs>
          <w:tab w:leader="none" w:pos="2614"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person or group (within the meaning of Sections 13(d) and 14(d) of the Securities Exchange Act of 1934, as amended (the "Exchange Act")), other than the Bank, an affiliate of the Bank or a trustee or other fiduciary holding securities under an employee benefit plan of the Bank or a corporation owned directly or indirectly by the stockholders of the Bank in substantially the same proportions as their ownership of stock of the Bank, becomes the beneficial owner (within the meaning of Rule 13(d)(3) under the Exchange Act), directly or indirectly (which shall include securities issuable upon conversion, exchange or otherwise) of securities representing 50% or more of the combined voting power of the Bank's then outstanding securities entitled generally to vote for the election of directors;</w:t>
      </w:r>
    </w:p>
    <w:p>
      <w:pPr>
        <w:spacing w:after="0" w:line="139" w:lineRule="exact"/>
        <w:rPr>
          <w:rFonts w:ascii="Arial" w:cs="Arial" w:eastAsia="Arial" w:hAnsi="Arial"/>
          <w:sz w:val="16"/>
          <w:szCs w:val="16"/>
          <w:color w:val="auto"/>
        </w:rPr>
      </w:pPr>
    </w:p>
    <w:p>
      <w:pPr>
        <w:jc w:val="both"/>
        <w:ind w:left="1180" w:right="1199" w:firstLine="962"/>
        <w:spacing w:after="0" w:line="261" w:lineRule="auto"/>
        <w:tabs>
          <w:tab w:leader="none" w:pos="2613" w:val="left"/>
        </w:tabs>
        <w:numPr>
          <w:ilvl w:val="1"/>
          <w:numId w:val="59"/>
        </w:numPr>
        <w:rPr>
          <w:rFonts w:ascii="Arial" w:cs="Arial" w:eastAsia="Arial" w:hAnsi="Arial"/>
          <w:sz w:val="16"/>
          <w:szCs w:val="16"/>
          <w:color w:val="auto"/>
        </w:rPr>
      </w:pPr>
      <w:r>
        <w:rPr>
          <w:rFonts w:ascii="Arial" w:cs="Arial" w:eastAsia="Arial" w:hAnsi="Arial"/>
          <w:sz w:val="16"/>
          <w:szCs w:val="16"/>
          <w:color w:val="auto"/>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11" w:lineRule="exact"/>
        <w:rPr>
          <w:rFonts w:ascii="Arial" w:cs="Arial" w:eastAsia="Arial" w:hAnsi="Arial"/>
          <w:sz w:val="16"/>
          <w:szCs w:val="16"/>
          <w:color w:val="auto"/>
        </w:rPr>
      </w:pPr>
    </w:p>
    <w:p>
      <w:pPr>
        <w:jc w:val="both"/>
        <w:ind w:left="1180" w:right="1199" w:firstLine="962"/>
        <w:spacing w:after="0" w:line="236" w:lineRule="auto"/>
        <w:tabs>
          <w:tab w:leader="none" w:pos="2614" w:val="left"/>
        </w:tabs>
        <w:numPr>
          <w:ilvl w:val="1"/>
          <w:numId w:val="59"/>
        </w:numPr>
        <w:rPr>
          <w:rFonts w:ascii="Arial" w:cs="Arial" w:eastAsia="Arial" w:hAnsi="Arial"/>
          <w:sz w:val="17"/>
          <w:szCs w:val="17"/>
          <w:color w:val="auto"/>
        </w:rPr>
      </w:pPr>
      <w:r>
        <w:rPr>
          <w:rFonts w:ascii="Arial" w:cs="Arial" w:eastAsia="Arial" w:hAnsi="Arial"/>
          <w:sz w:val="17"/>
          <w:szCs w:val="17"/>
          <w:color w:val="auto"/>
        </w:rPr>
        <w:t>Consummation of an agreement (including, without limitation, an agreement of liquidation) to sell or otherwise dispose of all or substantially all of the business or assets of the Bank (or a subsidiary thereof); or</w:t>
      </w:r>
    </w:p>
    <w:p>
      <w:pPr>
        <w:spacing w:after="0" w:line="159" w:lineRule="exact"/>
        <w:rPr>
          <w:rFonts w:ascii="Arial" w:cs="Arial" w:eastAsia="Arial" w:hAnsi="Arial"/>
          <w:sz w:val="17"/>
          <w:szCs w:val="17"/>
          <w:color w:val="auto"/>
        </w:rPr>
      </w:pPr>
    </w:p>
    <w:p>
      <w:pPr>
        <w:jc w:val="both"/>
        <w:ind w:left="1180" w:right="1199" w:firstLine="962"/>
        <w:spacing w:after="0" w:line="258" w:lineRule="auto"/>
        <w:tabs>
          <w:tab w:leader="none" w:pos="2614"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Bank (the "Incumbent Board") cease for any reason to constitute at least a majority of the Board, provided that any person becoming a director subsequent to the date hereof whose election or nomination for election by the stockholders is approved by a vote of at least a majority of directors then constituting the Incumbent Board shall be, for purposes of this Agreement, considered as though such person were a member of the Incumbent Board.</w:t>
      </w:r>
    </w:p>
    <w:p>
      <w:pPr>
        <w:spacing w:after="0" w:line="136" w:lineRule="exact"/>
        <w:rPr>
          <w:sz w:val="20"/>
          <w:szCs w:val="20"/>
          <w:color w:val="auto"/>
        </w:rPr>
      </w:pPr>
    </w:p>
    <w:p>
      <w:pPr>
        <w:jc w:val="both"/>
        <w:ind w:left="1120" w:right="1199" w:firstLine="516"/>
        <w:spacing w:after="0" w:line="241" w:lineRule="auto"/>
        <w:rPr>
          <w:sz w:val="20"/>
          <w:szCs w:val="20"/>
          <w:color w:val="auto"/>
        </w:rPr>
      </w:pPr>
      <w:r>
        <w:rPr>
          <w:rFonts w:ascii="Arial" w:cs="Arial" w:eastAsia="Arial" w:hAnsi="Arial"/>
          <w:sz w:val="17"/>
          <w:szCs w:val="17"/>
          <w:color w:val="auto"/>
        </w:rPr>
        <w:t>Notwithstanding the foregoing, no event shall constitute a Change in Control unless such event shall also constitute a change in control as defined in Section 409A of the Code, as such term is hereinafter defined.</w:t>
      </w:r>
    </w:p>
    <w:p>
      <w:pPr>
        <w:spacing w:after="0" w:line="179" w:lineRule="exact"/>
        <w:rPr>
          <w:sz w:val="20"/>
          <w:szCs w:val="20"/>
          <w:color w:val="auto"/>
        </w:rPr>
      </w:pPr>
    </w:p>
    <w:p>
      <w:pPr>
        <w:ind w:left="2100" w:hanging="469"/>
        <w:spacing w:after="0"/>
        <w:tabs>
          <w:tab w:leader="none" w:pos="2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Code. "Code" shall mean the Internal Revenue Code of 1986, as amended.</w:t>
      </w:r>
    </w:p>
    <w:p>
      <w:pPr>
        <w:spacing w:after="0" w:line="188" w:lineRule="exact"/>
        <w:rPr>
          <w:rFonts w:ascii="Arial" w:cs="Arial" w:eastAsia="Arial" w:hAnsi="Arial"/>
          <w:sz w:val="17"/>
          <w:szCs w:val="17"/>
          <w:color w:val="auto"/>
        </w:rPr>
      </w:pPr>
    </w:p>
    <w:p>
      <w:pPr>
        <w:jc w:val="both"/>
        <w:ind w:left="1120" w:right="1199" w:firstLine="511"/>
        <w:spacing w:after="0" w:line="244" w:lineRule="auto"/>
        <w:tabs>
          <w:tab w:leader="none" w:pos="2109" w:val="left"/>
        </w:tabs>
        <w:numPr>
          <w:ilvl w:val="0"/>
          <w:numId w:val="60"/>
        </w:numPr>
        <w:rPr>
          <w:rFonts w:ascii="Arial" w:cs="Arial" w:eastAsia="Arial" w:hAnsi="Arial"/>
          <w:sz w:val="17"/>
          <w:szCs w:val="17"/>
          <w:color w:val="auto"/>
        </w:rPr>
      </w:pPr>
      <w:r>
        <w:rPr>
          <w:rFonts w:ascii="Arial" w:cs="Arial" w:eastAsia="Arial" w:hAnsi="Arial"/>
          <w:sz w:val="17"/>
          <w:szCs w:val="17"/>
          <w:color w:val="auto"/>
        </w:rPr>
        <w:t>Date of Termination. "Date of Termination" shall mean (i) if the Executive's employment is terminated for Cause, the date on which the Notice of Termination is given, and (ii) if the Executive's employment is terminated for any other reason, the date specified in such Notice of Termination.</w:t>
      </w:r>
    </w:p>
    <w:p>
      <w:pPr>
        <w:spacing w:after="0" w:line="175" w:lineRule="exact"/>
        <w:rPr>
          <w:rFonts w:ascii="Arial" w:cs="Arial" w:eastAsia="Arial" w:hAnsi="Arial"/>
          <w:sz w:val="17"/>
          <w:szCs w:val="17"/>
          <w:color w:val="auto"/>
        </w:rPr>
      </w:pPr>
    </w:p>
    <w:p>
      <w:pPr>
        <w:jc w:val="both"/>
        <w:ind w:left="1120" w:right="1219" w:firstLine="511"/>
        <w:spacing w:after="0" w:line="277" w:lineRule="auto"/>
        <w:tabs>
          <w:tab w:leader="none" w:pos="2109" w:val="left"/>
        </w:tabs>
        <w:numPr>
          <w:ilvl w:val="0"/>
          <w:numId w:val="60"/>
        </w:numPr>
        <w:rPr>
          <w:rFonts w:ascii="Arial" w:cs="Arial" w:eastAsia="Arial" w:hAnsi="Arial"/>
          <w:sz w:val="15"/>
          <w:szCs w:val="15"/>
          <w:color w:val="auto"/>
        </w:rPr>
      </w:pPr>
      <w:r>
        <w:rPr>
          <w:rFonts w:ascii="Arial" w:cs="Arial" w:eastAsia="Arial" w:hAnsi="Arial"/>
          <w:sz w:val="15"/>
          <w:szCs w:val="15"/>
          <w:color w:val="auto"/>
        </w:rPr>
        <w:t>Disability. "Disability" shall mean the Executive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w:t>
      </w:r>
    </w:p>
    <w:p>
      <w:pPr>
        <w:spacing w:after="0" w:line="142" w:lineRule="exact"/>
        <w:rPr>
          <w:rFonts w:ascii="Arial" w:cs="Arial" w:eastAsia="Arial" w:hAnsi="Arial"/>
          <w:sz w:val="15"/>
          <w:szCs w:val="15"/>
          <w:color w:val="auto"/>
        </w:rPr>
      </w:pPr>
    </w:p>
    <w:p>
      <w:pPr>
        <w:ind w:left="1120" w:right="1219" w:firstLine="511"/>
        <w:spacing w:after="0" w:line="261" w:lineRule="auto"/>
        <w:tabs>
          <w:tab w:leader="none" w:pos="2109" w:val="left"/>
        </w:tabs>
        <w:numPr>
          <w:ilvl w:val="0"/>
          <w:numId w:val="60"/>
        </w:numPr>
        <w:rPr>
          <w:rFonts w:ascii="Arial" w:cs="Arial" w:eastAsia="Arial" w:hAnsi="Arial"/>
          <w:sz w:val="17"/>
          <w:szCs w:val="17"/>
          <w:color w:val="auto"/>
        </w:rPr>
      </w:pPr>
      <w:r>
        <w:rPr>
          <w:rFonts w:ascii="Arial" w:cs="Arial" w:eastAsia="Arial" w:hAnsi="Arial"/>
          <w:sz w:val="17"/>
          <w:szCs w:val="17"/>
          <w:color w:val="auto"/>
        </w:rPr>
        <w:t>Good Reason. Termination by the Executive of the Executive's employment for "Good Reason" shall mean termination by the Executive based 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599" w:right="1440" w:bottom="1440" w:gutter="0" w:footer="0" w:header="0"/>
        </w:sectPr>
      </w:pPr>
    </w:p>
    <w:bookmarkStart w:id="116" w:name="page117"/>
    <w:bookmarkEnd w:id="116"/>
    <w:p>
      <w:pPr>
        <w:jc w:val="both"/>
        <w:ind w:left="1180" w:right="1219" w:firstLine="962"/>
        <w:spacing w:after="0" w:line="276" w:lineRule="auto"/>
        <w:tabs>
          <w:tab w:leader="none" w:pos="2614" w:val="left"/>
        </w:tabs>
        <w:numPr>
          <w:ilvl w:val="1"/>
          <w:numId w:val="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any material breach of this Agreement by the Employer, including without limitation any of the following: (A) a material diminution in the Executive's base compensation,</w:t>
      </w:r>
    </w:p>
    <w:p>
      <w:pPr>
        <w:spacing w:after="0" w:line="1" w:lineRule="exact"/>
        <w:rPr>
          <w:rFonts w:ascii="Arial" w:cs="Arial" w:eastAsia="Arial" w:hAnsi="Arial"/>
          <w:sz w:val="15"/>
          <w:szCs w:val="15"/>
          <w:color w:val="auto"/>
        </w:rPr>
      </w:pPr>
    </w:p>
    <w:p>
      <w:pPr>
        <w:ind w:left="1480" w:hanging="297"/>
        <w:spacing w:after="0"/>
        <w:tabs>
          <w:tab w:leader="none" w:pos="1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or (C) any</w:t>
      </w:r>
    </w:p>
    <w:p>
      <w:pPr>
        <w:spacing w:after="0" w:line="18" w:lineRule="exact"/>
        <w:rPr>
          <w:sz w:val="20"/>
          <w:szCs w:val="20"/>
          <w:color w:val="auto"/>
        </w:rPr>
      </w:pPr>
    </w:p>
    <w:p>
      <w:pPr>
        <w:jc w:val="both"/>
        <w:ind w:left="1180" w:right="1219"/>
        <w:spacing w:after="0" w:line="235" w:lineRule="auto"/>
        <w:rPr>
          <w:sz w:val="20"/>
          <w:szCs w:val="20"/>
          <w:color w:val="auto"/>
        </w:rPr>
      </w:pPr>
      <w:r>
        <w:rPr>
          <w:rFonts w:ascii="Arial" w:cs="Arial" w:eastAsia="Arial" w:hAnsi="Arial"/>
          <w:sz w:val="17"/>
          <w:szCs w:val="17"/>
          <w:color w:val="auto"/>
        </w:rPr>
        <w:t>requirement that the Executive report to a corporate officer or employee of the Bank instead of reporting directly to the President and Chief Executive Officer, other than from time to time with respect to specified matters, or</w:t>
      </w:r>
    </w:p>
    <w:p>
      <w:pPr>
        <w:spacing w:after="0" w:line="181" w:lineRule="exact"/>
        <w:rPr>
          <w:sz w:val="20"/>
          <w:szCs w:val="20"/>
          <w:color w:val="auto"/>
        </w:rPr>
      </w:pPr>
    </w:p>
    <w:p>
      <w:pPr>
        <w:ind w:left="1180" w:right="1219" w:firstLine="962"/>
        <w:spacing w:after="0" w:line="261" w:lineRule="auto"/>
        <w:tabs>
          <w:tab w:leader="none" w:pos="2613"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 in excess of twenty-five (25) miles in the geographic location at which the Executive must perform his services under this Agreement;</w:t>
      </w:r>
    </w:p>
    <w:p>
      <w:pPr>
        <w:spacing w:after="0" w:line="162" w:lineRule="exact"/>
        <w:rPr>
          <w:sz w:val="20"/>
          <w:szCs w:val="20"/>
          <w:color w:val="auto"/>
        </w:rPr>
      </w:pPr>
    </w:p>
    <w:p>
      <w:pPr>
        <w:jc w:val="both"/>
        <w:ind w:left="1120" w:right="1199" w:hanging="13"/>
        <w:spacing w:after="0" w:line="239" w:lineRule="auto"/>
        <w:rPr>
          <w:sz w:val="20"/>
          <w:szCs w:val="20"/>
          <w:color w:val="auto"/>
        </w:rPr>
      </w:pPr>
      <w:r>
        <w:rPr>
          <w:rFonts w:ascii="Arial" w:cs="Arial" w:eastAsia="Arial" w:hAnsi="Arial"/>
          <w:sz w:val="17"/>
          <w:szCs w:val="17"/>
          <w:color w:val="auto"/>
        </w:rPr>
        <w:t>provided, however, that prior to any termination of employment for Good Reason, the Executive must first provide written notice to the Bank within ninety (90) days of the initial existence of the condition, describing the existence of such condition, and the Bank shall thereafter have the right to remedy the condition within thirty (30) days of the date the Bank received the notice from the Executive. If the Bank remedies the condition within such thirty (30) day cure period, then no Good Reason shall be deemed to exist with respect to such condition. If the Bank does not remedy the condition within such thirty (30) day cure period, then the Executive may deliver a Notice of Termination for Good Reason at any time within sixty (60) days following the expiration of such cure period.</w:t>
      </w:r>
    </w:p>
    <w:p>
      <w:pPr>
        <w:spacing w:after="0" w:line="179" w:lineRule="exact"/>
        <w:rPr>
          <w:sz w:val="20"/>
          <w:szCs w:val="20"/>
          <w:color w:val="auto"/>
        </w:rPr>
      </w:pPr>
    </w:p>
    <w:p>
      <w:pPr>
        <w:jc w:val="both"/>
        <w:ind w:left="1120" w:right="1199" w:firstLine="511"/>
        <w:spacing w:after="0" w:line="269" w:lineRule="auto"/>
        <w:tabs>
          <w:tab w:leader="none" w:pos="2109" w:val="left"/>
        </w:tabs>
        <w:numPr>
          <w:ilvl w:val="1"/>
          <w:numId w:val="64"/>
        </w:numPr>
        <w:rPr>
          <w:rFonts w:ascii="Arial" w:cs="Arial" w:eastAsia="Arial" w:hAnsi="Arial"/>
          <w:sz w:val="15"/>
          <w:szCs w:val="15"/>
          <w:color w:val="auto"/>
        </w:rPr>
      </w:pPr>
      <w:r>
        <w:rPr>
          <w:rFonts w:ascii="Arial" w:cs="Arial" w:eastAsia="Arial" w:hAnsi="Arial"/>
          <w:sz w:val="15"/>
          <w:szCs w:val="15"/>
          <w:color w:val="auto"/>
        </w:rPr>
        <w:t>Notice of Termination. Any purported termination of the Executive's employment by the Employer for any reason, including without limitation for Cause, Disability or Retirement, or by the Executive for any reason, including without limitation for Good Reason, shall be communicated by a "Notice of Termination" to the other party hereto. For purposes of this Agreement, a "Notice of Termination"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w:t>
      </w:r>
    </w:p>
    <w:p>
      <w:pPr>
        <w:spacing w:after="0" w:line="3" w:lineRule="exact"/>
        <w:rPr>
          <w:rFonts w:ascii="Arial" w:cs="Arial" w:eastAsia="Arial" w:hAnsi="Arial"/>
          <w:sz w:val="15"/>
          <w:szCs w:val="15"/>
          <w:color w:val="auto"/>
        </w:rPr>
      </w:pPr>
    </w:p>
    <w:p>
      <w:pPr>
        <w:jc w:val="both"/>
        <w:ind w:left="1120" w:right="1219" w:hanging="6"/>
        <w:spacing w:after="0" w:line="239" w:lineRule="auto"/>
        <w:tabs>
          <w:tab w:leader="none" w:pos="14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nor more than ninety (90) days after such Notice of Te rmination is given, except in the case of the termination of the Executive's employment for Cause, which shall be effective immediately, and (iv) is given in the manner specified in Section 1 1 hereof.</w:t>
      </w:r>
    </w:p>
    <w:p>
      <w:pPr>
        <w:spacing w:after="0" w:line="180" w:lineRule="exact"/>
        <w:rPr>
          <w:rFonts w:ascii="Arial" w:cs="Arial" w:eastAsia="Arial" w:hAnsi="Arial"/>
          <w:sz w:val="17"/>
          <w:szCs w:val="17"/>
          <w:color w:val="auto"/>
        </w:rPr>
      </w:pPr>
    </w:p>
    <w:p>
      <w:pPr>
        <w:jc w:val="both"/>
        <w:ind w:left="1120" w:right="1219" w:firstLine="511"/>
        <w:spacing w:after="0" w:line="248" w:lineRule="auto"/>
        <w:tabs>
          <w:tab w:leader="none" w:pos="2109" w:val="left"/>
        </w:tabs>
        <w:numPr>
          <w:ilvl w:val="1"/>
          <w:numId w:val="65"/>
        </w:numPr>
        <w:rPr>
          <w:rFonts w:ascii="Arial" w:cs="Arial" w:eastAsia="Arial" w:hAnsi="Arial"/>
          <w:sz w:val="17"/>
          <w:szCs w:val="17"/>
          <w:color w:val="auto"/>
        </w:rPr>
      </w:pPr>
      <w:r>
        <w:rPr>
          <w:rFonts w:ascii="Arial" w:cs="Arial" w:eastAsia="Arial" w:hAnsi="Arial"/>
          <w:sz w:val="17"/>
          <w:szCs w:val="17"/>
          <w:color w:val="auto"/>
        </w:rPr>
        <w:t>Retirement. "Retirement" shall mean the Executive's voluntary or involuntary termination of employment, as applicable, upon reaching at least age 65, but shall not include an involuntary termination for Cause.</w:t>
      </w:r>
    </w:p>
    <w:p>
      <w:pPr>
        <w:spacing w:after="0" w:line="169" w:lineRule="exact"/>
        <w:rPr>
          <w:sz w:val="20"/>
          <w:szCs w:val="20"/>
          <w:color w:val="auto"/>
        </w:rPr>
      </w:pPr>
    </w:p>
    <w:p>
      <w:pPr>
        <w:ind w:left="2100" w:hanging="469"/>
        <w:spacing w:after="0"/>
        <w:tabs>
          <w:tab w:leader="none" w:pos="2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Term of Employment.</w:t>
      </w:r>
    </w:p>
    <w:p>
      <w:pPr>
        <w:spacing w:after="0" w:line="202" w:lineRule="exact"/>
        <w:rPr>
          <w:sz w:val="20"/>
          <w:szCs w:val="20"/>
          <w:color w:val="auto"/>
        </w:rPr>
      </w:pPr>
    </w:p>
    <w:p>
      <w:pPr>
        <w:jc w:val="both"/>
        <w:ind w:left="1120" w:right="1199" w:firstLine="511"/>
        <w:spacing w:after="0" w:line="273" w:lineRule="auto"/>
        <w:tabs>
          <w:tab w:leader="none" w:pos="2109"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Bank hereby employs the Executive as Senior Vice President and General Counsel and the Executive hereby accepts said employment and agrees to render such services to the Employer on the terms and conditions set forth in this Agreement. The term of employment under this Agreement shall be for three years beginning on the Effective Date (the "Initial Tern"). Not less than sixty (60) days prior to the second annual anniversary of the Effective Date and each annual anniversary thereafter, the Board of Directors of the Bank shall consider and review (with appropriate corporate documentation thereof, and after taking into account all relevant factors, including the Executive's performance hereunder) a one-year extension of the tern of this Agreement. If the Board of Directors approves such an extension, then the term of this Agreement shall be so extended as of the relevant annual anniversary of the Effective Date unless the Executive gives written notice to the Employer of the Executive's election not to extend the term, with such written notice to be given not less than sixty (60) days prior to any such relevant annual anniversary of the Effective Date. If the Board of Directors elects not to extend the tern, it shall give written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603" w:right="1440" w:bottom="1440" w:gutter="0" w:footer="0" w:header="0"/>
        </w:sectPr>
      </w:pPr>
    </w:p>
    <w:bookmarkStart w:id="117" w:name="page118"/>
    <w:bookmarkEnd w:id="117"/>
    <w:p>
      <w:pPr>
        <w:jc w:val="center"/>
        <w:ind w:right="7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notice of such decision to the Executive as soon as the decision is made but in no case no less than</w:t>
      </w:r>
    </w:p>
    <w:p>
      <w:pPr>
        <w:spacing w:after="0" w:line="44" w:lineRule="exact"/>
        <w:rPr>
          <w:sz w:val="20"/>
          <w:szCs w:val="20"/>
          <w:color w:val="auto"/>
        </w:rPr>
      </w:pPr>
    </w:p>
    <w:p>
      <w:pPr>
        <w:jc w:val="both"/>
        <w:ind w:left="1120" w:right="1199"/>
        <w:spacing w:after="0" w:line="267" w:lineRule="auto"/>
        <w:rPr>
          <w:sz w:val="20"/>
          <w:szCs w:val="20"/>
          <w:color w:val="auto"/>
        </w:rPr>
      </w:pPr>
      <w:r>
        <w:rPr>
          <w:rFonts w:ascii="Arial" w:cs="Arial" w:eastAsia="Arial" w:hAnsi="Arial"/>
          <w:sz w:val="15"/>
          <w:szCs w:val="15"/>
          <w:color w:val="auto"/>
        </w:rPr>
        <w:t>sixty (60) days prior to any such annual anniversary of the Effective Date. If any party gives timely notice that the term will not be extended as of any annual anniversary of the Effective Date, then</w:t>
      </w:r>
    </w:p>
    <w:p>
      <w:pPr>
        <w:jc w:val="both"/>
        <w:ind w:left="1120" w:right="1199"/>
        <w:spacing w:after="0" w:line="255" w:lineRule="auto"/>
        <w:rPr>
          <w:sz w:val="20"/>
          <w:szCs w:val="20"/>
          <w:color w:val="auto"/>
        </w:rPr>
      </w:pPr>
      <w:r>
        <w:rPr>
          <w:rFonts w:ascii="Arial" w:cs="Arial" w:eastAsia="Arial" w:hAnsi="Arial"/>
          <w:sz w:val="16"/>
          <w:szCs w:val="16"/>
          <w:color w:val="auto"/>
        </w:rPr>
        <w:t>this Agreement and the rights and obligations provided herein shall terminate at the conclusion of its remaining term, except to the extent set forth in Section 7. References herein to the term of this Agreement shall refer both to the Initial Term and successive terms.</w:t>
      </w:r>
    </w:p>
    <w:p>
      <w:pPr>
        <w:spacing w:after="0" w:line="168" w:lineRule="exact"/>
        <w:rPr>
          <w:sz w:val="20"/>
          <w:szCs w:val="20"/>
          <w:color w:val="auto"/>
        </w:rPr>
      </w:pPr>
    </w:p>
    <w:p>
      <w:pPr>
        <w:jc w:val="both"/>
        <w:ind w:left="1120" w:right="1199" w:firstLine="511"/>
        <w:spacing w:after="0" w:line="278" w:lineRule="auto"/>
        <w:tabs>
          <w:tab w:leader="none" w:pos="2109"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the term of this Agreement, the Executive shall perform such executive services for the Bank as may be consistent with his titles and from time to time assigned to him by the Bank's Board of Directors and/or the President and Chief Executive Officer.</w:t>
      </w:r>
    </w:p>
    <w:p>
      <w:pPr>
        <w:spacing w:after="0" w:line="168" w:lineRule="exact"/>
        <w:rPr>
          <w:sz w:val="20"/>
          <w:szCs w:val="20"/>
          <w:color w:val="auto"/>
        </w:rPr>
      </w:pPr>
    </w:p>
    <w:p>
      <w:pPr>
        <w:ind w:left="2100" w:hanging="469"/>
        <w:spacing w:after="0"/>
        <w:tabs>
          <w:tab w:leader="none" w:pos="2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Compensation and Benefits.</w:t>
      </w:r>
    </w:p>
    <w:p>
      <w:pPr>
        <w:spacing w:after="0" w:line="202" w:lineRule="exact"/>
        <w:rPr>
          <w:sz w:val="20"/>
          <w:szCs w:val="20"/>
          <w:color w:val="auto"/>
        </w:rPr>
      </w:pPr>
    </w:p>
    <w:p>
      <w:pPr>
        <w:jc w:val="both"/>
        <w:ind w:left="1120" w:right="1199" w:firstLine="511"/>
        <w:spacing w:after="0" w:line="242" w:lineRule="auto"/>
        <w:tabs>
          <w:tab w:leader="none" w:pos="21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Employer shall compensate and pay the Executive for his services during the term of this Agreement at a minimum base salary of $200,000 per year ("Base Salary"), which may be increased from time to time in such amounts as may be determined by the President and Chief Executive Officer or the Board of Directors of the Employer and may not be decreased without the Executive's express written consent.</w:t>
      </w:r>
    </w:p>
    <w:p>
      <w:pPr>
        <w:spacing w:after="0" w:line="102" w:lineRule="exact"/>
        <w:rPr>
          <w:rFonts w:ascii="Arial" w:cs="Arial" w:eastAsia="Arial" w:hAnsi="Arial"/>
          <w:sz w:val="17"/>
          <w:szCs w:val="17"/>
          <w:color w:val="auto"/>
        </w:rPr>
      </w:pPr>
    </w:p>
    <w:p>
      <w:pPr>
        <w:jc w:val="both"/>
        <w:ind w:left="1120" w:right="1199" w:firstLine="511"/>
        <w:spacing w:after="0"/>
        <w:tabs>
          <w:tab w:leader="none" w:pos="21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Bank shall pay Executive a retention bonus (the "Retention Bonus") in the amount of $150,000 in the first payroll period following August l, 2022; provided, however, that in the event that Executive resigns Executive's employment with the Bank without Good Reason or is terminated by the Bank for Cause prior to August l, 2022, Executive shall forfeit the Retention Bonus in full. The Bank shall deduct from the Retention Bonus all amounts required to be deducted or withheld under applicable law.</w:t>
      </w:r>
    </w:p>
    <w:p>
      <w:pPr>
        <w:spacing w:after="0" w:line="86" w:lineRule="exact"/>
        <w:rPr>
          <w:rFonts w:ascii="Arial" w:cs="Arial" w:eastAsia="Arial" w:hAnsi="Arial"/>
          <w:sz w:val="17"/>
          <w:szCs w:val="17"/>
          <w:color w:val="auto"/>
        </w:rPr>
      </w:pPr>
    </w:p>
    <w:p>
      <w:pPr>
        <w:jc w:val="both"/>
        <w:ind w:left="1120" w:right="1219" w:firstLine="511"/>
        <w:spacing w:after="0" w:line="248" w:lineRule="auto"/>
        <w:tabs>
          <w:tab w:leader="none" w:pos="21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addition to his Base Salary, the Executive shall be entitled to receive during the term of this Agreement such bonus payments ("Bonus") as may be determined by the Board of Directors of the Employer.</w:t>
      </w:r>
    </w:p>
    <w:p>
      <w:pPr>
        <w:spacing w:after="0" w:line="87" w:lineRule="exact"/>
        <w:rPr>
          <w:rFonts w:ascii="Arial" w:cs="Arial" w:eastAsia="Arial" w:hAnsi="Arial"/>
          <w:sz w:val="17"/>
          <w:szCs w:val="17"/>
          <w:color w:val="auto"/>
        </w:rPr>
      </w:pPr>
    </w:p>
    <w:p>
      <w:pPr>
        <w:jc w:val="both"/>
        <w:ind w:left="1120" w:right="1199" w:firstLine="511"/>
        <w:spacing w:after="0" w:line="253" w:lineRule="auto"/>
        <w:tabs>
          <w:tab w:leader="none" w:pos="21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the term of this Agreement, the Executive shall be entitled to participate in and receive the benefits of any pension or other retirement benefit plan, profit sharing, stock incentive, or other plans, benefits and privileges given to employees and executives of the Employer, to the extent commensurate with his then duties and responsibilities, as fixed by the Board of Directors of the Bank. Notwithstanding anything to the contrary herein, for purposes of medical and dental insurance benefits offered to or provided by the Bank to the Executive, he will be treated as if he were an Executive Vice President of the Bank. The Bank shall not make any changes in such plans, benefits or privileges which would adversely affect the Executive's rights or benefits thereunder, unless such change occurs pursuant to a program applicable to all executive officers of the Employer and does not result in a proportionately greater adverse change in the rights of or benefits to the Executive as compared with any other executive officer of the Employer. Nothing paid to the Executive under any plan or arrangement presently in effect or made available in the future shall be deemed to be in lieu of the salary payable to the Executive pursuant to Section 3(a) hereof.</w:t>
      </w:r>
    </w:p>
    <w:p>
      <w:pPr>
        <w:spacing w:after="0" w:line="101" w:lineRule="exact"/>
        <w:rPr>
          <w:rFonts w:ascii="Arial" w:cs="Arial" w:eastAsia="Arial" w:hAnsi="Arial"/>
          <w:sz w:val="16"/>
          <w:szCs w:val="16"/>
          <w:color w:val="auto"/>
        </w:rPr>
      </w:pPr>
    </w:p>
    <w:p>
      <w:pPr>
        <w:jc w:val="both"/>
        <w:ind w:left="1120" w:right="1199" w:firstLine="511"/>
        <w:spacing w:after="0" w:line="256" w:lineRule="auto"/>
        <w:tabs>
          <w:tab w:leader="none" w:pos="21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the term of this Agreement, the Executive shall be entitled to four (4) weeks of paid annual vacation, on a calendar basis, to be taken at such time or times agreed upon by the Executive and the President and Chief Executive Officer. In addition, the Executive shall be entitled to six (6) days of personal/sick leave per calendar year. The Executive shall not be entitled to receive any additional compensation from the Employer for failure to take a vacation or use his personal/sick leave, nor shall the Executive be able to accumulate unused vacation time or unused personal/sick leave from one year to the next, except to the extent authorized by the President and Chief Executive Officer.</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603" w:right="1440" w:bottom="1440" w:gutter="0" w:footer="0" w:header="0"/>
        </w:sectPr>
      </w:pPr>
    </w:p>
    <w:bookmarkStart w:id="118" w:name="page119"/>
    <w:bookmarkEnd w:id="118"/>
    <w:p>
      <w:pPr>
        <w:jc w:val="both"/>
        <w:ind w:left="1120" w:right="1199" w:firstLine="511"/>
        <w:spacing w:after="0" w:line="271" w:lineRule="auto"/>
        <w:tabs>
          <w:tab w:leader="none" w:pos="2109" w:val="left"/>
        </w:tabs>
        <w:numPr>
          <w:ilvl w:val="0"/>
          <w:numId w:val="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The Board of Directors will grant to the Executive (pursuant to a written grant agreement) non-qualified stock options to purchase one hundred and fifty thousand (150,000) shares of common stock of the Bank (the "Option Grant"), with an exercise price per share equal to the Fair Market Value, as such term is defined in the Bank's Amended and Restated 2015 Equity Incentive Plan (the "2015 Equity Incentive Plan"), with such options to be designed in a manner to cause them to be exempt from Section 409A of the Internal Revenue Code under Section 1.409A-1 (b)(5)(i)(A) of the United States Department of the Treasury Regulations. This grant shall vest as follows: options covering 50,000 shares of common stock of the Bank shall vest on August 1, 2021; options covering 50,000 shares of common stock of the Bank shall vest on August 1,</w:t>
      </w:r>
    </w:p>
    <w:p>
      <w:pPr>
        <w:jc w:val="both"/>
        <w:ind w:left="1120" w:right="1199" w:firstLine="6"/>
        <w:spacing w:after="0" w:line="275" w:lineRule="auto"/>
        <w:rPr>
          <w:rFonts w:ascii="Arial" w:cs="Arial" w:eastAsia="Arial" w:hAnsi="Arial"/>
          <w:sz w:val="15"/>
          <w:szCs w:val="15"/>
          <w:color w:val="auto"/>
        </w:rPr>
      </w:pPr>
      <w:r>
        <w:rPr>
          <w:rFonts w:ascii="Arial" w:cs="Arial" w:eastAsia="Arial" w:hAnsi="Arial"/>
          <w:sz w:val="15"/>
          <w:szCs w:val="15"/>
          <w:color w:val="auto"/>
        </w:rPr>
        <w:t>2022; and options covering 50,000 shares of common stock of the Bank shall vest on August 1, 2023. Options may be exercised after they become vested and prior to the expiration of the term of the options, provided such exercise does not constitute an "ownership change" for the Bank within the meaning of Section 382 of the Code. In addition to the other vesting dates/events set forth in such grant, such Option Grant shall provide for accelerated vesting upon a Change in Control. The other terms of the Option Grant award shall comply with the Bank's 2015 Equity Incentive Plan.</w:t>
      </w:r>
    </w:p>
    <w:p>
      <w:pPr>
        <w:spacing w:after="0" w:line="69" w:lineRule="exact"/>
        <w:rPr>
          <w:rFonts w:ascii="Arial" w:cs="Arial" w:eastAsia="Arial" w:hAnsi="Arial"/>
          <w:sz w:val="15"/>
          <w:szCs w:val="15"/>
          <w:color w:val="auto"/>
        </w:rPr>
      </w:pPr>
    </w:p>
    <w:p>
      <w:pPr>
        <w:jc w:val="both"/>
        <w:ind w:left="1120" w:right="1219" w:firstLine="511"/>
        <w:spacing w:after="0" w:line="248" w:lineRule="auto"/>
        <w:tabs>
          <w:tab w:leader="none" w:pos="2109"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Executive shall receive an automobile allowance at the rate of $750 per month during the term of this Agreement. This transportation allowance will serve to cover all transportation expenses of Executive in the South Florida area including, but not limited to, transportation, gas and car maintenance.</w:t>
      </w:r>
    </w:p>
    <w:p>
      <w:pPr>
        <w:spacing w:after="0" w:line="227" w:lineRule="exact"/>
        <w:rPr>
          <w:sz w:val="20"/>
          <w:szCs w:val="20"/>
          <w:color w:val="auto"/>
        </w:rPr>
      </w:pPr>
    </w:p>
    <w:p>
      <w:pPr>
        <w:jc w:val="both"/>
        <w:ind w:left="1120" w:right="1199" w:firstLine="511"/>
        <w:spacing w:after="0" w:line="266" w:lineRule="auto"/>
        <w:tabs>
          <w:tab w:leader="none" w:pos="2110" w:val="left"/>
        </w:tabs>
        <w:numPr>
          <w:ilvl w:val="0"/>
          <w:numId w:val="72"/>
        </w:numPr>
        <w:rPr>
          <w:rFonts w:ascii="Arial" w:cs="Arial" w:eastAsia="Arial" w:hAnsi="Arial"/>
          <w:sz w:val="16"/>
          <w:szCs w:val="16"/>
          <w:color w:val="auto"/>
        </w:rPr>
      </w:pPr>
      <w:r>
        <w:rPr>
          <w:rFonts w:ascii="Arial" w:cs="Arial" w:eastAsia="Arial" w:hAnsi="Arial"/>
          <w:sz w:val="15"/>
          <w:szCs w:val="15"/>
          <w:color w:val="auto"/>
        </w:rPr>
        <w:t>Expenses. The Employer shall reimburse the Executive or otherwise provide for or pay for all reasonable expenses incurred by the Executive in furtherance of or in connection with the business of the Employer, including, but not by way of limitation, travel expenses, and all reasonable entertainment expenses, subject to such reasonable documentation and other limitations as may be established by the Board of Directors of the Bank. If such expenses are paid in the first instance by the Executive, the Employer shall reimburse the Executive therefor. Such reimbursement shall be paid promptly by the Bank and in any event no later than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of the year immediately following the year in which such expenses were incurred.</w:t>
      </w:r>
    </w:p>
    <w:p>
      <w:pPr>
        <w:spacing w:after="0" w:line="153" w:lineRule="exact"/>
        <w:rPr>
          <w:rFonts w:ascii="Arial" w:cs="Arial" w:eastAsia="Arial" w:hAnsi="Arial"/>
          <w:sz w:val="16"/>
          <w:szCs w:val="16"/>
          <w:color w:val="auto"/>
        </w:rPr>
      </w:pPr>
    </w:p>
    <w:p>
      <w:pPr>
        <w:ind w:left="2100" w:hanging="469"/>
        <w:spacing w:after="0"/>
        <w:tabs>
          <w:tab w:leader="none" w:pos="2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02" w:lineRule="exact"/>
        <w:rPr>
          <w:sz w:val="20"/>
          <w:szCs w:val="20"/>
          <w:color w:val="auto"/>
        </w:rPr>
      </w:pPr>
    </w:p>
    <w:p>
      <w:pPr>
        <w:jc w:val="both"/>
        <w:ind w:left="1120" w:right="1199" w:firstLine="511"/>
        <w:spacing w:after="0" w:line="264" w:lineRule="auto"/>
        <w:tabs>
          <w:tab w:leader="none" w:pos="21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Employer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72" w:lineRule="exact"/>
        <w:rPr>
          <w:rFonts w:ascii="Arial" w:cs="Arial" w:eastAsia="Arial" w:hAnsi="Arial"/>
          <w:sz w:val="16"/>
          <w:szCs w:val="16"/>
          <w:color w:val="auto"/>
        </w:rPr>
      </w:pPr>
    </w:p>
    <w:p>
      <w:pPr>
        <w:jc w:val="both"/>
        <w:ind w:left="1120" w:right="1219" w:firstLine="511"/>
        <w:spacing w:after="0" w:line="287" w:lineRule="auto"/>
        <w:tabs>
          <w:tab w:leader="none" w:pos="2109"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event that (i) the Executive's employment is terminated by the Employer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45" w:lineRule="exact"/>
        <w:rPr>
          <w:rFonts w:ascii="Arial" w:cs="Arial" w:eastAsia="Arial" w:hAnsi="Arial"/>
          <w:sz w:val="15"/>
          <w:szCs w:val="15"/>
          <w:color w:val="auto"/>
        </w:rPr>
      </w:pPr>
    </w:p>
    <w:p>
      <w:pPr>
        <w:jc w:val="both"/>
        <w:ind w:left="1120" w:right="1199" w:firstLine="511"/>
        <w:spacing w:after="0" w:line="248" w:lineRule="auto"/>
        <w:tabs>
          <w:tab w:leader="none" w:pos="2109"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236" w:lineRule="exact"/>
        <w:rPr>
          <w:rFonts w:ascii="Arial" w:cs="Arial" w:eastAsia="Arial" w:hAnsi="Arial"/>
          <w:sz w:val="17"/>
          <w:szCs w:val="17"/>
          <w:color w:val="auto"/>
        </w:rPr>
      </w:pPr>
    </w:p>
    <w:p>
      <w:pPr>
        <w:jc w:val="both"/>
        <w:ind w:left="1120" w:right="1199" w:firstLine="511"/>
        <w:spacing w:after="0" w:line="282" w:lineRule="auto"/>
        <w:tabs>
          <w:tab w:leader="none" w:pos="2109"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603" w:right="1440"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remains unpaid for the period prior to the date of his death, (ii) the pro rata portion of the Retention</w:t>
      </w:r>
    </w:p>
    <w:p>
      <w:pPr>
        <w:spacing w:after="0" w:line="44" w:lineRule="exact"/>
        <w:rPr>
          <w:sz w:val="20"/>
          <w:szCs w:val="20"/>
          <w:color w:val="auto"/>
        </w:rPr>
      </w:pPr>
    </w:p>
    <w:p>
      <w:pPr>
        <w:ind w:left="1120" w:right="1199"/>
        <w:spacing w:after="0" w:line="267" w:lineRule="auto"/>
        <w:rPr>
          <w:sz w:val="20"/>
          <w:szCs w:val="20"/>
          <w:color w:val="auto"/>
        </w:rPr>
      </w:pPr>
      <w:r>
        <w:rPr>
          <w:rFonts w:ascii="Arial" w:cs="Arial" w:eastAsia="Arial" w:hAnsi="Arial"/>
          <w:sz w:val="15"/>
          <w:szCs w:val="15"/>
          <w:color w:val="auto"/>
        </w:rPr>
        <w:t>Bonus earned as of the Date of Termination to the extent not yet fully vested and paid prior thereto and (iii) a lump sum cash payment equal to one-half (1/2) of the Executive's Base Salary, plus the</w:t>
      </w:r>
    </w:p>
    <w:p>
      <w:pPr>
        <w:ind w:left="1120" w:right="1199"/>
        <w:spacing w:after="0" w:line="267" w:lineRule="auto"/>
        <w:rPr>
          <w:sz w:val="20"/>
          <w:szCs w:val="20"/>
          <w:color w:val="auto"/>
        </w:rPr>
      </w:pPr>
      <w:r>
        <w:rPr>
          <w:rFonts w:ascii="Arial" w:cs="Arial" w:eastAsia="Arial" w:hAnsi="Arial"/>
          <w:sz w:val="15"/>
          <w:szCs w:val="15"/>
          <w:color w:val="auto"/>
        </w:rPr>
        <w:t>continuation of medical and dental benefits for his then spouse and/or dependents at the Bank's expense for a period of six (6) months after the date of his death. Upon the Executive's death, he</w:t>
      </w:r>
    </w:p>
    <w:p>
      <w:pPr>
        <w:ind w:left="1120" w:right="1199"/>
        <w:spacing w:after="0" w:line="235" w:lineRule="auto"/>
        <w:rPr>
          <w:sz w:val="20"/>
          <w:szCs w:val="20"/>
          <w:color w:val="auto"/>
        </w:rPr>
      </w:pPr>
      <w:r>
        <w:rPr>
          <w:rFonts w:ascii="Arial" w:cs="Arial" w:eastAsia="Arial" w:hAnsi="Arial"/>
          <w:sz w:val="17"/>
          <w:szCs w:val="17"/>
          <w:color w:val="auto"/>
        </w:rPr>
        <w:t>shall vest in any outstanding unvested options granted under the Option Award pursuant to Section 3(f) (and the terms of the awards granted under Section 3(f) shall so provide).</w:t>
      </w:r>
    </w:p>
    <w:p>
      <w:pPr>
        <w:spacing w:after="0" w:line="180" w:lineRule="exact"/>
        <w:rPr>
          <w:sz w:val="20"/>
          <w:szCs w:val="20"/>
          <w:color w:val="auto"/>
        </w:rPr>
      </w:pPr>
    </w:p>
    <w:p>
      <w:pPr>
        <w:jc w:val="both"/>
        <w:ind w:left="1120" w:right="1199" w:firstLine="511"/>
        <w:spacing w:after="0" w:line="267" w:lineRule="auto"/>
        <w:tabs>
          <w:tab w:leader="none" w:pos="2109"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the event that prior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the aggregate of (A) 50% of the Executive's then current annual Base Salary, (B) the pro rata portion of the Retention Bonus earned as of the Date of Termination to the extent not yet fully vested and paid prior thereto and (C) the amount accrued with respect to the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Bank from time to time for its employees, at the Bank's expense, for the period of time equal to the shorter of one (1) year or the maximum period of COBRA continuation coverage provided under Section 4980B(f) of the Code (with such coverage to be treated as COBRA coverage). With respect to the Bank's payment 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following the close of the calendar year in which the COBRA payments were made. Except as provided herein, the Severance Payment shall be in lieu of, and not in addition to, any Base Salary or other compensation or benefits that would have been paid under Sections 3(a), 3(b), 3(c), 3(d) and 3(e) above in the absence of a termination of employment, and the Executive shall have no rights pursuant to this Agreement to any Base Salary or other benefits for any period after the applicable Date of Termination.</w:t>
      </w:r>
    </w:p>
    <w:p>
      <w:pPr>
        <w:spacing w:after="0" w:line="39" w:lineRule="exact"/>
        <w:rPr>
          <w:sz w:val="20"/>
          <w:szCs w:val="20"/>
          <w:color w:val="auto"/>
        </w:rPr>
      </w:pPr>
    </w:p>
    <w:p>
      <w:pPr>
        <w:ind w:left="1120" w:right="1199" w:firstLine="553"/>
        <w:spacing w:after="0" w:line="271" w:lineRule="auto"/>
        <w:rPr>
          <w:sz w:val="20"/>
          <w:szCs w:val="20"/>
          <w:color w:val="auto"/>
        </w:rPr>
      </w:pPr>
      <w:r>
        <w:rPr>
          <w:rFonts w:ascii="Arial" w:cs="Arial" w:eastAsia="Arial" w:hAnsi="Arial"/>
          <w:sz w:val="15"/>
          <w:szCs w:val="15"/>
          <w:color w:val="auto"/>
        </w:rPr>
        <w:t>(D In the event that concurrently with or within twelve (12) months subsequent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the aggregate of (A) one (1) times the Executive's then current annual Base Salary and (B) the full amount of the Retention Bonus to the extent the Retention Bonus has not yet fully vested and been paid prior to the Date of Termination (the "Enhanced Severance Payment").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603" w:right="1440" w:bottom="1440" w:gutter="0" w:footer="0" w:header="0"/>
        </w:sectPr>
      </w:pPr>
    </w:p>
    <w:bookmarkStart w:id="120" w:name="page121"/>
    <w:bookmarkEnd w:id="120"/>
    <w:p>
      <w:pPr>
        <w:jc w:val="center"/>
        <w:ind w:right="9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expiration of the Restricted Period as set forth in Section 7 hereof. In addition, the Executive shall</w:t>
      </w:r>
    </w:p>
    <w:p>
      <w:pPr>
        <w:spacing w:after="0" w:line="44" w:lineRule="exact"/>
        <w:rPr>
          <w:sz w:val="20"/>
          <w:szCs w:val="20"/>
          <w:color w:val="auto"/>
        </w:rPr>
      </w:pPr>
    </w:p>
    <w:p>
      <w:pPr>
        <w:jc w:val="both"/>
        <w:ind w:left="1120" w:right="1199"/>
        <w:spacing w:after="0" w:line="267" w:lineRule="auto"/>
        <w:rPr>
          <w:sz w:val="20"/>
          <w:szCs w:val="20"/>
          <w:color w:val="auto"/>
        </w:rPr>
      </w:pPr>
      <w:r>
        <w:rPr>
          <w:rFonts w:ascii="Arial" w:cs="Arial" w:eastAsia="Arial" w:hAnsi="Arial"/>
          <w:sz w:val="15"/>
          <w:szCs w:val="15"/>
          <w:color w:val="auto"/>
        </w:rPr>
        <w:t>receive continued medical and dental benefits as provided by the Bank from time to time for its employees, at the Bank's expense, for the period of time equal to the shorter of eighteen (18) months</w:t>
      </w:r>
    </w:p>
    <w:p>
      <w:pPr>
        <w:jc w:val="both"/>
        <w:ind w:left="1120" w:right="1199"/>
        <w:spacing w:after="0" w:line="267" w:lineRule="auto"/>
        <w:rPr>
          <w:sz w:val="20"/>
          <w:szCs w:val="20"/>
          <w:color w:val="auto"/>
        </w:rPr>
      </w:pPr>
      <w:r>
        <w:rPr>
          <w:rFonts w:ascii="Arial" w:cs="Arial" w:eastAsia="Arial" w:hAnsi="Arial"/>
          <w:sz w:val="15"/>
          <w:szCs w:val="15"/>
          <w:color w:val="auto"/>
        </w:rPr>
        <w:t>or the maximum period of COBRA continuation coverage provided under Section 4980B(f) of the Code (with such coverage to be treated as COBRA coverage). With respect to the Bank's payment</w:t>
      </w:r>
    </w:p>
    <w:p>
      <w:pPr>
        <w:jc w:val="both"/>
        <w:ind w:left="1120" w:right="1199"/>
        <w:spacing w:after="0" w:line="245" w:lineRule="auto"/>
        <w:rPr>
          <w:sz w:val="20"/>
          <w:szCs w:val="20"/>
          <w:color w:val="auto"/>
        </w:rPr>
      </w:pPr>
      <w:r>
        <w:rPr>
          <w:rFonts w:ascii="Arial" w:cs="Arial" w:eastAsia="Arial" w:hAnsi="Arial"/>
          <w:sz w:val="16"/>
          <w:szCs w:val="16"/>
          <w:color w:val="auto"/>
        </w:rPr>
        <w:t>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following the close of the calendar year in which the COBRA payments were made. Except as provided herein, the Enhanced Severance Payment shall be in lieu of, and not in addition to, any Base Salary or other compensation or benefits that would have been paid under Sections 3(a), 3(b), 3(c), 3(d) and 3(e) above in the absence of a termination of employment, and the Executive shall have no rights pursuant to this Agreement to any Base Salary or other benefits for any period after the applicable Date of Termination.</w:t>
      </w:r>
    </w:p>
    <w:p>
      <w:pPr>
        <w:spacing w:after="0" w:line="177" w:lineRule="exact"/>
        <w:rPr>
          <w:sz w:val="20"/>
          <w:szCs w:val="20"/>
          <w:color w:val="auto"/>
        </w:rPr>
      </w:pPr>
    </w:p>
    <w:p>
      <w:pPr>
        <w:jc w:val="both"/>
        <w:ind w:left="1120" w:right="1199" w:firstLine="511"/>
        <w:spacing w:after="0" w:line="255" w:lineRule="auto"/>
        <w:tabs>
          <w:tab w:leader="none" w:pos="21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Executive's right to receive the severance benefits set forth in Sections 5(e) and 5(f) above shall be conditioned upon the Executive's execution of a general release which releases the Employer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terns of the general release (including any revocation period under such release) commences in one calendar year and ends in the succeeding calendar year, then the severance payment set forth in Sections 5(e) or 5(f), as applicable, above shall not be paid until the succeeding calendar year.</w:t>
      </w:r>
    </w:p>
    <w:p>
      <w:pPr>
        <w:spacing w:after="0" w:line="146" w:lineRule="exact"/>
        <w:rPr>
          <w:rFonts w:ascii="Arial" w:cs="Arial" w:eastAsia="Arial" w:hAnsi="Arial"/>
          <w:sz w:val="16"/>
          <w:szCs w:val="16"/>
          <w:color w:val="auto"/>
        </w:rPr>
      </w:pPr>
    </w:p>
    <w:p>
      <w:pPr>
        <w:jc w:val="both"/>
        <w:ind w:left="1120" w:right="1199" w:firstLine="511"/>
        <w:spacing w:after="0" w:line="270" w:lineRule="auto"/>
        <w:tabs>
          <w:tab w:leader="none" w:pos="2109" w:val="left"/>
        </w:tabs>
        <w:numPr>
          <w:ilvl w:val="0"/>
          <w:numId w:val="75"/>
        </w:numPr>
        <w:rPr>
          <w:rFonts w:ascii="Arial" w:cs="Arial" w:eastAsia="Arial" w:hAnsi="Arial"/>
          <w:sz w:val="15"/>
          <w:szCs w:val="15"/>
          <w:color w:val="auto"/>
        </w:rPr>
      </w:pPr>
      <w:r>
        <w:rPr>
          <w:rFonts w:ascii="Arial" w:cs="Arial" w:eastAsia="Arial" w:hAnsi="Arial"/>
          <w:sz w:val="15"/>
          <w:szCs w:val="15"/>
          <w:color w:val="auto"/>
        </w:rPr>
        <w:t>If, prior to the Executive's receipt of the Severance Payment or the Enhanced Severance Payment set forth in Sections 5(e) or 5(f), as applicable, respectively, above due to his termination of employment (including termination for Good Reason) and at such time the Bank is deemed to be in 'troubled condition" as defined in 12 C.F.R. 5303.101 (c), it is determined that the Executive (i) committed any fraudulent act or omission, breach of trust or fiduciary duty, or insider abuse with regard to the Employer that has had or is likely to have a material adverse effect on the Employer, (ii) is substantially responsible for the insolvency of, the appointment of a conservator or receiver for, or the troubled condition, as defined by applicable regulations of the appropriate federal banking agency, of the Employer, (iii) has materially violated any applicable federal or state banking law or regulation that has had or is likely to have a material adverse effect on the Employer, or (iv) has violated or conspired to violate Sections 215, 656, 657, 1005, 1006, 1007, 1014, 1302 or 1344 of Title 18 of the United State code, or Sections 1341 or 1343 of Title 18 affecting the Bank,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 to the Executive) return an amount equal to the Severance Payment or the Enhanced Severance Payment, as applicable, to the Employer in immediately available funds.</w:t>
      </w:r>
    </w:p>
    <w:p>
      <w:pPr>
        <w:spacing w:after="0" w:line="207" w:lineRule="exact"/>
        <w:rPr>
          <w:sz w:val="20"/>
          <w:szCs w:val="20"/>
          <w:color w:val="auto"/>
        </w:rPr>
      </w:pPr>
    </w:p>
    <w:p>
      <w:pPr>
        <w:jc w:val="both"/>
        <w:ind w:left="1120" w:right="1199" w:firstLine="511"/>
        <w:spacing w:after="0" w:line="281" w:lineRule="auto"/>
        <w:tabs>
          <w:tab w:leader="none" w:pos="2110" w:val="left"/>
        </w:tabs>
        <w:numPr>
          <w:ilvl w:val="0"/>
          <w:numId w:val="76"/>
        </w:numPr>
        <w:rPr>
          <w:rFonts w:ascii="Arial" w:cs="Arial" w:eastAsia="Arial" w:hAnsi="Arial"/>
          <w:sz w:val="16"/>
          <w:szCs w:val="16"/>
          <w:color w:val="auto"/>
        </w:rPr>
      </w:pPr>
      <w:r>
        <w:rPr>
          <w:rFonts w:ascii="Arial" w:cs="Arial" w:eastAsia="Arial" w:hAnsi="Arial"/>
          <w:sz w:val="15"/>
          <w:szCs w:val="15"/>
          <w:color w:val="auto"/>
        </w:rPr>
        <w:t>Limitation of Benefits under Certain Circumstances. If the payment pursuant to Section hereof, either alone or together with other payments and benefits which the Executive has the right to receive from the Employer, would constitute a "parachute payment" under Section 280G of the Code, then the amount payable by the Employer pursuant to Section 5(d) hereof shall</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603" w:right="1440"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be reduced by the minimum amount necessary to result in no portion of the amount payable by the</w:t>
      </w:r>
    </w:p>
    <w:p>
      <w:pPr>
        <w:spacing w:after="0" w:line="44" w:lineRule="exact"/>
        <w:rPr>
          <w:sz w:val="20"/>
          <w:szCs w:val="20"/>
          <w:color w:val="auto"/>
        </w:rPr>
      </w:pPr>
    </w:p>
    <w:p>
      <w:pPr>
        <w:jc w:val="both"/>
        <w:ind w:left="1120" w:right="1199"/>
        <w:spacing w:after="0" w:line="267" w:lineRule="auto"/>
        <w:rPr>
          <w:sz w:val="20"/>
          <w:szCs w:val="20"/>
          <w:color w:val="auto"/>
        </w:rPr>
      </w:pPr>
      <w:r>
        <w:rPr>
          <w:rFonts w:ascii="Arial" w:cs="Arial" w:eastAsia="Arial" w:hAnsi="Arial"/>
          <w:sz w:val="15"/>
          <w:szCs w:val="15"/>
          <w:color w:val="auto"/>
        </w:rPr>
        <w:t>Employer under Section 5(f) being non-deductible to the Employer pursuant to Section 280G of the Code and subject to the excise tax imposed under Section 4999 of the Code. The determination</w:t>
      </w:r>
    </w:p>
    <w:p>
      <w:pPr>
        <w:jc w:val="both"/>
        <w:ind w:left="1120" w:right="1199"/>
        <w:spacing w:after="0" w:line="267" w:lineRule="auto"/>
        <w:rPr>
          <w:sz w:val="20"/>
          <w:szCs w:val="20"/>
          <w:color w:val="auto"/>
        </w:rPr>
      </w:pPr>
      <w:r>
        <w:rPr>
          <w:rFonts w:ascii="Arial" w:cs="Arial" w:eastAsia="Arial" w:hAnsi="Arial"/>
          <w:sz w:val="15"/>
          <w:szCs w:val="15"/>
          <w:color w:val="auto"/>
        </w:rPr>
        <w:t>of any reduction in the amount payable pursuant to Section 5(d) shall be based upon the opinion of independent tax counsel selected by the Employer and paid for by the Employer. Such counsel</w:t>
      </w:r>
    </w:p>
    <w:p>
      <w:pPr>
        <w:jc w:val="both"/>
        <w:ind w:left="1120" w:right="1199"/>
        <w:spacing w:after="0" w:line="277" w:lineRule="auto"/>
        <w:rPr>
          <w:sz w:val="20"/>
          <w:szCs w:val="20"/>
          <w:color w:val="auto"/>
        </w:rPr>
      </w:pPr>
      <w:r>
        <w:rPr>
          <w:rFonts w:ascii="Arial" w:cs="Arial" w:eastAsia="Arial" w:hAnsi="Arial"/>
          <w:sz w:val="15"/>
          <w:szCs w:val="15"/>
          <w:color w:val="auto"/>
        </w:rPr>
        <w:t>shall promptly prepare the foregoing opinion, but in no event later than ten (10) days from the Date of Termination, and may use such actuaries as such counsel deems necessary or advisable for the purpose.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140" w:lineRule="exact"/>
        <w:rPr>
          <w:sz w:val="20"/>
          <w:szCs w:val="20"/>
          <w:color w:val="auto"/>
        </w:rPr>
      </w:pPr>
    </w:p>
    <w:p>
      <w:pPr>
        <w:ind w:left="2100" w:hanging="469"/>
        <w:spacing w:after="0"/>
        <w:tabs>
          <w:tab w:leader="none" w:pos="2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3" w:lineRule="exact"/>
        <w:rPr>
          <w:sz w:val="20"/>
          <w:szCs w:val="20"/>
          <w:color w:val="auto"/>
        </w:rPr>
      </w:pPr>
    </w:p>
    <w:p>
      <w:pPr>
        <w:jc w:val="both"/>
        <w:ind w:left="1120" w:right="1199" w:firstLine="511"/>
        <w:spacing w:after="0" w:line="269" w:lineRule="auto"/>
        <w:tabs>
          <w:tab w:leader="none" w:pos="2110" w:val="left"/>
        </w:tabs>
        <w:numPr>
          <w:ilvl w:val="0"/>
          <w:numId w:val="78"/>
        </w:numPr>
        <w:rPr>
          <w:rFonts w:ascii="Arial" w:cs="Arial" w:eastAsia="Arial" w:hAnsi="Arial"/>
          <w:sz w:val="16"/>
          <w:szCs w:val="16"/>
          <w:color w:val="auto"/>
        </w:rPr>
      </w:pPr>
      <w:r>
        <w:rPr>
          <w:rFonts w:ascii="Arial" w:cs="Arial" w:eastAsia="Arial" w:hAnsi="Arial"/>
          <w:sz w:val="15"/>
          <w:szCs w:val="15"/>
          <w:color w:val="auto"/>
        </w:rPr>
        <w:t>Trade Secrets. The Executive acknowledges that he has had, and will have, access to confidential information of the Bank (including, but not limited to, current and prospective confidential know-how, customer lists, marketing plans, business plans, financial and pricing information, and information regarding acquisitions, mergers and/or joint ventures) concerning the business, customers, contacts, prospects, and assets of the Bank that is unique, valuable and not generally known outside the Bank, and that was obtained from the Bank or which was learned as a result of the performance of services by the Executive on behalf of the Bank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Bank; (iii) is hereafter furnished without restriction on disclosure to the Executive by a third party, other than an employee or agent of the Bank, who is not under any obligation of confidentiality to the Bank or an Affiliate; (iv) is disclosed with the written approval of the Bank;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Bank notice of such disclosure and cooperate in seeking suitable protections. Other than in the course of performing services for the Bank, the Executive will not, at any time, directly or indirectly use, divulge, furnish or make accessible to any person any Trade Secrets, but instead will keep all Trade Secrets strictly and absolutely confidential. The Executive will deliver promptly to the Bank, at the termination of his employment or at any other time at the request of the Employer, without retaining any copies, all documents and other materials in his possession relating, directly or indirectly, to any Trade Secrets.</w:t>
      </w:r>
    </w:p>
    <w:p>
      <w:pPr>
        <w:spacing w:after="0" w:line="351" w:lineRule="exact"/>
        <w:rPr>
          <w:rFonts w:ascii="Arial" w:cs="Arial" w:eastAsia="Arial" w:hAnsi="Arial"/>
          <w:sz w:val="16"/>
          <w:szCs w:val="16"/>
          <w:color w:val="auto"/>
        </w:rPr>
      </w:pPr>
    </w:p>
    <w:p>
      <w:pPr>
        <w:jc w:val="both"/>
        <w:ind w:left="1120" w:right="1199" w:firstLine="511"/>
        <w:spacing w:after="0" w:line="272" w:lineRule="auto"/>
        <w:tabs>
          <w:tab w:leader="none" w:pos="2110" w:val="left"/>
        </w:tabs>
        <w:numPr>
          <w:ilvl w:val="0"/>
          <w:numId w:val="78"/>
        </w:numPr>
        <w:rPr>
          <w:rFonts w:ascii="Arial" w:cs="Arial" w:eastAsia="Arial" w:hAnsi="Arial"/>
          <w:sz w:val="16"/>
          <w:szCs w:val="16"/>
          <w:color w:val="auto"/>
        </w:rPr>
      </w:pPr>
      <w:r>
        <w:rPr>
          <w:rFonts w:ascii="Arial" w:cs="Arial" w:eastAsia="Arial" w:hAnsi="Arial"/>
          <w:sz w:val="15"/>
          <w:szCs w:val="15"/>
          <w:color w:val="auto"/>
        </w:rPr>
        <w:t>Non-Competition. If the Executive's employment is terminated during the term of this Agreement for Cause or without Cause, before or after a Change in Control, or the Executive terminates his employment hereunder other 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 in the banking business which has an office in the State of Florida ("Competing Business"); (ii) as agent or principal, carrying on or engaging in any activities or negotiations with respect to the acquisition or disposition of a Competing Business; (iii) extending credit for the purpose of establishing or operating a Competing Business; (iv) lending or allowing the Executive's name or reputation to be used in a Competing Business; and (v) otherwise allowing the Executive's skill, knowledge or experience to be used in a Competing Business. Notwithstanding the foregoing,</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603" w:right="1440"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nothing in this Agreement shall prevent the Executive from owning for passive investment</w:t>
      </w:r>
    </w:p>
    <w:p>
      <w:pPr>
        <w:spacing w:after="0" w:line="32" w:lineRule="exact"/>
        <w:rPr>
          <w:sz w:val="20"/>
          <w:szCs w:val="20"/>
          <w:color w:val="auto"/>
        </w:rPr>
      </w:pPr>
    </w:p>
    <w:p>
      <w:pPr>
        <w:jc w:val="both"/>
        <w:ind w:left="1120" w:right="1219"/>
        <w:spacing w:after="0" w:line="267" w:lineRule="auto"/>
        <w:rPr>
          <w:sz w:val="20"/>
          <w:szCs w:val="20"/>
          <w:color w:val="auto"/>
        </w:rPr>
      </w:pPr>
      <w:r>
        <w:rPr>
          <w:rFonts w:ascii="Arial" w:cs="Arial" w:eastAsia="Arial" w:hAnsi="Arial"/>
          <w:sz w:val="15"/>
          <w:szCs w:val="15"/>
          <w:color w:val="auto"/>
        </w:rPr>
        <w:t>purposes not intended to circumvent this Agreement, less than five percent (5%) of the publicly traded voting securities of any company engaged in the banking, financial services or other business</w:t>
      </w:r>
    </w:p>
    <w:p>
      <w:pPr>
        <w:jc w:val="both"/>
        <w:ind w:left="1120" w:right="1219"/>
        <w:spacing w:after="0" w:line="250" w:lineRule="auto"/>
        <w:rPr>
          <w:sz w:val="20"/>
          <w:szCs w:val="20"/>
          <w:color w:val="auto"/>
        </w:rPr>
      </w:pPr>
      <w:r>
        <w:rPr>
          <w:rFonts w:ascii="Arial" w:cs="Arial" w:eastAsia="Arial" w:hAnsi="Arial"/>
          <w:sz w:val="16"/>
          <w:szCs w:val="16"/>
          <w:color w:val="auto"/>
        </w:rPr>
        <w:t>similar to or competitive with the Employer (so long as the Executive has no power to manage, operate, advise, consult with or control the competing enterprise and no power, alone or in</w:t>
      </w:r>
    </w:p>
    <w:p>
      <w:pPr>
        <w:spacing w:after="0" w:line="1" w:lineRule="exact"/>
        <w:rPr>
          <w:sz w:val="20"/>
          <w:szCs w:val="20"/>
          <w:color w:val="auto"/>
        </w:rPr>
      </w:pPr>
    </w:p>
    <w:p>
      <w:pPr>
        <w:jc w:val="both"/>
        <w:ind w:left="1120" w:right="1219"/>
        <w:spacing w:after="0" w:line="235" w:lineRule="auto"/>
        <w:rPr>
          <w:sz w:val="20"/>
          <w:szCs w:val="20"/>
          <w:color w:val="auto"/>
        </w:rPr>
      </w:pPr>
      <w:r>
        <w:rPr>
          <w:rFonts w:ascii="Arial" w:cs="Arial" w:eastAsia="Arial" w:hAnsi="Arial"/>
          <w:sz w:val="17"/>
          <w:szCs w:val="17"/>
          <w:color w:val="auto"/>
        </w:rPr>
        <w:t>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235" w:lineRule="exact"/>
        <w:rPr>
          <w:sz w:val="20"/>
          <w:szCs w:val="20"/>
          <w:color w:val="auto"/>
        </w:rPr>
      </w:pPr>
    </w:p>
    <w:p>
      <w:pPr>
        <w:jc w:val="both"/>
        <w:ind w:left="1120" w:right="1199" w:firstLine="511"/>
        <w:spacing w:after="0" w:line="255" w:lineRule="auto"/>
        <w:tabs>
          <w:tab w:leader="none" w:pos="2110" w:val="left"/>
        </w:tabs>
        <w:numPr>
          <w:ilvl w:val="0"/>
          <w:numId w:val="79"/>
        </w:numPr>
        <w:rPr>
          <w:rFonts w:ascii="Arial" w:cs="Arial" w:eastAsia="Arial" w:hAnsi="Arial"/>
          <w:sz w:val="17"/>
          <w:szCs w:val="17"/>
          <w:color w:val="auto"/>
        </w:rPr>
      </w:pPr>
      <w:r>
        <w:rPr>
          <w:rFonts w:ascii="Arial" w:cs="Arial" w:eastAsia="Arial" w:hAnsi="Arial"/>
          <w:sz w:val="16"/>
          <w:szCs w:val="16"/>
          <w:color w:val="auto"/>
        </w:rPr>
        <w:t>Non-Solicitation of Employees. During the Restricted Period, without the written consent of the Bank, the Executive shall not, directly or indirectly, solicit, induce or hire, or attempt to solicit, induce or hire, any current employee of the Employer, or any individual who becomes an employee during the Restricted Period, to leave his or her employment with the Employer or join or become affiliated with any other business or entity, or in any way interfere with the employment relationship between any employee and the Employer.</w:t>
      </w:r>
    </w:p>
    <w:p>
      <w:pPr>
        <w:spacing w:after="0" w:line="212" w:lineRule="exact"/>
        <w:rPr>
          <w:rFonts w:ascii="Arial" w:cs="Arial" w:eastAsia="Arial" w:hAnsi="Arial"/>
          <w:sz w:val="17"/>
          <w:szCs w:val="17"/>
          <w:color w:val="auto"/>
        </w:rPr>
      </w:pPr>
    </w:p>
    <w:p>
      <w:pPr>
        <w:jc w:val="both"/>
        <w:ind w:left="1120" w:right="1199" w:firstLine="511"/>
        <w:spacing w:after="0" w:line="273" w:lineRule="auto"/>
        <w:tabs>
          <w:tab w:leader="none" w:pos="2110" w:val="left"/>
        </w:tabs>
        <w:numPr>
          <w:ilvl w:val="0"/>
          <w:numId w:val="79"/>
        </w:numPr>
        <w:rPr>
          <w:rFonts w:ascii="Arial" w:cs="Arial" w:eastAsia="Arial" w:hAnsi="Arial"/>
          <w:sz w:val="16"/>
          <w:szCs w:val="16"/>
          <w:color w:val="auto"/>
        </w:rPr>
      </w:pPr>
      <w:r>
        <w:rPr>
          <w:rFonts w:ascii="Arial" w:cs="Arial" w:eastAsia="Arial" w:hAnsi="Arial"/>
          <w:sz w:val="15"/>
          <w:szCs w:val="15"/>
          <w:color w:val="auto"/>
        </w:rPr>
        <w:t>Non-Solicitation of Customers. During the Restricted Period, without the written consent of the Bank, the Executive shall not, directly or indirectly, solicit or induce, or attempt to solicit or induce, any customer, any person being then solicited by the Bank to be a customer, lender, supplier, licensee, licensor or other business relation of the Employer to terminate its relationship or contract with the Employer, to cease doing business with the Employer, or in any way interfere with the relationship between any such customer, lender, supplier, licensee or business relation and the Employer (including making any negative or derogatory statements or communications concerning the Employer or its directors, officers or employees).</w:t>
      </w:r>
    </w:p>
    <w:p>
      <w:pPr>
        <w:spacing w:after="0" w:line="156" w:lineRule="exact"/>
        <w:rPr>
          <w:rFonts w:ascii="Arial" w:cs="Arial" w:eastAsia="Arial" w:hAnsi="Arial"/>
          <w:sz w:val="16"/>
          <w:szCs w:val="16"/>
          <w:color w:val="auto"/>
        </w:rPr>
      </w:pPr>
    </w:p>
    <w:p>
      <w:pPr>
        <w:jc w:val="both"/>
        <w:ind w:left="1120" w:right="1199" w:firstLine="511"/>
        <w:spacing w:after="0" w:line="274" w:lineRule="auto"/>
        <w:tabs>
          <w:tab w:leader="none" w:pos="2109"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Intellectual Property. Executive will disclose to Employer all work, products including ideas, inventions, literary property, music, lyrics, scripts, themes, slogans, titles, copy, art and any other relevant material which could reasonably be used by Employer or any of its clients (herein collectively called "Intellectual Property") which he may create any time during the term of employment, whether created during or after working hours. Employer and Executive agree that all Intellectual Property shall be deemed to be "works made for hire" and the sole property of Employer. Executive agrees to execute and deliver all documents which Employer may deem necessary or advisable in order to confirm such ownership or to register Intellectual Property in the name of Employer or any of its clients in the United States and all foreign countries.</w:t>
      </w:r>
    </w:p>
    <w:p>
      <w:pPr>
        <w:spacing w:after="0" w:line="158" w:lineRule="exact"/>
        <w:rPr>
          <w:rFonts w:ascii="Arial" w:cs="Arial" w:eastAsia="Arial" w:hAnsi="Arial"/>
          <w:sz w:val="15"/>
          <w:szCs w:val="15"/>
          <w:color w:val="auto"/>
        </w:rPr>
      </w:pPr>
    </w:p>
    <w:p>
      <w:pPr>
        <w:jc w:val="both"/>
        <w:ind w:left="1120" w:right="1199" w:firstLine="511"/>
        <w:spacing w:after="0" w:line="255" w:lineRule="auto"/>
        <w:tabs>
          <w:tab w:leader="none" w:pos="2109"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Non-Disparagement. The Executive agrees that he shall not make, or cause to be made, any disparaging or critical remarks, comments or statements about or against the Bank or its subsidiaries or affiliates or any director, officer, employee or customer of any such entities at any time in the future, except for any statements by him made pursuant to lawful subpoena or legal process. Executive acknowledges that the Employer's reputation and image in the market is one of its principal assets and that Employer has expended substantial time, effort and money in building this reputation and image and that, accordingly, any action or comment by the Executive which is damaging to or in any way diminishes such image or reputation will cause Employer irreparable injury.</w:t>
      </w:r>
    </w:p>
    <w:p>
      <w:pPr>
        <w:spacing w:after="0" w:line="171" w:lineRule="exact"/>
        <w:rPr>
          <w:rFonts w:ascii="Arial" w:cs="Arial" w:eastAsia="Arial" w:hAnsi="Arial"/>
          <w:sz w:val="16"/>
          <w:szCs w:val="16"/>
          <w:color w:val="auto"/>
        </w:rPr>
      </w:pPr>
    </w:p>
    <w:p>
      <w:pPr>
        <w:jc w:val="both"/>
        <w:ind w:left="1120" w:right="1199" w:firstLine="511"/>
        <w:spacing w:after="0" w:line="282" w:lineRule="auto"/>
        <w:tabs>
          <w:tab w:leader="none" w:pos="2109" w:val="left"/>
        </w:tabs>
        <w:numPr>
          <w:ilvl w:val="0"/>
          <w:numId w:val="79"/>
        </w:numPr>
        <w:rPr>
          <w:rFonts w:ascii="Arial" w:cs="Arial" w:eastAsia="Arial" w:hAnsi="Arial"/>
          <w:sz w:val="15"/>
          <w:szCs w:val="15"/>
          <w:color w:val="auto"/>
        </w:rPr>
      </w:pPr>
      <w:r>
        <w:rPr>
          <w:rFonts w:ascii="Arial" w:cs="Arial" w:eastAsia="Arial" w:hAnsi="Arial"/>
          <w:sz w:val="15"/>
          <w:szCs w:val="15"/>
          <w:color w:val="auto"/>
        </w:rPr>
        <w:t>Irreparable Harm. The Executive acknowledges that: (i) the Executive's compliance with Section 7 of this Agreement is necessary to preserve and protect the proprietary rights, Trade Secrets, and the goodwill of the Employer as a going concern, and (ii) any failure by the Executive to comply with the provisions of this Agreement will result in irreparable and continuing injury for which there will be no adequate remedy at law. In the event that the Executive fails to comply with</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19"/>
          </w:cols>
          <w:pgMar w:left="1440" w:top="603" w:right="1440"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the terms and conditions of this Agreement, the obligations of the Employer to pay the severance</w:t>
      </w:r>
    </w:p>
    <w:p>
      <w:pPr>
        <w:spacing w:after="0" w:line="44" w:lineRule="exact"/>
        <w:rPr>
          <w:sz w:val="20"/>
          <w:szCs w:val="20"/>
          <w:color w:val="auto"/>
        </w:rPr>
      </w:pPr>
    </w:p>
    <w:p>
      <w:pPr>
        <w:jc w:val="both"/>
        <w:ind w:left="1120" w:right="1199"/>
        <w:spacing w:after="0" w:line="267" w:lineRule="auto"/>
        <w:rPr>
          <w:sz w:val="20"/>
          <w:szCs w:val="20"/>
          <w:color w:val="auto"/>
        </w:rPr>
      </w:pPr>
      <w:r>
        <w:rPr>
          <w:rFonts w:ascii="Arial" w:cs="Arial" w:eastAsia="Arial" w:hAnsi="Arial"/>
          <w:sz w:val="15"/>
          <w:szCs w:val="15"/>
          <w:color w:val="auto"/>
        </w:rPr>
        <w:t>benefits set forth in Section 5 shall cease, and the Employer will be entitled, in addition to other relief that may be proper, to all types of equitable relief (including, but not limited to, the issuance</w:t>
      </w:r>
    </w:p>
    <w:p>
      <w:pPr>
        <w:jc w:val="both"/>
        <w:ind w:left="1120" w:right="1199"/>
        <w:spacing w:after="0" w:line="235" w:lineRule="auto"/>
        <w:rPr>
          <w:sz w:val="20"/>
          <w:szCs w:val="20"/>
          <w:color w:val="auto"/>
        </w:rPr>
      </w:pPr>
      <w:r>
        <w:rPr>
          <w:rFonts w:ascii="Arial" w:cs="Arial" w:eastAsia="Arial" w:hAnsi="Arial"/>
          <w:sz w:val="17"/>
          <w:szCs w:val="17"/>
          <w:color w:val="auto"/>
        </w:rPr>
        <w:t>of an injunction and/or temporary restraining order and the recoupment of any severance previously paid) that may be necessary to cause the Executive to comply with this Agreement, to restore to the Employer their property, and to make the Employer whole.</w:t>
      </w:r>
    </w:p>
    <w:p>
      <w:pPr>
        <w:spacing w:after="0" w:line="177" w:lineRule="exact"/>
        <w:rPr>
          <w:sz w:val="20"/>
          <w:szCs w:val="20"/>
          <w:color w:val="auto"/>
        </w:rPr>
      </w:pPr>
    </w:p>
    <w:p>
      <w:pPr>
        <w:ind w:left="1120" w:right="1219" w:firstLine="511"/>
        <w:spacing w:after="0" w:line="262" w:lineRule="auto"/>
        <w:tabs>
          <w:tab w:leader="none" w:pos="2110" w:val="left"/>
        </w:tabs>
        <w:numPr>
          <w:ilvl w:val="0"/>
          <w:numId w:val="80"/>
        </w:numPr>
        <w:rPr>
          <w:rFonts w:ascii="Arial" w:cs="Arial" w:eastAsia="Arial" w:hAnsi="Arial"/>
          <w:sz w:val="17"/>
          <w:szCs w:val="17"/>
          <w:color w:val="auto"/>
        </w:rPr>
      </w:pPr>
      <w:r>
        <w:rPr>
          <w:rFonts w:ascii="Arial" w:cs="Arial" w:eastAsia="Arial" w:hAnsi="Arial"/>
          <w:sz w:val="18"/>
          <w:szCs w:val="18"/>
          <w:color w:val="auto"/>
        </w:rPr>
        <w:t>Survival</w:t>
      </w:r>
      <w:r>
        <w:rPr>
          <w:rFonts w:ascii="Arial" w:cs="Arial" w:eastAsia="Arial" w:hAnsi="Arial"/>
          <w:sz w:val="17"/>
          <w:szCs w:val="17"/>
          <w:color w:val="auto"/>
        </w:rPr>
        <w:t>. The provisions set forth in this Section 7 shall survive the termination of</w:t>
      </w:r>
      <w:r>
        <w:rPr>
          <w:rFonts w:ascii="Arial" w:cs="Arial" w:eastAsia="Arial" w:hAnsi="Arial"/>
          <w:sz w:val="18"/>
          <w:szCs w:val="18"/>
          <w:color w:val="auto"/>
        </w:rPr>
        <w:t xml:space="preserve"> </w:t>
      </w:r>
      <w:r>
        <w:rPr>
          <w:rFonts w:ascii="Arial" w:cs="Arial" w:eastAsia="Arial" w:hAnsi="Arial"/>
          <w:sz w:val="17"/>
          <w:szCs w:val="17"/>
          <w:color w:val="auto"/>
        </w:rPr>
        <w:t>this Agreement.</w:t>
      </w:r>
    </w:p>
    <w:p>
      <w:pPr>
        <w:spacing w:after="0" w:line="159" w:lineRule="exact"/>
        <w:rPr>
          <w:rFonts w:ascii="Arial" w:cs="Arial" w:eastAsia="Arial" w:hAnsi="Arial"/>
          <w:sz w:val="17"/>
          <w:szCs w:val="17"/>
          <w:color w:val="auto"/>
        </w:rPr>
      </w:pPr>
    </w:p>
    <w:p>
      <w:pPr>
        <w:jc w:val="both"/>
        <w:ind w:left="1120" w:right="1199" w:firstLine="511"/>
        <w:spacing w:after="0" w:line="282" w:lineRule="auto"/>
        <w:tabs>
          <w:tab w:leader="none" w:pos="2109" w:val="left"/>
        </w:tabs>
        <w:numPr>
          <w:ilvl w:val="0"/>
          <w:numId w:val="80"/>
        </w:numPr>
        <w:rPr>
          <w:rFonts w:ascii="Arial" w:cs="Arial" w:eastAsia="Arial" w:hAnsi="Arial"/>
          <w:sz w:val="15"/>
          <w:szCs w:val="15"/>
          <w:color w:val="auto"/>
        </w:rPr>
      </w:pPr>
      <w:r>
        <w:rPr>
          <w:rFonts w:ascii="Arial" w:cs="Arial" w:eastAsia="Arial" w:hAnsi="Arial"/>
          <w:sz w:val="15"/>
          <w:szCs w:val="15"/>
          <w:color w:val="auto"/>
        </w:rPr>
        <w:t>Scope Limitations. If the scope, period of time or area of restriction specified in this Section 7 are or would be judged to be unreasonable in any court proceeding, then the period of time, scope or area of restriction will be reduced or limited in the manner and to the extent necessary to make the restriction reasonable, so that the restriction may be enforced in those areas, during the period of time and in the scope that are or would be judged to be reasonable.</w:t>
      </w:r>
    </w:p>
    <w:p>
      <w:pPr>
        <w:spacing w:after="0" w:line="146" w:lineRule="exact"/>
        <w:rPr>
          <w:sz w:val="20"/>
          <w:szCs w:val="20"/>
          <w:color w:val="auto"/>
        </w:rPr>
      </w:pPr>
    </w:p>
    <w:p>
      <w:pPr>
        <w:ind w:left="2100" w:hanging="469"/>
        <w:spacing w:after="0"/>
        <w:tabs>
          <w:tab w:leader="none" w:pos="2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Mitigation; Exclusivity of Benefits.</w:t>
      </w:r>
    </w:p>
    <w:p>
      <w:pPr>
        <w:spacing w:after="0" w:line="202" w:lineRule="exact"/>
        <w:rPr>
          <w:sz w:val="20"/>
          <w:szCs w:val="20"/>
          <w:color w:val="auto"/>
        </w:rPr>
      </w:pPr>
    </w:p>
    <w:p>
      <w:pPr>
        <w:jc w:val="both"/>
        <w:ind w:left="1120" w:right="1199" w:firstLine="511"/>
        <w:spacing w:after="0" w:line="244" w:lineRule="auto"/>
        <w:tabs>
          <w:tab w:leader="none" w:pos="210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75" w:lineRule="exact"/>
        <w:rPr>
          <w:rFonts w:ascii="Arial" w:cs="Arial" w:eastAsia="Arial" w:hAnsi="Arial"/>
          <w:sz w:val="17"/>
          <w:szCs w:val="17"/>
          <w:color w:val="auto"/>
        </w:rPr>
      </w:pPr>
    </w:p>
    <w:p>
      <w:pPr>
        <w:jc w:val="both"/>
        <w:ind w:left="1120" w:right="1199" w:firstLine="511"/>
        <w:spacing w:after="0" w:line="271" w:lineRule="auto"/>
        <w:tabs>
          <w:tab w:leader="none" w:pos="21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specific arrangements referred to herein are not intended to exclude any other benefits which may be available to the Executive upon a termination of employment with the Employer pursuant to employee benefit plans of the Employer or otherwise.</w:t>
      </w:r>
    </w:p>
    <w:p>
      <w:pPr>
        <w:spacing w:after="0" w:line="166" w:lineRule="exact"/>
        <w:rPr>
          <w:sz w:val="20"/>
          <w:szCs w:val="20"/>
          <w:color w:val="auto"/>
        </w:rPr>
      </w:pPr>
    </w:p>
    <w:p>
      <w:pPr>
        <w:jc w:val="both"/>
        <w:ind w:left="1120" w:right="1199" w:firstLine="511"/>
        <w:spacing w:after="0" w:line="239" w:lineRule="auto"/>
        <w:tabs>
          <w:tab w:leader="none" w:pos="2110" w:val="left"/>
        </w:tabs>
        <w:numPr>
          <w:ilvl w:val="0"/>
          <w:numId w:val="83"/>
        </w:numPr>
        <w:rPr>
          <w:rFonts w:ascii="Arial" w:cs="Arial" w:eastAsia="Arial" w:hAnsi="Arial"/>
          <w:sz w:val="18"/>
          <w:szCs w:val="18"/>
          <w:color w:val="auto"/>
        </w:rPr>
      </w:pPr>
      <w:r>
        <w:rPr>
          <w:rFonts w:ascii="Arial" w:cs="Arial" w:eastAsia="Arial" w:hAnsi="Arial"/>
          <w:sz w:val="17"/>
          <w:szCs w:val="17"/>
          <w:color w:val="auto"/>
        </w:rPr>
        <w:t>Withholding. All payments required to be made by the Employer hereunder to the Executive shall be subject to the withholding of such amounts, if any, relating to tax and other payroll deductions as the Employer may reasonably determine should be withheld pursuant to any applicable law or regulation.</w:t>
      </w:r>
    </w:p>
    <w:p>
      <w:pPr>
        <w:spacing w:after="0" w:line="191" w:lineRule="exact"/>
        <w:rPr>
          <w:rFonts w:ascii="Arial" w:cs="Arial" w:eastAsia="Arial" w:hAnsi="Arial"/>
          <w:sz w:val="18"/>
          <w:szCs w:val="18"/>
          <w:color w:val="auto"/>
        </w:rPr>
      </w:pPr>
    </w:p>
    <w:p>
      <w:pPr>
        <w:jc w:val="both"/>
        <w:ind w:left="1120" w:right="1199" w:firstLine="511"/>
        <w:spacing w:after="0" w:line="254" w:lineRule="auto"/>
        <w:tabs>
          <w:tab w:leader="none" w:pos="2110" w:val="left"/>
        </w:tabs>
        <w:numPr>
          <w:ilvl w:val="0"/>
          <w:numId w:val="83"/>
        </w:numPr>
        <w:rPr>
          <w:rFonts w:ascii="Arial" w:cs="Arial" w:eastAsia="Arial" w:hAnsi="Arial"/>
          <w:sz w:val="17"/>
          <w:szCs w:val="17"/>
          <w:color w:val="auto"/>
        </w:rPr>
      </w:pPr>
      <w:r>
        <w:rPr>
          <w:rFonts w:ascii="Arial" w:cs="Arial" w:eastAsia="Arial" w:hAnsi="Arial"/>
          <w:sz w:val="16"/>
          <w:szCs w:val="16"/>
          <w:color w:val="auto"/>
        </w:rPr>
        <w:t>Assignability. The Bank may assign this Agreement and its rights and obligations hereunder in whole, but not in part, to any corporation, bank or other entity with or into which the Bank may hereafter merge or consolidate or to which the Bank may transfer all or substantially all of its assets, if in any such case said corporation, bank or other entity shall by operation of law or expressly in writing assume all obligations of the Employer hereunder as fully as if it had been originally made a party hereto, but may not otherwise assign this Agreement or their rights and obligations hereunder. The Executive may not assign or transfer this Agreement or any rights or obligations hereunder.</w:t>
      </w:r>
    </w:p>
    <w:p>
      <w:pPr>
        <w:spacing w:after="0" w:line="190" w:lineRule="exact"/>
        <w:rPr>
          <w:rFonts w:ascii="Arial" w:cs="Arial" w:eastAsia="Arial" w:hAnsi="Arial"/>
          <w:sz w:val="17"/>
          <w:szCs w:val="17"/>
          <w:color w:val="auto"/>
        </w:rPr>
      </w:pPr>
    </w:p>
    <w:p>
      <w:pPr>
        <w:jc w:val="both"/>
        <w:ind w:left="1120" w:right="1199" w:firstLine="511"/>
        <w:spacing w:after="0" w:line="259" w:lineRule="auto"/>
        <w:tabs>
          <w:tab w:leader="none" w:pos="2110" w:val="left"/>
        </w:tabs>
        <w:numPr>
          <w:ilvl w:val="0"/>
          <w:numId w:val="83"/>
        </w:numPr>
        <w:rPr>
          <w:rFonts w:ascii="Arial" w:cs="Arial" w:eastAsia="Arial" w:hAnsi="Arial"/>
          <w:sz w:val="17"/>
          <w:szCs w:val="17"/>
          <w:color w:val="auto"/>
        </w:rPr>
      </w:pPr>
      <w:r>
        <w:rPr>
          <w:rFonts w:ascii="Arial" w:cs="Arial" w:eastAsia="Arial" w:hAnsi="Arial"/>
          <w:sz w:val="16"/>
          <w:szCs w:val="16"/>
          <w:color w:val="auto"/>
        </w:rPr>
        <w:t>Notice. For the purposes of this Agreement, notices and all other communications provided for in this Agreement shall be in writing and shall be deemed to have been duly given when delivered or mailed by certified or registered mail, return receipt requested, postage prepaid, addressed to the respective addresses set forth below:</w:t>
      </w:r>
    </w:p>
    <w:p>
      <w:pPr>
        <w:sectPr>
          <w:pgSz w:w="11900" w:h="16838" w:orient="portrait"/>
          <w:cols w:equalWidth="0" w:num="1">
            <w:col w:w="9019"/>
          </w:cols>
          <w:pgMar w:left="1440" w:top="603" w:right="1440" w:bottom="1440" w:gutter="0" w:footer="0" w:header="0"/>
        </w:sectPr>
      </w:pP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To the Bank:</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President and Chief Executive Officer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U.S. Century Bank</w:t>
      </w:r>
    </w:p>
    <w:p>
      <w:pPr>
        <w:spacing w:after="0" w:line="15" w:lineRule="exact"/>
        <w:rPr>
          <w:sz w:val="20"/>
          <w:szCs w:val="20"/>
          <w:color w:val="auto"/>
        </w:rPr>
      </w:pPr>
    </w:p>
    <w:p>
      <w:pPr>
        <w:sectPr>
          <w:pgSz w:w="11900" w:h="16838" w:orient="portrait"/>
          <w:cols w:equalWidth="0" w:num="2">
            <w:col w:w="2500" w:space="640"/>
            <w:col w:w="5879"/>
          </w:cols>
          <w:pgMar w:left="1440" w:top="603" w:right="1440" w:bottom="1440" w:gutter="0" w:footer="0" w:header="0"/>
          <w:type w:val="continuous"/>
        </w:sectPr>
      </w:pPr>
    </w:p>
    <w:p>
      <w:pPr>
        <w:ind w:left="3140"/>
        <w:spacing w:after="0"/>
        <w:rPr>
          <w:sz w:val="20"/>
          <w:szCs w:val="20"/>
          <w:color w:val="auto"/>
        </w:rPr>
      </w:pPr>
      <w:r>
        <w:rPr>
          <w:rFonts w:ascii="Arial" w:cs="Arial" w:eastAsia="Arial" w:hAnsi="Arial"/>
          <w:sz w:val="15"/>
          <w:szCs w:val="15"/>
          <w:color w:val="auto"/>
        </w:rPr>
        <w:t>2301 N.W. 87</w:t>
      </w:r>
      <w:r>
        <w:rPr>
          <w:rFonts w:ascii="Arial" w:cs="Arial" w:eastAsia="Arial" w:hAnsi="Arial"/>
          <w:sz w:val="10"/>
          <w:szCs w:val="10"/>
          <w:color w:val="auto"/>
        </w:rPr>
        <w:t>th</w:t>
      </w:r>
      <w:r>
        <w:rPr>
          <w:rFonts w:ascii="Arial" w:cs="Arial" w:eastAsia="Arial" w:hAnsi="Arial"/>
          <w:sz w:val="15"/>
          <w:szCs w:val="15"/>
          <w:color w:val="auto"/>
        </w:rPr>
        <w:t xml:space="preserve"> Avenue Doral,</w:t>
      </w:r>
    </w:p>
    <w:p>
      <w:pPr>
        <w:spacing w:after="0" w:line="34"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Florida 33172</w:t>
      </w:r>
    </w:p>
    <w:p>
      <w:pPr>
        <w:sectPr>
          <w:pgSz w:w="11900" w:h="16838" w:orient="portrait"/>
          <w:cols w:equalWidth="0" w:num="1">
            <w:col w:w="9019"/>
          </w:cols>
          <w:pgMar w:left="1440" w:top="6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603" w:right="1440" w:bottom="1440" w:gutter="0" w:footer="0" w:header="0"/>
          <w:type w:val="continuous"/>
        </w:sectPr>
      </w:pPr>
    </w:p>
    <w:bookmarkStart w:id="124" w:name="page125"/>
    <w:bookmarkEnd w:id="124"/>
    <w:p>
      <w:pPr>
        <w:ind w:left="1620"/>
        <w:spacing w:after="0"/>
        <w:rPr>
          <w:sz w:val="20"/>
          <w:szCs w:val="20"/>
          <w:color w:val="auto"/>
        </w:rPr>
      </w:pPr>
      <w:r>
        <w:rPr>
          <w:rFonts w:ascii="Arial" w:cs="Arial" w:eastAsia="Arial" w:hAnsi="Arial"/>
          <w:sz w:val="15"/>
          <w:szCs w:val="15"/>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Jalal "Jay" Shehadeh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-417830</wp:posOffset>
            </wp:positionV>
            <wp:extent cx="716089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last appearing on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personnel records of the Employer</w:t>
      </w:r>
    </w:p>
    <w:p>
      <w:pPr>
        <w:spacing w:after="0" w:line="196" w:lineRule="exact"/>
        <w:rPr>
          <w:sz w:val="20"/>
          <w:szCs w:val="20"/>
          <w:color w:val="auto"/>
        </w:rPr>
      </w:pPr>
    </w:p>
    <w:p>
      <w:pPr>
        <w:sectPr>
          <w:pgSz w:w="11900" w:h="16838" w:orient="portrait"/>
          <w:cols w:equalWidth="0" w:num="2">
            <w:col w:w="2840" w:space="320"/>
            <w:col w:w="5859"/>
          </w:cols>
          <w:pgMar w:left="1440" w:top="603" w:right="1440" w:bottom="1440" w:gutter="0" w:footer="0" w:header="0"/>
        </w:sectPr>
      </w:pPr>
    </w:p>
    <w:p>
      <w:pPr>
        <w:jc w:val="both"/>
        <w:ind w:left="1120" w:right="1199" w:firstLine="511"/>
        <w:spacing w:after="0" w:line="254" w:lineRule="auto"/>
        <w:tabs>
          <w:tab w:leader="none" w:pos="2110" w:val="left"/>
        </w:tabs>
        <w:numPr>
          <w:ilvl w:val="0"/>
          <w:numId w:val="84"/>
        </w:numPr>
        <w:rPr>
          <w:rFonts w:ascii="Arial" w:cs="Arial" w:eastAsia="Arial" w:hAnsi="Arial"/>
          <w:sz w:val="17"/>
          <w:szCs w:val="17"/>
          <w:color w:val="auto"/>
        </w:rPr>
      </w:pPr>
      <w:r>
        <w:rPr>
          <w:rFonts w:ascii="Arial" w:cs="Arial" w:eastAsia="Arial" w:hAnsi="Arial"/>
          <w:sz w:val="16"/>
          <w:szCs w:val="16"/>
          <w:color w:val="auto"/>
        </w:rPr>
        <w:t>Amendment; Waiver. No provisions of this Agreement may be modified, waived or discharged unless such waiver, modification or discharge is agreed to in writing signed by the Executive and such officer or officers as may be specifically designated by the Board of Directors of the Employer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93" w:lineRule="exact"/>
        <w:rPr>
          <w:rFonts w:ascii="Arial" w:cs="Arial" w:eastAsia="Arial" w:hAnsi="Arial"/>
          <w:sz w:val="17"/>
          <w:szCs w:val="17"/>
          <w:color w:val="auto"/>
        </w:rPr>
      </w:pPr>
    </w:p>
    <w:p>
      <w:pPr>
        <w:jc w:val="both"/>
        <w:ind w:left="1120" w:right="1219" w:firstLine="511"/>
        <w:spacing w:after="0" w:line="241" w:lineRule="auto"/>
        <w:tabs>
          <w:tab w:leader="none" w:pos="2110" w:val="left"/>
        </w:tabs>
        <w:numPr>
          <w:ilvl w:val="0"/>
          <w:numId w:val="84"/>
        </w:numPr>
        <w:rPr>
          <w:rFonts w:ascii="Arial" w:cs="Arial" w:eastAsia="Arial" w:hAnsi="Arial"/>
          <w:sz w:val="18"/>
          <w:szCs w:val="18"/>
          <w:color w:val="auto"/>
        </w:rPr>
      </w:pPr>
      <w:r>
        <w:rPr>
          <w:rFonts w:ascii="Arial" w:cs="Arial" w:eastAsia="Arial" w:hAnsi="Arial"/>
          <w:sz w:val="17"/>
          <w:szCs w:val="17"/>
          <w:color w:val="auto"/>
        </w:rPr>
        <w:t>Governing Law. The validity, interpretation, construction and performance of this Agreement shall be governed by the laws of the United States where applicable and otherwise by the substantive laws of the State of Florida.</w:t>
      </w:r>
    </w:p>
    <w:p>
      <w:pPr>
        <w:spacing w:after="0" w:line="189" w:lineRule="exact"/>
        <w:rPr>
          <w:rFonts w:ascii="Arial" w:cs="Arial" w:eastAsia="Arial" w:hAnsi="Arial"/>
          <w:sz w:val="18"/>
          <w:szCs w:val="18"/>
          <w:color w:val="auto"/>
        </w:rPr>
      </w:pPr>
    </w:p>
    <w:p>
      <w:pPr>
        <w:jc w:val="both"/>
        <w:ind w:left="1120" w:right="1199" w:firstLine="511"/>
        <w:spacing w:after="0" w:line="281" w:lineRule="auto"/>
        <w:tabs>
          <w:tab w:leader="none" w:pos="2110" w:val="left"/>
        </w:tabs>
        <w:numPr>
          <w:ilvl w:val="0"/>
          <w:numId w:val="84"/>
        </w:numPr>
        <w:rPr>
          <w:rFonts w:ascii="Arial" w:cs="Arial" w:eastAsia="Arial" w:hAnsi="Arial"/>
          <w:sz w:val="16"/>
          <w:szCs w:val="16"/>
          <w:color w:val="auto"/>
        </w:rPr>
      </w:pPr>
      <w:r>
        <w:rPr>
          <w:rFonts w:ascii="Arial" w:cs="Arial" w:eastAsia="Arial" w:hAnsi="Arial"/>
          <w:sz w:val="15"/>
          <w:szCs w:val="15"/>
          <w:color w:val="auto"/>
        </w:rPr>
        <w:t>Nature of Obligations. Nothing contained herein shall create or require the Employer to create a trust of any kind to fund any benefits which may be payable hereunder, and to the extent that the Executive acquires a right to receive benefits from the Employer hereunder, such right shall be no greater than the right of any unsecured general creditor of the Employer.</w:t>
      </w:r>
    </w:p>
    <w:p>
      <w:pPr>
        <w:spacing w:after="0" w:line="138" w:lineRule="exact"/>
        <w:rPr>
          <w:rFonts w:ascii="Arial" w:cs="Arial" w:eastAsia="Arial" w:hAnsi="Arial"/>
          <w:sz w:val="16"/>
          <w:szCs w:val="16"/>
          <w:color w:val="auto"/>
        </w:rPr>
      </w:pPr>
    </w:p>
    <w:p>
      <w:pPr>
        <w:ind w:left="1120" w:right="1219" w:firstLine="511"/>
        <w:spacing w:after="0" w:line="277" w:lineRule="auto"/>
        <w:tabs>
          <w:tab w:leader="none" w:pos="2110" w:val="left"/>
        </w:tabs>
        <w:numPr>
          <w:ilvl w:val="0"/>
          <w:numId w:val="84"/>
        </w:numPr>
        <w:rPr>
          <w:rFonts w:ascii="Arial" w:cs="Arial" w:eastAsia="Arial" w:hAnsi="Arial"/>
          <w:sz w:val="17"/>
          <w:szCs w:val="17"/>
          <w:color w:val="auto"/>
        </w:rPr>
      </w:pPr>
      <w:r>
        <w:rPr>
          <w:rFonts w:ascii="Arial" w:cs="Arial" w:eastAsia="Arial" w:hAnsi="Arial"/>
          <w:sz w:val="16"/>
          <w:szCs w:val="16"/>
          <w:color w:val="auto"/>
        </w:rPr>
        <w:t>Headings. The section headings contained in this Agreement are for reference purposes only and shall not affect in any way the meaning or interpretation of this Agreement.</w:t>
      </w:r>
    </w:p>
    <w:p>
      <w:pPr>
        <w:spacing w:after="0" w:line="159" w:lineRule="exact"/>
        <w:rPr>
          <w:rFonts w:ascii="Arial" w:cs="Arial" w:eastAsia="Arial" w:hAnsi="Arial"/>
          <w:sz w:val="17"/>
          <w:szCs w:val="17"/>
          <w:color w:val="auto"/>
        </w:rPr>
      </w:pPr>
    </w:p>
    <w:p>
      <w:pPr>
        <w:jc w:val="both"/>
        <w:ind w:left="1120" w:right="1199" w:firstLine="511"/>
        <w:spacing w:after="0" w:line="241" w:lineRule="auto"/>
        <w:tabs>
          <w:tab w:leader="none" w:pos="2110" w:val="left"/>
        </w:tabs>
        <w:numPr>
          <w:ilvl w:val="0"/>
          <w:numId w:val="84"/>
        </w:numPr>
        <w:rPr>
          <w:rFonts w:ascii="Arial" w:cs="Arial" w:eastAsia="Arial" w:hAnsi="Arial"/>
          <w:sz w:val="18"/>
          <w:szCs w:val="18"/>
          <w:color w:val="auto"/>
        </w:rPr>
      </w:pPr>
      <w:r>
        <w:rPr>
          <w:rFonts w:ascii="Arial" w:cs="Arial" w:eastAsia="Arial" w:hAnsi="Arial"/>
          <w:sz w:val="17"/>
          <w:szCs w:val="17"/>
          <w:color w:val="auto"/>
        </w:rPr>
        <w:t>Validity. The invalidity or unenforceability of any provision of this Agreement shall not affect the validity or enforceability of any other provisions of this Agreement, which shall remain in full force and effect.</w:t>
      </w:r>
    </w:p>
    <w:p>
      <w:pPr>
        <w:spacing w:after="0" w:line="199" w:lineRule="exact"/>
        <w:rPr>
          <w:rFonts w:ascii="Arial" w:cs="Arial" w:eastAsia="Arial" w:hAnsi="Arial"/>
          <w:sz w:val="18"/>
          <w:szCs w:val="18"/>
          <w:color w:val="auto"/>
        </w:rPr>
      </w:pPr>
    </w:p>
    <w:p>
      <w:pPr>
        <w:jc w:val="both"/>
        <w:ind w:left="1120" w:right="1219" w:firstLine="511"/>
        <w:spacing w:after="0" w:line="241" w:lineRule="auto"/>
        <w:tabs>
          <w:tab w:leader="none" w:pos="2110" w:val="left"/>
        </w:tabs>
        <w:numPr>
          <w:ilvl w:val="0"/>
          <w:numId w:val="84"/>
        </w:numPr>
        <w:rPr>
          <w:rFonts w:ascii="Arial" w:cs="Arial" w:eastAsia="Arial" w:hAnsi="Arial"/>
          <w:sz w:val="18"/>
          <w:szCs w:val="18"/>
          <w:color w:val="auto"/>
        </w:rPr>
      </w:pPr>
      <w:r>
        <w:rPr>
          <w:rFonts w:ascii="Arial" w:cs="Arial" w:eastAsia="Arial" w:hAnsi="Arial"/>
          <w:sz w:val="17"/>
          <w:szCs w:val="17"/>
          <w:color w:val="auto"/>
        </w:rPr>
        <w:t>Counterparts. This Agreement may be executed in one or more counterparts, each of which shall be deemed to be an original but all of which together will constitute one and the same instrument.</w:t>
      </w:r>
    </w:p>
    <w:p>
      <w:pPr>
        <w:spacing w:after="0" w:line="189" w:lineRule="exact"/>
        <w:rPr>
          <w:rFonts w:ascii="Arial" w:cs="Arial" w:eastAsia="Arial" w:hAnsi="Arial"/>
          <w:sz w:val="18"/>
          <w:szCs w:val="18"/>
          <w:color w:val="auto"/>
        </w:rPr>
      </w:pPr>
    </w:p>
    <w:p>
      <w:pPr>
        <w:jc w:val="both"/>
        <w:ind w:left="1120" w:right="1199" w:firstLine="511"/>
        <w:spacing w:after="0" w:line="241" w:lineRule="auto"/>
        <w:tabs>
          <w:tab w:leader="none" w:pos="2110" w:val="left"/>
        </w:tabs>
        <w:numPr>
          <w:ilvl w:val="0"/>
          <w:numId w:val="84"/>
        </w:numPr>
        <w:rPr>
          <w:rFonts w:ascii="Arial" w:cs="Arial" w:eastAsia="Arial" w:hAnsi="Arial"/>
          <w:sz w:val="18"/>
          <w:szCs w:val="18"/>
          <w:color w:val="auto"/>
        </w:rPr>
      </w:pPr>
      <w:r>
        <w:rPr>
          <w:rFonts w:ascii="Arial" w:cs="Arial" w:eastAsia="Arial" w:hAnsi="Arial"/>
          <w:sz w:val="17"/>
          <w:szCs w:val="17"/>
          <w:color w:val="auto"/>
        </w:rPr>
        <w:t>Regulatory Actions. The following provisions shall be applicable to the parties hereto or any successor thereto, and shall be controlling in the event of a conflict with any other provision of this Agreement, including without limitation Section 5 hereof.</w:t>
      </w:r>
    </w:p>
    <w:p>
      <w:pPr>
        <w:spacing w:after="0" w:line="178" w:lineRule="exact"/>
        <w:rPr>
          <w:sz w:val="20"/>
          <w:szCs w:val="20"/>
          <w:color w:val="auto"/>
        </w:rPr>
      </w:pPr>
    </w:p>
    <w:p>
      <w:pPr>
        <w:jc w:val="both"/>
        <w:ind w:left="1120" w:right="1199" w:firstLine="514"/>
        <w:spacing w:after="0" w:line="270" w:lineRule="auto"/>
        <w:rPr>
          <w:sz w:val="20"/>
          <w:szCs w:val="20"/>
          <w:color w:val="auto"/>
        </w:rPr>
      </w:pPr>
      <w:r>
        <w:rPr>
          <w:sz w:val="1"/>
          <w:szCs w:val="1"/>
          <w:color w:val="auto"/>
        </w:rPr>
        <w:drawing>
          <wp:inline distT="0" distB="0" distL="0" distR="0">
            <wp:extent cx="114935" cy="946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114935" cy="94615"/>
                    </a:xfrm>
                    <a:prstGeom prst="rect">
                      <a:avLst/>
                    </a:prstGeom>
                    <a:noFill/>
                    <a:ln>
                      <a:noFill/>
                    </a:ln>
                  </pic:spPr>
                </pic:pic>
              </a:graphicData>
            </a:graphic>
          </wp:inline>
        </w:drawing>
      </w:r>
      <w:r>
        <w:rPr>
          <w:rFonts w:ascii="Arial" w:cs="Arial" w:eastAsia="Arial" w:hAnsi="Arial"/>
          <w:sz w:val="15"/>
          <w:szCs w:val="15"/>
          <w:color w:val="auto"/>
        </w:rPr>
        <w:t xml:space="preserve"> If the Executive is suspended from office and/or temporarily prohibited from participating in the conduct of the Bank's affairs pursuant to notice served under Section 8(e)(3) or</w:t>
      </w:r>
    </w:p>
    <w:p>
      <w:pPr>
        <w:spacing w:after="0" w:line="1" w:lineRule="exact"/>
        <w:rPr>
          <w:sz w:val="20"/>
          <w:szCs w:val="20"/>
          <w:color w:val="auto"/>
        </w:rPr>
      </w:pPr>
    </w:p>
    <w:p>
      <w:pPr>
        <w:jc w:val="both"/>
        <w:ind w:left="1120" w:right="1199"/>
        <w:spacing w:after="0" w:line="270" w:lineRule="auto"/>
        <w:rPr>
          <w:sz w:val="20"/>
          <w:szCs w:val="20"/>
          <w:color w:val="auto"/>
        </w:rPr>
      </w:pPr>
      <w:r>
        <w:rPr>
          <w:rFonts w:ascii="Arial" w:cs="Arial" w:eastAsia="Arial" w:hAnsi="Arial"/>
          <w:sz w:val="15"/>
          <w:szCs w:val="15"/>
          <w:color w:val="auto"/>
        </w:rPr>
        <w:t xml:space="preserve">Section of the Federal Deposit Insurance Act </w:t>
      </w:r>
      <w:r>
        <w:rPr>
          <w:sz w:val="1"/>
          <w:szCs w:val="1"/>
          <w:color w:val="auto"/>
        </w:rPr>
        <w:drawing>
          <wp:inline distT="0" distB="0" distL="0" distR="0">
            <wp:extent cx="548640" cy="1016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548640" cy="101600"/>
                    </a:xfrm>
                    <a:prstGeom prst="rect">
                      <a:avLst/>
                    </a:prstGeom>
                    <a:noFill/>
                    <a:ln>
                      <a:noFill/>
                    </a:ln>
                  </pic:spPr>
                </pic:pic>
              </a:graphicData>
            </a:graphic>
          </wp:inline>
        </w:drawing>
      </w:r>
      <w:r>
        <w:rPr>
          <w:rFonts w:ascii="Arial" w:cs="Arial" w:eastAsia="Arial" w:hAnsi="Arial"/>
          <w:sz w:val="15"/>
          <w:szCs w:val="15"/>
          <w:color w:val="auto"/>
        </w:rPr>
        <w:t xml:space="preserve"> U.S.C. </w:t>
      </w:r>
      <w:r>
        <w:rPr>
          <w:sz w:val="1"/>
          <w:szCs w:val="1"/>
          <w:color w:val="auto"/>
        </w:rPr>
        <w:drawing>
          <wp:inline distT="0" distB="0" distL="0" distR="0">
            <wp:extent cx="555625" cy="101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555625" cy="101600"/>
                    </a:xfrm>
                    <a:prstGeom prst="rect">
                      <a:avLst/>
                    </a:prstGeom>
                    <a:noFill/>
                    <a:ln>
                      <a:noFill/>
                    </a:ln>
                  </pic:spPr>
                </pic:pic>
              </a:graphicData>
            </a:graphic>
          </wp:inline>
        </w:drawing>
      </w:r>
      <w:r>
        <w:rPr>
          <w:rFonts w:ascii="Arial" w:cs="Arial" w:eastAsia="Arial" w:hAnsi="Arial"/>
          <w:sz w:val="15"/>
          <w:szCs w:val="15"/>
          <w:color w:val="auto"/>
        </w:rPr>
        <w:t xml:space="preserve"> and 1818(g)(1)), the Bank's obligations under this Agreement shall be suspended as of the date of service, unless stayed by appropriate proceedings. If the charges in the notice are dismissed, the Bank will: (i) pay the Executive all or part of the compensation withheld while its obligations under this Agreement were suspended, and (ii) reinstate (in whole or in part) any of its obligations which were suspended.</w:t>
      </w:r>
    </w:p>
    <w:p>
      <w:pPr>
        <w:spacing w:after="0" w:line="159" w:lineRule="exact"/>
        <w:rPr>
          <w:sz w:val="20"/>
          <w:szCs w:val="20"/>
          <w:color w:val="auto"/>
        </w:rPr>
      </w:pPr>
    </w:p>
    <w:p>
      <w:pPr>
        <w:jc w:val="both"/>
        <w:ind w:left="1120" w:right="1199" w:firstLine="511"/>
        <w:spacing w:after="0" w:line="260" w:lineRule="auto"/>
        <w:tabs>
          <w:tab w:leader="none" w:pos="194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Executive is removed from office and/or permanently prohibited from participating in the conduct of the Bank's affairs by an order issued under Section 8(e)(4) or Section 8(g)(1) of the FDIA (12 U.S.C. 1818(e)(4) and (g)(l)), all obligations of the Bank under this Agreement shall terminate as of the effective date of the order, but vested rights of the Executive and the Bank as of the date of termination shall not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19"/>
          </w:cols>
          <w:pgMar w:left="1440" w:top="603" w:right="1440" w:bottom="1440" w:gutter="0" w:footer="0" w:header="0"/>
          <w:type w:val="continuous"/>
        </w:sectPr>
      </w:pPr>
    </w:p>
    <w:bookmarkStart w:id="125" w:name="page126"/>
    <w:bookmarkEnd w:id="125"/>
    <w:p>
      <w:pPr>
        <w:jc w:val="both"/>
        <w:ind w:left="1120" w:right="1199" w:firstLine="514"/>
        <w:spacing w:after="0" w:line="265" w:lineRule="auto"/>
        <w:rPr>
          <w:sz w:val="20"/>
          <w:szCs w:val="20"/>
          <w:color w:val="auto"/>
        </w:rPr>
      </w:pPr>
      <w:r>
        <w:rPr>
          <w:sz w:val="1"/>
          <w:sz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drawing>
          <wp:inline distT="0" distB="0" distL="0" distR="0">
            <wp:extent cx="114935" cy="101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114935" cy="101600"/>
                    </a:xfrm>
                    <a:prstGeom prst="rect">
                      <a:avLst/>
                    </a:prstGeom>
                    <a:noFill/>
                    <a:ln>
                      <a:noFill/>
                    </a:ln>
                  </pic:spPr>
                </pic:pic>
              </a:graphicData>
            </a:graphic>
          </wp:inline>
        </w:drawing>
      </w:r>
      <w:r>
        <w:rPr>
          <w:rFonts w:ascii="Arial" w:cs="Arial" w:eastAsia="Arial" w:hAnsi="Arial"/>
          <w:sz w:val="16"/>
          <w:szCs w:val="16"/>
          <w:color w:val="auto"/>
        </w:rPr>
        <w:t xml:space="preserve">If the Bank is in default, as defined in Section 3(x)(1) of the FDIA (12 U.S.C. </w:t>
      </w:r>
      <w:r>
        <w:rPr>
          <w:sz w:val="1"/>
          <w:szCs w:val="1"/>
          <w:color w:val="auto"/>
        </w:rPr>
        <w:drawing>
          <wp:inline distT="0" distB="0" distL="0" distR="0">
            <wp:extent cx="358775" cy="1016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58775" cy="101600"/>
                    </a:xfrm>
                    <a:prstGeom prst="rect">
                      <a:avLst/>
                    </a:prstGeom>
                    <a:noFill/>
                    <a:ln>
                      <a:noFill/>
                    </a:ln>
                  </pic:spPr>
                </pic:pic>
              </a:graphicData>
            </a:graphic>
          </wp:inline>
        </w:drawing>
      </w:r>
      <w:r>
        <w:rPr>
          <w:rFonts w:ascii="Arial" w:cs="Arial" w:eastAsia="Arial" w:hAnsi="Arial"/>
          <w:sz w:val="16"/>
          <w:szCs w:val="16"/>
          <w:color w:val="auto"/>
        </w:rPr>
        <w:t xml:space="preserve"> all obligations under this Agreement shall terminate as of the date of default, but vested rights of the Executive and the Bank as of the date of termination shall not be affected.</w:t>
      </w:r>
    </w:p>
    <w:p>
      <w:pPr>
        <w:spacing w:after="0" w:line="171" w:lineRule="exact"/>
        <w:rPr>
          <w:sz w:val="20"/>
          <w:szCs w:val="20"/>
          <w:color w:val="auto"/>
        </w:rPr>
      </w:pPr>
    </w:p>
    <w:p>
      <w:pPr>
        <w:jc w:val="both"/>
        <w:ind w:left="1120" w:right="1199" w:firstLine="511"/>
        <w:spacing w:after="0" w:line="244" w:lineRule="auto"/>
        <w:tabs>
          <w:tab w:leader="none" w:pos="1892"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Regulatory Prohibition. Notwithstanding any other provision of this Agreement to the contrary, any payments made to the Executive pursuant to this Agreement, or otherwise, are subject to and conditioned upon their compliance with Section 18(k) of the FDIA (12 U.S.C. S1828(k)) and 12 C.F.R. Part 359.</w:t>
      </w:r>
    </w:p>
    <w:p>
      <w:pPr>
        <w:spacing w:after="0" w:line="176" w:lineRule="exact"/>
        <w:rPr>
          <w:sz w:val="20"/>
          <w:szCs w:val="20"/>
          <w:color w:val="auto"/>
        </w:rPr>
      </w:pPr>
    </w:p>
    <w:p>
      <w:pPr>
        <w:jc w:val="both"/>
        <w:ind w:left="1120" w:right="1199" w:firstLine="516"/>
        <w:spacing w:after="0" w:line="257" w:lineRule="auto"/>
        <w:rPr>
          <w:sz w:val="20"/>
          <w:szCs w:val="20"/>
          <w:color w:val="auto"/>
        </w:rPr>
      </w:pPr>
      <w:r>
        <w:rPr>
          <w:rFonts w:ascii="Arial" w:cs="Arial" w:eastAsia="Arial" w:hAnsi="Arial"/>
          <w:sz w:val="16"/>
          <w:szCs w:val="16"/>
          <w:color w:val="auto"/>
        </w:rPr>
        <w:t>20, Arbitration. Any controversy or claim arising out ofor relating to this Agreement, or the breach thereof, shall be settled by arbitration before a single arbitrator in accordance with the rules then existing under the Employment Dispute Resolution Rules of the American Arbitration Association ("AAA") conducted at the district office of the AAA located nearest to the home office of the Bank,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68" w:lineRule="exact"/>
        <w:rPr>
          <w:sz w:val="20"/>
          <w:szCs w:val="20"/>
          <w:color w:val="auto"/>
        </w:rPr>
      </w:pPr>
    </w:p>
    <w:p>
      <w:pPr>
        <w:jc w:val="both"/>
        <w:ind w:left="1120" w:right="1219" w:firstLine="511"/>
        <w:spacing w:after="0" w:line="244" w:lineRule="auto"/>
        <w:tabs>
          <w:tab w:leader="none" w:pos="1944" w:val="left"/>
        </w:tabs>
        <w:numPr>
          <w:ilvl w:val="0"/>
          <w:numId w:val="87"/>
        </w:numPr>
        <w:rPr>
          <w:rFonts w:ascii="Arial" w:cs="Arial" w:eastAsia="Arial" w:hAnsi="Arial"/>
          <w:sz w:val="17"/>
          <w:szCs w:val="17"/>
          <w:color w:val="auto"/>
        </w:rPr>
      </w:pPr>
      <w:r>
        <w:rPr>
          <w:rFonts w:ascii="Arial" w:cs="Arial" w:eastAsia="Arial" w:hAnsi="Arial"/>
          <w:sz w:val="17"/>
          <w:szCs w:val="17"/>
          <w:color w:val="auto"/>
        </w:rPr>
        <w:t>Entire Agreement. This Agreement embodies the entire agreement between the Employer and the Executive with respect to the matters agreed to herein. All prior agreements between the Employer and the Executive with respect to the matters agreed to herein are hereby superseded and shall have no force or effect.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019"/>
          </w:cols>
          <w:pgMar w:left="1440" w:top="603" w:right="1440" w:bottom="1440" w:gutter="0" w:footer="0" w:header="0"/>
        </w:sectPr>
      </w:pPr>
    </w:p>
    <w:bookmarkStart w:id="126" w:name="page127"/>
    <w:bookmarkEnd w:id="126"/>
    <w:p>
      <w:pPr>
        <w:ind w:left="16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 WITNESS WHEREOF, this Agreement has been executed as of the date first written</w:t>
      </w:r>
    </w:p>
    <w:p>
      <w:pPr>
        <w:spacing w:after="0" w:line="4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019"/>
          </w:cols>
          <w:pgMar w:left="1440" w:top="603" w:right="1440" w:bottom="1440" w:gutter="0" w:footer="0" w:header="0"/>
        </w:sectPr>
      </w:pPr>
    </w:p>
    <w:bookmarkStart w:id="127" w:name="page128"/>
    <w:bookmarkEnd w:id="12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21.1</w:t>
      </w:r>
    </w:p>
    <w:p>
      <w:pPr>
        <w:spacing w:after="0" w:line="127"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SUBSIDIARY LIST</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U.S. Century Bank, a Florida chartered banking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719" w:right="1440" w:bottom="1440" w:gutter="0" w:footer="0" w:header="0"/>
        </w:sectPr>
      </w:pPr>
    </w:p>
    <w:bookmarkStart w:id="128" w:name="page129"/>
    <w:bookmarkEnd w:id="12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8" w:lineRule="exact"/>
        <w:rPr>
          <w:sz w:val="20"/>
          <w:szCs w:val="20"/>
          <w:color w:val="auto"/>
        </w:rPr>
      </w:pPr>
    </w:p>
    <w:p>
      <w:pPr>
        <w:ind w:left="660" w:right="799"/>
        <w:spacing w:after="0" w:line="245" w:lineRule="auto"/>
        <w:rPr>
          <w:sz w:val="20"/>
          <w:szCs w:val="20"/>
          <w:color w:val="auto"/>
        </w:rPr>
      </w:pPr>
      <w:r>
        <w:rPr>
          <w:rFonts w:ascii="Arial" w:cs="Arial" w:eastAsia="Arial" w:hAnsi="Arial"/>
          <w:sz w:val="14"/>
          <w:szCs w:val="14"/>
          <w:color w:val="auto"/>
        </w:rPr>
        <w:t>We consent to the incorporation by reference in the registration statement on Form S-8 (333-265498) of USCB Financial Holdings, Inc. of our report dated March 24, 2023, related to the consolidated financial statements appearing in this Annual Report on Form 10-K of USCB Financial Holdings,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 Crowe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Fort Lauderdale, Florida</w:t>
      </w:r>
    </w:p>
    <w:p>
      <w:pPr>
        <w:ind w:left="660"/>
        <w:spacing w:after="0"/>
        <w:rPr>
          <w:sz w:val="20"/>
          <w:szCs w:val="20"/>
          <w:color w:val="auto"/>
        </w:rPr>
      </w:pPr>
      <w:r>
        <w:rPr>
          <w:rFonts w:ascii="Arial" w:cs="Arial" w:eastAsia="Arial" w:hAnsi="Arial"/>
          <w:sz w:val="14"/>
          <w:szCs w:val="14"/>
          <w:color w:val="auto"/>
        </w:rPr>
        <w:t>March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719" w:right="1440" w:bottom="1440" w:gutter="0" w:footer="0" w:header="0"/>
        </w:sectPr>
      </w:pPr>
    </w:p>
    <w:bookmarkStart w:id="129" w:name="page130"/>
    <w:bookmarkEnd w:id="12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8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8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3/24/2023</w:t>
      </w:r>
    </w:p>
    <w:p>
      <w:pPr>
        <w:sectPr>
          <w:pgSz w:w="11900" w:h="16838" w:orient="portrait"/>
          <w:cols w:equalWidth="0" w:num="1">
            <w:col w:w="9019"/>
          </w:cols>
          <w:pgMar w:left="1440" w:top="719" w:right="1440" w:bottom="1440" w:gutter="0" w:footer="0" w:header="0"/>
        </w:sectPr>
      </w:pPr>
    </w:p>
    <w:bookmarkStart w:id="130" w:name="page131"/>
    <w:bookmarkEnd w:id="13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40" w:hanging="233"/>
        <w:spacing w:after="0"/>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8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8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8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68" w:val="left"/>
        </w:tabs>
        <w:numPr>
          <w:ilvl w:val="1"/>
          <w:numId w:val="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3/24/2023</w:t>
      </w:r>
    </w:p>
    <w:p>
      <w:pPr>
        <w:sectPr>
          <w:pgSz w:w="11900" w:h="16838" w:orient="portrait"/>
          <w:cols w:equalWidth="0" w:num="1">
            <w:col w:w="9019"/>
          </w:cols>
          <w:pgMar w:left="1440" w:top="719" w:right="1440" w:bottom="1440" w:gutter="0" w:footer="0" w:header="0"/>
        </w:sectPr>
      </w:pPr>
    </w:p>
    <w:bookmarkStart w:id="131" w:name="page132"/>
    <w:bookmarkEnd w:id="131"/>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2022,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70" w:lineRule="exact"/>
        <w:rPr>
          <w:sz w:val="20"/>
          <w:szCs w:val="20"/>
          <w:color w:val="auto"/>
        </w:rPr>
      </w:pPr>
    </w:p>
    <w:p>
      <w:pPr>
        <w:ind w:left="1440" w:right="679" w:hanging="265"/>
        <w:spacing w:after="0" w:line="252" w:lineRule="auto"/>
        <w:tabs>
          <w:tab w:leader="none" w:pos="14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3/24/2023</w:t>
      </w:r>
    </w:p>
    <w:p>
      <w:pPr>
        <w:sectPr>
          <w:pgSz w:w="11900" w:h="16838" w:orient="portrait"/>
          <w:cols w:equalWidth="0" w:num="1">
            <w:col w:w="9019"/>
          </w:cols>
          <w:pgMar w:left="1440" w:top="719" w:right="1440" w:bottom="1440" w:gutter="0" w:footer="0" w:header="0"/>
        </w:sectPr>
      </w:pPr>
    </w:p>
    <w:bookmarkStart w:id="132" w:name="page133"/>
    <w:bookmarkEnd w:id="132"/>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2022,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56" w:lineRule="exact"/>
        <w:rPr>
          <w:sz w:val="20"/>
          <w:szCs w:val="20"/>
          <w:color w:val="auto"/>
        </w:rPr>
      </w:pPr>
    </w:p>
    <w:p>
      <w:pPr>
        <w:ind w:left="1440" w:right="679" w:hanging="265"/>
        <w:spacing w:after="0" w:line="252" w:lineRule="auto"/>
        <w:tabs>
          <w:tab w:leader="none" w:pos="14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3/24/2023</w:t>
      </w:r>
    </w:p>
    <w:p>
      <w:pPr>
        <w:sectPr>
          <w:pgSz w:w="11900" w:h="16838" w:orient="portrait"/>
          <w:cols w:equalWidth="0" w:num="1">
            <w:col w:w="9019"/>
          </w:cols>
          <w:pgMar w:left="1440" w:top="719" w:right="1440"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36"/>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upperLetter"/>
      <w:start w:val="68"/>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upperLetter"/>
      <w:start w:val="68"/>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lowerRoman"/>
      <w:start w:val="2"/>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2"/>
    </w:lvl>
  </w:abstractNum>
  <w:abstractNum w:abstractNumId="34">
    <w:nsid w:val="77AE35EB"/>
    <w:multiLevelType w:val="hybridMultilevel"/>
    <w:lvl w:ilvl="0">
      <w:lvlJc w:val="left"/>
      <w:lvlText w:val="%1."/>
      <w:numFmt w:val="decimal"/>
      <w:start w:val="3"/>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1."/>
      <w:numFmt w:val="decimal"/>
      <w:start w:val="5"/>
    </w:lvl>
  </w:abstractNum>
  <w:abstractNum w:abstractNumId="37">
    <w:nsid w:val="5FF87E05"/>
    <w:multiLevelType w:val="hybridMultilevel"/>
    <w:lvl w:ilvl="0">
      <w:lvlJc w:val="left"/>
      <w:lvlText w:val="%1."/>
      <w:numFmt w:val="decimal"/>
      <w:start w:val="6"/>
    </w:lvl>
  </w:abstractNum>
  <w:abstractNum w:abstractNumId="38">
    <w:nsid w:val="2F305DEF"/>
    <w:multiLevelType w:val="hybridMultilevel"/>
    <w:lvl w:ilvl="0">
      <w:lvlJc w:val="left"/>
      <w:lvlText w:val="%1."/>
      <w:numFmt w:val="decimal"/>
      <w:start w:val="7"/>
    </w:lvl>
  </w:abstractNum>
  <w:abstractNum w:abstractNumId="39">
    <w:nsid w:val="25A70BF7"/>
    <w:multiLevelType w:val="hybridMultilevel"/>
    <w:lvl w:ilvl="0">
      <w:lvlJc w:val="left"/>
      <w:lvlText w:val="%1."/>
      <w:numFmt w:val="decimal"/>
      <w:start w:val="8"/>
    </w:lvl>
  </w:abstractNum>
  <w:abstractNum w:abstractNumId="40">
    <w:nsid w:val="1DBABF00"/>
    <w:multiLevelType w:val="hybridMultilevel"/>
    <w:lvl w:ilvl="0">
      <w:lvlJc w:val="left"/>
      <w:lvlText w:val="%1."/>
      <w:numFmt w:val="decimal"/>
      <w:start w:val="9"/>
    </w:lvl>
  </w:abstractNum>
  <w:abstractNum w:abstractNumId="41">
    <w:nsid w:val="4AD084E9"/>
    <w:multiLevelType w:val="hybridMultilevel"/>
    <w:lvl w:ilvl="0">
      <w:lvlJc w:val="left"/>
      <w:lvlText w:val="%1."/>
      <w:numFmt w:val="decimal"/>
      <w:start w:val="10"/>
    </w:lvl>
  </w:abstractNum>
  <w:abstractNum w:abstractNumId="42">
    <w:nsid w:val="1F48EAA1"/>
    <w:multiLevelType w:val="hybridMultilevel"/>
    <w:lvl w:ilvl="0">
      <w:lvlJc w:val="left"/>
      <w:lvlText w:val="%1."/>
      <w:numFmt w:val="decimal"/>
      <w:start w:val="11"/>
    </w:lvl>
  </w:abstractNum>
  <w:abstractNum w:abstractNumId="43">
    <w:nsid w:val="1381823A"/>
    <w:multiLevelType w:val="hybridMultilevel"/>
    <w:lvl w:ilvl="0">
      <w:lvlJc w:val="left"/>
      <w:lvlText w:val="%1."/>
      <w:numFmt w:val="decimal"/>
      <w:start w:val="12"/>
    </w:lvl>
  </w:abstractNum>
  <w:abstractNum w:abstractNumId="44">
    <w:nsid w:val="5DB70AE5"/>
    <w:multiLevelType w:val="hybridMultilevel"/>
    <w:lvl w:ilvl="0">
      <w:lvlJc w:val="left"/>
      <w:lvlText w:val="%1."/>
      <w:numFmt w:val="decimal"/>
      <w:start w:val="13"/>
    </w:lvl>
  </w:abstractNum>
  <w:abstractNum w:abstractNumId="45">
    <w:nsid w:val="100F8FCA"/>
    <w:multiLevelType w:val="hybridMultilevel"/>
    <w:lvl w:ilvl="0">
      <w:lvlJc w:val="left"/>
      <w:lvlText w:val="%1."/>
      <w:numFmt w:val="decimal"/>
      <w:start w:val="14"/>
    </w:lvl>
  </w:abstractNum>
  <w:abstractNum w:abstractNumId="46">
    <w:nsid w:val="6590700B"/>
    <w:multiLevelType w:val="hybridMultilevel"/>
    <w:lvl w:ilvl="0">
      <w:lvlJc w:val="left"/>
      <w:lvlText w:val="%1."/>
      <w:numFmt w:val="decimal"/>
      <w:start w:val="15"/>
    </w:lvl>
  </w:abstractNum>
  <w:abstractNum w:abstractNumId="47">
    <w:nsid w:val="15014ACB"/>
    <w:multiLevelType w:val="hybridMultilevel"/>
    <w:lvl w:ilvl="0">
      <w:lvlJc w:val="left"/>
      <w:lvlText w:val="%1."/>
      <w:numFmt w:val="decimal"/>
      <w:start w:val="16"/>
    </w:lvl>
  </w:abstractNum>
  <w:abstractNum w:abstractNumId="48">
    <w:nsid w:val="5F5E7FD0"/>
    <w:multiLevelType w:val="hybridMultilevel"/>
    <w:lvl w:ilvl="0">
      <w:lvlJc w:val="left"/>
      <w:lvlText w:val="%1."/>
      <w:numFmt w:val="decimal"/>
      <w:start w:val="17"/>
    </w:lvl>
  </w:abstractNum>
  <w:abstractNum w:abstractNumId="49">
    <w:nsid w:val="98A3148"/>
    <w:multiLevelType w:val="hybridMultilevel"/>
    <w:lvl w:ilvl="0">
      <w:lvlJc w:val="left"/>
      <w:lvlText w:val="%1."/>
      <w:numFmt w:val="decimal"/>
      <w:start w:val="19"/>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2"/>
    </w:lvl>
  </w:abstractNum>
  <w:abstractNum w:abstractNumId="53">
    <w:nsid w:val="168E121F"/>
    <w:multiLevelType w:val="hybridMultilevel"/>
    <w:lvl w:ilvl="0">
      <w:lvlJc w:val="left"/>
      <w:lvlText w:val="%1"/>
      <w:numFmt w:val="decimal"/>
      <w:start w:val="104"/>
    </w:lvl>
    <w:lvl w:ilvl="1">
      <w:lvlJc w:val="left"/>
      <w:lvlText w:val="*"/>
      <w:numFmt w:val="bullet"/>
      <w:start w:val="1"/>
    </w:lvl>
  </w:abstractNum>
  <w:abstractNum w:abstractNumId="54">
    <w:nsid w:val="1EBA5D23"/>
    <w:multiLevelType w:val="hybridMultilevel"/>
    <w:lvl w:ilvl="0">
      <w:lvlJc w:val="left"/>
      <w:lvlText w:val="%1"/>
      <w:numFmt w:val="decimal"/>
      <w:start w:val="1"/>
    </w:lvl>
    <w:lvl w:ilvl="1">
      <w:lvlJc w:val="left"/>
      <w:lvlText w:val="**"/>
      <w:numFmt w:val="bullet"/>
      <w:start w:val="1"/>
    </w:lvl>
  </w:abstractNum>
  <w:abstractNum w:abstractNumId="55">
    <w:nsid w:val="661E3F1E"/>
    <w:multiLevelType w:val="hybridMultilevel"/>
    <w:lvl w:ilvl="0">
      <w:lvlJc w:val="left"/>
      <w:lvlText w:val="%1"/>
      <w:numFmt w:val="decimal"/>
      <w:start w:val="1"/>
    </w:lvl>
    <w:lvl w:ilvl="1">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3"/>
    </w:lvl>
    <w:lvl w:ilvl="1">
      <w:lvlJc w:val="left"/>
      <w:lvlText w:val="(%2)"/>
      <w:numFmt w:val="lowerRoman"/>
      <w:start w:val="1"/>
    </w:lvl>
  </w:abstractNum>
  <w:abstractNum w:abstractNumId="59">
    <w:nsid w:val="51D9C564"/>
    <w:multiLevelType w:val="hybridMultilevel"/>
    <w:lvl w:ilvl="0">
      <w:lvlJc w:val="left"/>
      <w:lvlText w:val="(%1)"/>
      <w:numFmt w:val="lowerLetter"/>
      <w:start w:val="4"/>
    </w:lvl>
  </w:abstractNum>
  <w:abstractNum w:abstractNumId="60">
    <w:nsid w:val="613EFDC5"/>
    <w:multiLevelType w:val="hybridMultilevel"/>
    <w:lvl w:ilvl="0">
      <w:lvlJc w:val="left"/>
      <w:lvlText w:val="%1"/>
      <w:numFmt w:val="upperLetter"/>
      <w:start w:val="1"/>
    </w:lvl>
    <w:lvl w:ilvl="1">
      <w:lvlJc w:val="left"/>
      <w:lvlText w:val="(%2)"/>
      <w:numFmt w:val="lowerRoman"/>
      <w:start w:val="1"/>
    </w:lvl>
  </w:abstractNum>
  <w:abstractNum w:abstractNumId="61">
    <w:nsid w:val="BF72B14"/>
    <w:multiLevelType w:val="hybridMultilevel"/>
    <w:lvl w:ilvl="0">
      <w:lvlJc w:val="left"/>
      <w:lvlText w:val="(%1)"/>
      <w:numFmt w:val="upperLetter"/>
      <w:start w:val="2"/>
    </w:lvl>
    <w:lvl w:ilvl="1">
      <w:lvlJc w:val="left"/>
      <w:lvlText w:val="%2"/>
      <w:numFmt w:val="lowerRoman"/>
      <w:start w:val="1"/>
    </w:lvl>
  </w:abstractNum>
  <w:abstractNum w:abstractNumId="62">
    <w:nsid w:val="11447B73"/>
    <w:multiLevelType w:val="hybridMultilevel"/>
    <w:lvl w:ilvl="0">
      <w:lvlJc w:val="left"/>
      <w:lvlText w:val="(%1)"/>
      <w:numFmt w:val="lowerRoman"/>
      <w:start w:val="2"/>
    </w:lvl>
  </w:abstractNum>
  <w:abstractNum w:abstractNumId="63">
    <w:nsid w:val="42963E5A"/>
    <w:multiLevelType w:val="hybridMultilevel"/>
    <w:lvl w:ilvl="0">
      <w:lvlJc w:val="left"/>
      <w:lvlText w:val="%1"/>
      <w:numFmt w:val="decimal"/>
      <w:start w:val="1"/>
    </w:lvl>
    <w:lvl w:ilvl="1">
      <w:lvlJc w:val="left"/>
      <w:lvlText w:val="(%2)"/>
      <w:numFmt w:val="lowerLetter"/>
      <w:start w:val="8"/>
    </w:lvl>
  </w:abstractNum>
  <w:abstractNum w:abstractNumId="64">
    <w:nsid w:val="A0382C5"/>
    <w:multiLevelType w:val="hybridMultilevel"/>
    <w:lvl w:ilvl="0">
      <w:lvlJc w:val="left"/>
      <w:lvlText w:val="(%1)"/>
      <w:numFmt w:val="decimal"/>
      <w:start w:val="30"/>
    </w:lvl>
    <w:lvl w:ilvl="1">
      <w:lvlJc w:val="left"/>
      <w:lvlText w:val="(%2)"/>
      <w:numFmt w:val="lowerLetter"/>
      <w:start w:val="9"/>
    </w:lvl>
  </w:abstractNum>
  <w:abstractNum w:abstractNumId="65">
    <w:nsid w:val="8F2B15E"/>
    <w:multiLevelType w:val="hybridMultilevel"/>
    <w:lvl w:ilvl="0">
      <w:lvlJc w:val="left"/>
      <w:lvlText w:val="%1."/>
      <w:numFmt w:val="decimal"/>
      <w:start w:val="2"/>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2"/>
    </w:lvl>
  </w:abstractNum>
  <w:abstractNum w:abstractNumId="68">
    <w:nsid w:val="68EB2F63"/>
    <w:multiLevelType w:val="hybridMultilevel"/>
    <w:lvl w:ilvl="0">
      <w:lvlJc w:val="left"/>
      <w:lvlText w:val="%1."/>
      <w:numFmt w:val="decimal"/>
      <w:start w:val="3"/>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6"/>
    </w:lvl>
  </w:abstractNum>
  <w:abstractNum w:abstractNumId="71">
    <w:nsid w:val="6A5EE64"/>
    <w:multiLevelType w:val="hybridMultilevel"/>
    <w:lvl w:ilvl="0">
      <w:lvlJc w:val="left"/>
      <w:lvlText w:val="%1."/>
      <w:numFmt w:val="decimal"/>
      <w:start w:val="4"/>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5"/>
    </w:lvl>
  </w:abstractNum>
  <w:abstractNum w:abstractNumId="74">
    <w:nsid w:val="1A27709E"/>
    <w:multiLevelType w:val="hybridMultilevel"/>
    <w:lvl w:ilvl="0">
      <w:lvlJc w:val="left"/>
      <w:lvlText w:val="(%1)"/>
      <w:numFmt w:val="lowerLetter"/>
      <w:start w:val="7"/>
    </w:lvl>
  </w:abstractNum>
  <w:abstractNum w:abstractNumId="75">
    <w:nsid w:val="71EA1109"/>
    <w:multiLevelType w:val="hybridMultilevel"/>
    <w:lvl w:ilvl="0">
      <w:lvlJc w:val="left"/>
      <w:lvlText w:val="%1."/>
      <w:numFmt w:val="decimal"/>
      <w:start w:val="6"/>
    </w:lvl>
  </w:abstractNum>
  <w:abstractNum w:abstractNumId="76">
    <w:nsid w:val="100F59DC"/>
    <w:multiLevelType w:val="hybridMultilevel"/>
    <w:lvl w:ilvl="0">
      <w:lvlJc w:val="left"/>
      <w:lvlText w:val="%1."/>
      <w:numFmt w:val="decimal"/>
      <w:start w:val="7"/>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3"/>
    </w:lvl>
  </w:abstractNum>
  <w:abstractNum w:abstractNumId="79">
    <w:nsid w:val="6F6DD9AC"/>
    <w:multiLevelType w:val="hybridMultilevel"/>
    <w:lvl w:ilvl="0">
      <w:lvlJc w:val="left"/>
      <w:lvlText w:val="(%1)"/>
      <w:numFmt w:val="lowerLetter"/>
      <w:start w:val="8"/>
    </w:lvl>
  </w:abstractNum>
  <w:abstractNum w:abstractNumId="80">
    <w:nsid w:val="94211F2"/>
    <w:multiLevelType w:val="hybridMultilevel"/>
    <w:lvl w:ilvl="0">
      <w:lvlJc w:val="left"/>
      <w:lvlText w:val="%1."/>
      <w:numFmt w:val="decimal"/>
      <w:start w:val="8"/>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decimal"/>
      <w:start w:val="9"/>
    </w:lvl>
  </w:abstractNum>
  <w:abstractNum w:abstractNumId="83">
    <w:nsid w:val="4C04A8AF"/>
    <w:multiLevelType w:val="hybridMultilevel"/>
    <w:lvl w:ilvl="0">
      <w:lvlJc w:val="left"/>
      <w:lvlText w:val="%1."/>
      <w:numFmt w:val="decimal"/>
      <w:start w:val="12"/>
    </w:lvl>
  </w:abstractNum>
  <w:abstractNum w:abstractNumId="84">
    <w:nsid w:val="1716703B"/>
    <w:multiLevelType w:val="hybridMultilevel"/>
    <w:lvl w:ilvl="0">
      <w:lvlJc w:val="left"/>
      <w:lvlText w:val="(%1)"/>
      <w:numFmt w:val="lowerLetter"/>
      <w:start w:val="2"/>
    </w:lvl>
  </w:abstractNum>
  <w:abstractNum w:abstractNumId="85">
    <w:nsid w:val="14E17E33"/>
    <w:multiLevelType w:val="hybridMultilevel"/>
    <w:lvl w:ilvl="0">
      <w:lvlJc w:val="left"/>
      <w:lvlText w:val="%1."/>
      <w:numFmt w:val="decimal"/>
      <w:start w:val="19"/>
    </w:lvl>
  </w:abstractNum>
  <w:abstractNum w:abstractNumId="86">
    <w:nsid w:val="3222E7CD"/>
    <w:multiLevelType w:val="hybridMultilevel"/>
    <w:lvl w:ilvl="0">
      <w:lvlJc w:val="left"/>
      <w:lvlText w:val="%1."/>
      <w:numFmt w:val="decimal"/>
      <w:start w:val="2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jpeg"/><Relationship Id="rId145" Type="http://schemas.openxmlformats.org/officeDocument/2006/relationships/image" Target="media/image127.jpeg"/><Relationship Id="rId146" Type="http://schemas.openxmlformats.org/officeDocument/2006/relationships/image" Target="media/image128.jpeg"/><Relationship Id="rId147" Type="http://schemas.openxmlformats.org/officeDocument/2006/relationships/image" Target="media/image129.png"/><Relationship Id="rId148" Type="http://schemas.openxmlformats.org/officeDocument/2006/relationships/image" Target="media/image130.jpeg"/><Relationship Id="rId149" Type="http://schemas.openxmlformats.org/officeDocument/2006/relationships/image" Target="media/image131.jpe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21" Type="http://schemas.openxmlformats.org/officeDocument/2006/relationships/hyperlink" Target="http://www.sec.gov/Archives/edgar/data/0001901637/000119312521369812/d628417dex21.htm" TargetMode="External"/><Relationship Id="rId122" Type="http://schemas.openxmlformats.org/officeDocument/2006/relationships/hyperlink" Target="http://www.sec.gov/Archives/edgar/data/0001901637/000119312521369812/d628417dex31.htm" TargetMode="External"/><Relationship Id="rId123" Type="http://schemas.openxmlformats.org/officeDocument/2006/relationships/hyperlink" Target="http://www.sec.gov/Archives/edgar/data/0001901637/000119312521369812/d628417dex32.htm" TargetMode="External"/><Relationship Id="rId124" Type="http://schemas.openxmlformats.org/officeDocument/2006/relationships/hyperlink" Target="http://www.sec.gov/Archives/edgar/data/0001901637/000119312521369812/d628417dex41.htm" TargetMode="External"/><Relationship Id="rId125" Type="http://schemas.openxmlformats.org/officeDocument/2006/relationships/hyperlink" Target="http://www.sec.gov/Archives/edgar/data/0001901637/000119312521369812/d628417dex42.htm" TargetMode="External"/><Relationship Id="rId126" Type="http://schemas.openxmlformats.org/officeDocument/2006/relationships/hyperlink" Target="http://www.sec.gov/Archives/edgar/data/0001901637/000119312521369812/d628417dex43.htm" TargetMode="External"/><Relationship Id="rId127" Type="http://schemas.openxmlformats.org/officeDocument/2006/relationships/hyperlink" Target="http://www.sec.gov/Archives/edgar/data/1901637/000156276222000137/exhibit44.htm" TargetMode="External"/><Relationship Id="rId128" Type="http://schemas.openxmlformats.org/officeDocument/2006/relationships/hyperlink" Target="http://www.sec.gov/Archives/edgar/data/0001901637/000119312521369812/d628417dex101.htm" TargetMode="External"/><Relationship Id="rId129" Type="http://schemas.openxmlformats.org/officeDocument/2006/relationships/hyperlink" Target="http://www.sec.gov/Archives/edgar/data/1901637/000092708923000011/ex_469828.htm" TargetMode="External"/><Relationship Id="rId130" Type="http://schemas.openxmlformats.org/officeDocument/2006/relationships/hyperlink" Target="http://www.sec.gov/Archives/edgar/data/1901637/000092708923000011/ex_469546.htm" TargetMode="External"/><Relationship Id="rId131" Type="http://schemas.openxmlformats.org/officeDocument/2006/relationships/hyperlink" Target="http://www.sec.gov/Archives/edgar/data/1901637/000156276222000137/exhibit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2023-03-25T01:59:50Z</dcterms:created>
  <dcterms:modified xsi:type="dcterms:W3CDTF">2023-03-25T01:59:50Z</dcterms:modified>
</cp:coreProperties>
</file>