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11.15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-2810510</wp:posOffset>
            </wp:positionV>
            <wp:extent cx="29210" cy="2815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4,127 shares of restricted stock which vest at a rate of one-third per year commencing on the first anniversary of the date of grant, which was 1/22/2024, and 5,367 shares of restricted stock which vest at a rate of one-third per year commencing on the first anniversary of the date of grant, which was 3/8/2023.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the first anniversary of the date of grant, which was 9/10/2020.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Anderson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03/11/2024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523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2024-03-11T12:32:48Z</dcterms:created>
  <dcterms:modified xsi:type="dcterms:W3CDTF">2024-03-11T12:32:48Z</dcterms:modified>
</cp:coreProperties>
</file>